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Software Statement of Work and Acceptance Workbook</w:t>
      </w:r>
    </w:p>
    <w:p>
      <w:r>
        <w:t>Operational template. This is not legal advice. Have qualified counsel and relevant specialists review the final agreement and schedules.</w:t>
      </w:r>
    </w:p>
    <w:p>
      <w:pPr>
        <w:pStyle w:val="Heading1"/>
      </w:pPr>
      <w:r>
        <w:t>1. Parties and purpose</w:t>
      </w:r>
    </w:p>
    <w:p>
      <w:r>
        <w:t>Buyer legal entity:</w:t>
        <w:br/>
      </w:r>
    </w:p>
    <w:p>
      <w:r>
        <w:t>Delivery partner legal entity:</w:t>
        <w:br/>
      </w:r>
    </w:p>
    <w:p>
      <w:r>
        <w:t>Business outcome:</w:t>
        <w:br/>
      </w:r>
    </w:p>
    <w:p>
      <w:r>
        <w:t>Current baseline:</w:t>
        <w:br/>
      </w:r>
    </w:p>
    <w:p>
      <w:r>
        <w:t>Users and workflow owner:</w:t>
        <w:br/>
      </w:r>
    </w:p>
    <w:p>
      <w:pPr>
        <w:pStyle w:val="Heading1"/>
      </w:pPr>
      <w:r>
        <w:t>2. Scope and exclusions</w:t>
      </w:r>
    </w:p>
    <w:p>
      <w:r>
        <w:t>First-release boundary:</w:t>
        <w:br/>
      </w:r>
    </w:p>
    <w:p>
      <w:r>
        <w:t>Included workflows:</w:t>
        <w:br/>
      </w:r>
    </w:p>
    <w:p>
      <w:r>
        <w:t>Excluded workflows:</w:t>
        <w:br/>
      </w:r>
    </w:p>
    <w:p>
      <w:r>
        <w:t>Systems and environments:</w:t>
        <w:br/>
      </w:r>
    </w:p>
    <w:p>
      <w:r>
        <w:t>Buyer dependencies:</w:t>
        <w:br/>
      </w:r>
    </w:p>
    <w:p>
      <w:pPr>
        <w:pStyle w:val="Heading1"/>
      </w:pPr>
      <w:r>
        <w:t>3. Data and AI terms</w:t>
      </w:r>
    </w:p>
    <w:p>
      <w:r>
        <w:t>Data sources and permissions:</w:t>
        <w:br/>
      </w:r>
    </w:p>
    <w:p>
      <w:r>
        <w:t>Retention and deletion:</w:t>
        <w:br/>
      </w:r>
    </w:p>
    <w:p>
      <w:r>
        <w:t>Provider access and training use:</w:t>
        <w:br/>
      </w:r>
    </w:p>
    <w:p>
      <w:r>
        <w:t>Models and services:</w:t>
        <w:br/>
      </w:r>
    </w:p>
    <w:p>
      <w:r>
        <w:t>Prompts, retrieval content, evaluations, and outputs:</w:t>
        <w:br/>
      </w:r>
    </w:p>
    <w:p>
      <w:pPr>
        <w:pStyle w:val="Heading1"/>
      </w:pPr>
      <w:r>
        <w:t>4. Evaluation and approval</w:t>
      </w:r>
    </w:p>
    <w:p>
      <w:r>
        <w:t>Representative cases:</w:t>
        <w:br/>
      </w:r>
    </w:p>
    <w:p>
      <w:r>
        <w:t>Acceptance thresholds:</w:t>
        <w:br/>
      </w:r>
    </w:p>
    <w:p>
      <w:r>
        <w:t>Unsafe outcomes:</w:t>
        <w:br/>
      </w:r>
    </w:p>
    <w:p>
      <w:r>
        <w:t>Fallback:</w:t>
        <w:br/>
      </w:r>
    </w:p>
    <w:p>
      <w:r>
        <w:t>Automated actions:</w:t>
        <w:br/>
      </w:r>
    </w:p>
    <w:p>
      <w:r>
        <w:t>Human approvals:</w:t>
        <w:br/>
      </w:r>
    </w:p>
    <w:p>
      <w:r>
        <w:t>Regression review:</w:t>
        <w:br/>
      </w:r>
    </w:p>
    <w:p>
      <w:pPr>
        <w:pStyle w:val="Heading1"/>
      </w:pPr>
      <w:r>
        <w:t>5. Security and operations</w:t>
      </w:r>
    </w:p>
    <w:p>
      <w:r>
        <w:t>Identity and access:</w:t>
        <w:br/>
      </w:r>
    </w:p>
    <w:p>
      <w:r>
        <w:t>Logging and audit:</w:t>
        <w:br/>
      </w:r>
    </w:p>
    <w:p>
      <w:r>
        <w:t>Incident response:</w:t>
        <w:br/>
      </w:r>
    </w:p>
    <w:p>
      <w:r>
        <w:t>Monitoring:</w:t>
        <w:br/>
      </w:r>
    </w:p>
    <w:p>
      <w:r>
        <w:t>Cost controls:</w:t>
        <w:br/>
      </w:r>
    </w:p>
    <w:p>
      <w:r>
        <w:t>Rollback and stop switch:</w:t>
        <w:br/>
      </w:r>
    </w:p>
    <w:p>
      <w:pPr>
        <w:pStyle w:val="Heading1"/>
      </w:pPr>
      <w:r>
        <w:t>6. Milestones and acceptance</w:t>
      </w:r>
    </w:p>
    <w:p>
      <w:r>
        <w:t>Milestone artefact:</w:t>
        <w:br/>
      </w:r>
    </w:p>
    <w:p>
      <w:r>
        <w:t>Dependencies:</w:t>
        <w:br/>
      </w:r>
    </w:p>
    <w:p>
      <w:r>
        <w:t>Test evidence:</w:t>
        <w:br/>
      </w:r>
    </w:p>
    <w:p>
      <w:r>
        <w:t>Correction period:</w:t>
        <w:br/>
      </w:r>
    </w:p>
    <w:p>
      <w:r>
        <w:t>Sign-off owner:</w:t>
        <w:br/>
      </w:r>
    </w:p>
    <w:p>
      <w:r>
        <w:t>Payment event:</w:t>
        <w:br/>
      </w:r>
    </w:p>
    <w:p>
      <w:pPr>
        <w:pStyle w:val="Heading1"/>
      </w:pPr>
      <w:r>
        <w:t>7. Change control</w:t>
      </w:r>
    </w:p>
    <w:p>
      <w:r>
        <w:t>Change request:</w:t>
        <w:br/>
      </w:r>
    </w:p>
    <w:p>
      <w:r>
        <w:t>Impact on scope, time, cost, data, and risk:</w:t>
        <w:br/>
      </w:r>
    </w:p>
    <w:p>
      <w:r>
        <w:t>Decision owner:</w:t>
        <w:br/>
      </w:r>
    </w:p>
    <w:p>
      <w:r>
        <w:t>Effective date:</w:t>
        <w:br/>
      </w:r>
    </w:p>
    <w:p>
      <w:pPr>
        <w:pStyle w:val="Heading1"/>
      </w:pPr>
      <w:r>
        <w:t>8. IP, deployment, and handoff</w:t>
      </w:r>
    </w:p>
    <w:p>
      <w:r>
        <w:t>Source code and repositories:</w:t>
        <w:br/>
      </w:r>
    </w:p>
    <w:p>
      <w:r>
        <w:t>Third-party components:</w:t>
        <w:br/>
      </w:r>
    </w:p>
    <w:p>
      <w:r>
        <w:t>Cloud and vendor accounts:</w:t>
        <w:br/>
      </w:r>
    </w:p>
    <w:p>
      <w:r>
        <w:t>Documentation and runbooks:</w:t>
        <w:br/>
      </w:r>
    </w:p>
    <w:p>
      <w:r>
        <w:t>Training:</w:t>
        <w:br/>
      </w:r>
    </w:p>
    <w:p>
      <w:r>
        <w:t>Transition support:</w:t>
        <w:br/>
      </w:r>
    </w:p>
    <w:p>
      <w:r>
        <w:t>Post-launch ownership: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