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49F3E" w14:textId="77777777" w:rsidR="00C56DE1" w:rsidRPr="002513AE" w:rsidRDefault="00C56DE1" w:rsidP="00C56DE1">
      <w:pPr>
        <w:jc w:val="center"/>
        <w:rPr>
          <w:rFonts w:ascii="Times New Roman" w:hAnsi="Times New Roman" w:cs="Times New Roman"/>
          <w:b/>
          <w:sz w:val="24"/>
          <w:szCs w:val="24"/>
        </w:rPr>
      </w:pPr>
      <w:r w:rsidRPr="002513AE">
        <w:rPr>
          <w:rFonts w:ascii="Times New Roman" w:hAnsi="Times New Roman" w:cs="Times New Roman"/>
          <w:b/>
          <w:sz w:val="24"/>
          <w:szCs w:val="24"/>
        </w:rPr>
        <w:t>E-TAXATION AND SUSTAINABLE REVENUE GENERATION IN NIGERIA</w:t>
      </w:r>
    </w:p>
    <w:p w14:paraId="579DB5E9" w14:textId="77777777" w:rsidR="00C56DE1" w:rsidRPr="002513AE" w:rsidRDefault="00C56DE1" w:rsidP="00C56DE1">
      <w:pPr>
        <w:spacing w:after="0" w:line="240" w:lineRule="auto"/>
        <w:jc w:val="center"/>
        <w:rPr>
          <w:rFonts w:ascii="Times New Roman" w:hAnsi="Times New Roman" w:cs="Times New Roman"/>
          <w:b/>
          <w:sz w:val="24"/>
          <w:szCs w:val="24"/>
          <w:vertAlign w:val="superscript"/>
        </w:rPr>
        <w:sectPr w:rsidR="00C56DE1" w:rsidRPr="002513AE" w:rsidSect="00465807">
          <w:footerReference w:type="default" r:id="rId8"/>
          <w:pgSz w:w="12240" w:h="15840"/>
          <w:pgMar w:top="1440" w:right="1440" w:bottom="1440" w:left="1440" w:header="720" w:footer="720" w:gutter="0"/>
          <w:cols w:space="720"/>
          <w:docGrid w:linePitch="360"/>
        </w:sectPr>
      </w:pPr>
    </w:p>
    <w:p w14:paraId="585881D0"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vertAlign w:val="superscript"/>
        </w:rPr>
        <w:t>1</w:t>
      </w:r>
      <w:r w:rsidRPr="004718D1">
        <w:rPr>
          <w:rFonts w:ascii="Times New Roman" w:hAnsi="Times New Roman" w:cs="Times New Roman"/>
          <w:sz w:val="24"/>
          <w:szCs w:val="24"/>
        </w:rPr>
        <w:t>Abosede Ifeoluwa Adelusi</w:t>
      </w:r>
    </w:p>
    <w:p w14:paraId="5678DE0E"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rPr>
        <w:t>Department of Taxation</w:t>
      </w:r>
    </w:p>
    <w:p w14:paraId="75EBA296" w14:textId="77777777" w:rsidR="00C56DE1" w:rsidRDefault="00C56DE1" w:rsidP="00C56D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Federal University of Technology, Ilaro, </w:t>
      </w:r>
      <w:r w:rsidRPr="004718D1">
        <w:rPr>
          <w:rFonts w:ascii="Times New Roman" w:hAnsi="Times New Roman" w:cs="Times New Roman"/>
          <w:sz w:val="24"/>
          <w:szCs w:val="24"/>
        </w:rPr>
        <w:t>Ogun State, Nigeria</w:t>
      </w:r>
      <w:r>
        <w:rPr>
          <w:rFonts w:ascii="Times New Roman" w:hAnsi="Times New Roman" w:cs="Times New Roman"/>
          <w:sz w:val="24"/>
          <w:szCs w:val="24"/>
        </w:rPr>
        <w:t>.</w:t>
      </w:r>
    </w:p>
    <w:p w14:paraId="6BC95D16" w14:textId="77777777" w:rsidR="00C56DE1" w:rsidRPr="004718D1" w:rsidRDefault="00A67EC2" w:rsidP="00C56DE1">
      <w:pPr>
        <w:spacing w:after="0" w:line="240" w:lineRule="auto"/>
        <w:jc w:val="center"/>
        <w:rPr>
          <w:rFonts w:ascii="Times New Roman" w:hAnsi="Times New Roman" w:cs="Times New Roman"/>
          <w:sz w:val="24"/>
          <w:szCs w:val="24"/>
        </w:rPr>
      </w:pPr>
      <w:hyperlink r:id="rId9" w:history="1">
        <w:r w:rsidR="00C56DE1" w:rsidRPr="007A66A6">
          <w:rPr>
            <w:rStyle w:val="Hyperlink"/>
            <w:rFonts w:ascii="Times New Roman" w:hAnsi="Times New Roman" w:cs="Times New Roman"/>
            <w:sz w:val="24"/>
            <w:szCs w:val="24"/>
          </w:rPr>
          <w:t>abosede.adelusipgs@stu.cu.edu.ng</w:t>
        </w:r>
      </w:hyperlink>
      <w:r w:rsidR="00C56DE1">
        <w:rPr>
          <w:rFonts w:ascii="Times New Roman" w:hAnsi="Times New Roman" w:cs="Times New Roman"/>
          <w:sz w:val="24"/>
          <w:szCs w:val="24"/>
        </w:rPr>
        <w:t xml:space="preserve">, </w:t>
      </w:r>
      <w:r w:rsidR="00C56DE1" w:rsidRPr="004718D1">
        <w:rPr>
          <w:rFonts w:ascii="Times New Roman" w:hAnsi="Times New Roman" w:cs="Times New Roman"/>
          <w:sz w:val="24"/>
          <w:szCs w:val="24"/>
        </w:rPr>
        <w:t>abosede_adelusi@federalpolyilaro.edu.ng</w:t>
      </w:r>
    </w:p>
    <w:p w14:paraId="2704F3EE" w14:textId="77777777" w:rsidR="00C56DE1" w:rsidRPr="004718D1" w:rsidRDefault="00C56DE1" w:rsidP="00C56DE1">
      <w:pPr>
        <w:spacing w:after="0" w:line="240" w:lineRule="auto"/>
        <w:rPr>
          <w:rFonts w:ascii="Times New Roman" w:hAnsi="Times New Roman" w:cs="Times New Roman"/>
          <w:sz w:val="24"/>
          <w:szCs w:val="24"/>
        </w:rPr>
      </w:pPr>
      <w:r w:rsidRPr="004718D1">
        <w:rPr>
          <w:rFonts w:ascii="Times New Roman" w:hAnsi="Times New Roman" w:cs="Times New Roman"/>
          <w:sz w:val="24"/>
          <w:szCs w:val="24"/>
        </w:rPr>
        <w:t xml:space="preserve">                                                  ORCID:0009-0005-2436-3011</w:t>
      </w:r>
    </w:p>
    <w:p w14:paraId="040EAA56" w14:textId="77777777" w:rsidR="00C56DE1" w:rsidRPr="004718D1" w:rsidRDefault="00C56DE1" w:rsidP="00C56DE1">
      <w:pPr>
        <w:spacing w:after="0" w:line="240" w:lineRule="auto"/>
        <w:rPr>
          <w:rFonts w:ascii="Times New Roman" w:hAnsi="Times New Roman" w:cs="Times New Roman"/>
          <w:sz w:val="24"/>
          <w:szCs w:val="24"/>
        </w:rPr>
        <w:sectPr w:rsidR="00C56DE1" w:rsidRPr="004718D1" w:rsidSect="00465807">
          <w:type w:val="continuous"/>
          <w:pgSz w:w="12240" w:h="15840"/>
          <w:pgMar w:top="1440" w:right="1440" w:bottom="1440" w:left="1440" w:header="720" w:footer="720" w:gutter="0"/>
          <w:cols w:space="720"/>
          <w:docGrid w:linePitch="360"/>
        </w:sectPr>
      </w:pPr>
    </w:p>
    <w:p w14:paraId="41A9538C" w14:textId="77777777" w:rsidR="00C56DE1" w:rsidRPr="00D066BD" w:rsidRDefault="00C56DE1" w:rsidP="00C56DE1">
      <w:pPr>
        <w:spacing w:after="0" w:line="240" w:lineRule="auto"/>
        <w:jc w:val="center"/>
        <w:rPr>
          <w:rFonts w:ascii="Times New Roman" w:hAnsi="Times New Roman" w:cs="Times New Roman"/>
          <w:sz w:val="10"/>
          <w:szCs w:val="24"/>
          <w:vertAlign w:val="superscript"/>
        </w:rPr>
      </w:pPr>
    </w:p>
    <w:p w14:paraId="17F70571" w14:textId="77777777" w:rsidR="00C56DE1" w:rsidRPr="004718D1" w:rsidRDefault="00C56DE1" w:rsidP="00C56DE1">
      <w:pPr>
        <w:spacing w:after="0" w:line="240" w:lineRule="auto"/>
        <w:jc w:val="center"/>
        <w:rPr>
          <w:rFonts w:ascii="Times New Roman" w:hAnsi="Times New Roman" w:cs="Times New Roman"/>
          <w:sz w:val="24"/>
          <w:szCs w:val="24"/>
          <w:vertAlign w:val="superscript"/>
        </w:rPr>
      </w:pPr>
      <w:r w:rsidRPr="004718D1">
        <w:rPr>
          <w:rFonts w:ascii="Times New Roman" w:hAnsi="Times New Roman" w:cs="Times New Roman"/>
          <w:sz w:val="24"/>
          <w:szCs w:val="24"/>
          <w:vertAlign w:val="superscript"/>
        </w:rPr>
        <w:t>2</w:t>
      </w:r>
      <w:r w:rsidRPr="004718D1">
        <w:rPr>
          <w:rFonts w:ascii="Times New Roman" w:hAnsi="Times New Roman" w:cs="Times New Roman"/>
          <w:sz w:val="24"/>
          <w:szCs w:val="24"/>
        </w:rPr>
        <w:t>Ishola Rufus Akintoye</w:t>
      </w:r>
    </w:p>
    <w:p w14:paraId="7A9882E2"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rPr>
        <w:t xml:space="preserve">Department of Accounting </w:t>
      </w:r>
    </w:p>
    <w:p w14:paraId="47E21934"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rPr>
        <w:t xml:space="preserve">Babcock University, Ilisan Remo, </w:t>
      </w:r>
      <w:r>
        <w:rPr>
          <w:rFonts w:ascii="Times New Roman" w:hAnsi="Times New Roman" w:cs="Times New Roman"/>
          <w:sz w:val="24"/>
          <w:szCs w:val="24"/>
        </w:rPr>
        <w:t>Ogun State, Nigeria</w:t>
      </w:r>
    </w:p>
    <w:p w14:paraId="47EDB888" w14:textId="77777777" w:rsidR="00C56DE1" w:rsidRPr="004718D1" w:rsidRDefault="00A67EC2" w:rsidP="00C56DE1">
      <w:pPr>
        <w:spacing w:after="0" w:line="240" w:lineRule="auto"/>
        <w:jc w:val="center"/>
        <w:rPr>
          <w:rFonts w:ascii="Times New Roman" w:hAnsi="Times New Roman" w:cs="Times New Roman"/>
          <w:sz w:val="24"/>
          <w:szCs w:val="24"/>
        </w:rPr>
      </w:pPr>
      <w:hyperlink r:id="rId10" w:history="1">
        <w:r w:rsidR="00C56DE1" w:rsidRPr="004718D1">
          <w:rPr>
            <w:rStyle w:val="Hyperlink"/>
            <w:rFonts w:ascii="Times New Roman" w:hAnsi="Times New Roman" w:cs="Times New Roman"/>
            <w:sz w:val="24"/>
            <w:szCs w:val="24"/>
          </w:rPr>
          <w:t>akintoyer@babcock.edu.ng</w:t>
        </w:r>
      </w:hyperlink>
      <w:r w:rsidR="00C56DE1" w:rsidRPr="004718D1">
        <w:rPr>
          <w:rFonts w:ascii="Times New Roman" w:hAnsi="Times New Roman" w:cs="Times New Roman"/>
          <w:sz w:val="24"/>
          <w:szCs w:val="24"/>
        </w:rPr>
        <w:t xml:space="preserve">, </w:t>
      </w:r>
      <w:hyperlink r:id="rId11" w:history="1">
        <w:r w:rsidR="00C56DE1" w:rsidRPr="004718D1">
          <w:rPr>
            <w:rStyle w:val="Hyperlink"/>
            <w:rFonts w:ascii="Times New Roman" w:hAnsi="Times New Roman" w:cs="Times New Roman"/>
            <w:sz w:val="24"/>
            <w:szCs w:val="24"/>
          </w:rPr>
          <w:t>irakintoye@yahoo.com</w:t>
        </w:r>
      </w:hyperlink>
    </w:p>
    <w:p w14:paraId="05CD0EAE"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rPr>
        <w:t>ORCID: 0000-ooo3-4165-5612</w:t>
      </w:r>
    </w:p>
    <w:p w14:paraId="26B8D173" w14:textId="77777777" w:rsidR="00C56DE1" w:rsidRDefault="00C56DE1" w:rsidP="00C56DE1">
      <w:pPr>
        <w:spacing w:after="0" w:line="240" w:lineRule="auto"/>
        <w:jc w:val="center"/>
        <w:rPr>
          <w:rFonts w:ascii="Times New Roman" w:hAnsi="Times New Roman" w:cs="Times New Roman"/>
          <w:sz w:val="24"/>
          <w:szCs w:val="24"/>
        </w:rPr>
        <w:sectPr w:rsidR="00C56DE1" w:rsidSect="00465807">
          <w:type w:val="continuous"/>
          <w:pgSz w:w="12240" w:h="15840"/>
          <w:pgMar w:top="1440" w:right="1440" w:bottom="1440" w:left="1440" w:header="720" w:footer="720" w:gutter="0"/>
          <w:cols w:space="720"/>
          <w:docGrid w:linePitch="360"/>
        </w:sectPr>
      </w:pPr>
    </w:p>
    <w:p w14:paraId="1B47F103" w14:textId="77777777" w:rsidR="00C56DE1" w:rsidRPr="00D066BD" w:rsidRDefault="00C56DE1" w:rsidP="00C56DE1">
      <w:pPr>
        <w:spacing w:after="0" w:line="240" w:lineRule="auto"/>
        <w:jc w:val="center"/>
        <w:rPr>
          <w:rFonts w:ascii="Times New Roman" w:hAnsi="Times New Roman" w:cs="Times New Roman"/>
          <w:sz w:val="8"/>
          <w:szCs w:val="24"/>
        </w:rPr>
      </w:pPr>
    </w:p>
    <w:p w14:paraId="31F5B777" w14:textId="77777777" w:rsidR="00C56DE1" w:rsidRPr="00D066BD" w:rsidRDefault="00C56DE1" w:rsidP="00C56DE1">
      <w:pPr>
        <w:spacing w:after="0" w:line="240" w:lineRule="auto"/>
        <w:jc w:val="center"/>
        <w:rPr>
          <w:rFonts w:ascii="Times New Roman" w:hAnsi="Times New Roman" w:cs="Times New Roman"/>
          <w:sz w:val="8"/>
          <w:szCs w:val="24"/>
        </w:rPr>
      </w:pPr>
    </w:p>
    <w:p w14:paraId="3A8C0CA0" w14:textId="77777777" w:rsidR="00C56DE1" w:rsidRPr="004718D1" w:rsidRDefault="00C56DE1" w:rsidP="00C56DE1">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sidRPr="004718D1">
        <w:rPr>
          <w:rFonts w:ascii="Times New Roman" w:hAnsi="Times New Roman" w:cs="Times New Roman"/>
          <w:sz w:val="24"/>
          <w:szCs w:val="24"/>
        </w:rPr>
        <w:t>Babatunde Adisa Agbeyangi</w:t>
      </w:r>
    </w:p>
    <w:p w14:paraId="29CD190A"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rPr>
        <w:t>Department of Accountancy</w:t>
      </w:r>
    </w:p>
    <w:p w14:paraId="3C464FFA"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rPr>
        <w:t xml:space="preserve">Federal </w:t>
      </w:r>
      <w:r>
        <w:rPr>
          <w:rFonts w:ascii="Times New Roman" w:hAnsi="Times New Roman" w:cs="Times New Roman"/>
          <w:sz w:val="24"/>
          <w:szCs w:val="24"/>
        </w:rPr>
        <w:t xml:space="preserve">University of Technology, </w:t>
      </w:r>
      <w:r w:rsidRPr="004718D1">
        <w:rPr>
          <w:rFonts w:ascii="Times New Roman" w:hAnsi="Times New Roman" w:cs="Times New Roman"/>
          <w:sz w:val="24"/>
          <w:szCs w:val="24"/>
        </w:rPr>
        <w:t>Ilaro, Ogun State, Nigeria</w:t>
      </w:r>
    </w:p>
    <w:p w14:paraId="7076FE43" w14:textId="77777777" w:rsidR="00C56DE1" w:rsidRPr="004718D1" w:rsidRDefault="00A67EC2" w:rsidP="00C56DE1">
      <w:pPr>
        <w:spacing w:after="0" w:line="240" w:lineRule="auto"/>
        <w:jc w:val="center"/>
        <w:rPr>
          <w:rFonts w:ascii="Times New Roman" w:hAnsi="Times New Roman" w:cs="Times New Roman"/>
          <w:sz w:val="24"/>
          <w:szCs w:val="24"/>
        </w:rPr>
      </w:pPr>
      <w:hyperlink r:id="rId12" w:history="1">
        <w:r w:rsidR="00C56DE1" w:rsidRPr="004718D1">
          <w:rPr>
            <w:rStyle w:val="Hyperlink"/>
            <w:rFonts w:ascii="Times New Roman" w:hAnsi="Times New Roman" w:cs="Times New Roman"/>
            <w:sz w:val="24"/>
            <w:szCs w:val="24"/>
          </w:rPr>
          <w:t>babatunde.agbeyangi@federalpolyilaro.edu.ng</w:t>
        </w:r>
      </w:hyperlink>
    </w:p>
    <w:p w14:paraId="20054561" w14:textId="77777777" w:rsidR="00C56DE1" w:rsidRPr="004718D1" w:rsidRDefault="00C56DE1" w:rsidP="00C56DE1">
      <w:pPr>
        <w:spacing w:after="0" w:line="240" w:lineRule="auto"/>
        <w:jc w:val="center"/>
        <w:rPr>
          <w:rFonts w:ascii="Times New Roman" w:hAnsi="Times New Roman" w:cs="Times New Roman"/>
          <w:sz w:val="24"/>
          <w:szCs w:val="24"/>
        </w:rPr>
      </w:pPr>
      <w:r w:rsidRPr="004718D1">
        <w:rPr>
          <w:rFonts w:ascii="Times New Roman" w:hAnsi="Times New Roman" w:cs="Times New Roman"/>
          <w:sz w:val="24"/>
          <w:szCs w:val="24"/>
        </w:rPr>
        <w:t>ORCID:0000-0002-1163-1428</w:t>
      </w:r>
    </w:p>
    <w:p w14:paraId="05436997" w14:textId="77777777" w:rsidR="00C56DE1" w:rsidRDefault="00C56DE1" w:rsidP="00C56DE1">
      <w:pPr>
        <w:spacing w:after="0" w:line="240" w:lineRule="auto"/>
        <w:rPr>
          <w:rFonts w:ascii="Times New Roman" w:hAnsi="Times New Roman" w:cs="Times New Roman"/>
          <w:sz w:val="24"/>
          <w:szCs w:val="24"/>
        </w:rPr>
        <w:sectPr w:rsidR="00C56DE1" w:rsidSect="00465807">
          <w:type w:val="continuous"/>
          <w:pgSz w:w="12240" w:h="15840"/>
          <w:pgMar w:top="1440" w:right="1440" w:bottom="1440" w:left="1440" w:header="720" w:footer="720" w:gutter="0"/>
          <w:cols w:space="720"/>
          <w:docGrid w:linePitch="360"/>
        </w:sectPr>
      </w:pPr>
    </w:p>
    <w:p w14:paraId="0636870C" w14:textId="77777777" w:rsidR="00C56DE1" w:rsidRDefault="00C56DE1" w:rsidP="00C56DE1">
      <w:pPr>
        <w:spacing w:after="0" w:line="240" w:lineRule="auto"/>
        <w:rPr>
          <w:rFonts w:ascii="Times New Roman" w:hAnsi="Times New Roman" w:cs="Times New Roman"/>
          <w:b/>
          <w:sz w:val="24"/>
          <w:szCs w:val="24"/>
        </w:rPr>
        <w:sectPr w:rsidR="00C56DE1" w:rsidSect="00465807">
          <w:type w:val="continuous"/>
          <w:pgSz w:w="12240" w:h="15840"/>
          <w:pgMar w:top="1440" w:right="1440" w:bottom="1440" w:left="1440" w:header="720" w:footer="720" w:gutter="0"/>
          <w:cols w:space="720"/>
          <w:docGrid w:linePitch="360"/>
        </w:sectPr>
      </w:pPr>
      <w:r w:rsidRPr="004718D1">
        <w:rPr>
          <w:rFonts w:ascii="Times New Roman" w:hAnsi="Times New Roman" w:cs="Times New Roman"/>
          <w:sz w:val="24"/>
          <w:szCs w:val="24"/>
        </w:rPr>
        <w:t xml:space="preserve">     </w:t>
      </w:r>
    </w:p>
    <w:p w14:paraId="74E78BE2" w14:textId="77777777" w:rsidR="00C56DE1" w:rsidRPr="00953DB0" w:rsidRDefault="00C56DE1" w:rsidP="00C56DE1">
      <w:pPr>
        <w:spacing w:before="100" w:beforeAutospacing="1" w:after="100" w:afterAutospacing="1" w:line="240" w:lineRule="auto"/>
        <w:rPr>
          <w:rFonts w:ascii="Times New Roman" w:eastAsia="Times New Roman" w:hAnsi="Times New Roman" w:cs="Times New Roman"/>
          <w:sz w:val="24"/>
          <w:szCs w:val="24"/>
        </w:rPr>
      </w:pPr>
      <w:r w:rsidRPr="00953DB0">
        <w:rPr>
          <w:rFonts w:ascii="Times New Roman" w:eastAsia="Times New Roman" w:hAnsi="Times New Roman" w:cs="Times New Roman"/>
          <w:b/>
          <w:bCs/>
          <w:sz w:val="24"/>
          <w:szCs w:val="24"/>
        </w:rPr>
        <w:t>Abstract</w:t>
      </w:r>
    </w:p>
    <w:p w14:paraId="71EE439A" w14:textId="77777777" w:rsidR="00C56DE1" w:rsidRPr="00953DB0" w:rsidRDefault="00C56DE1" w:rsidP="00C56DE1">
      <w:pPr>
        <w:spacing w:before="100" w:beforeAutospacing="1" w:after="100" w:afterAutospacing="1" w:line="240" w:lineRule="auto"/>
        <w:jc w:val="both"/>
        <w:rPr>
          <w:rFonts w:ascii="Times New Roman" w:eastAsia="Times New Roman" w:hAnsi="Times New Roman" w:cs="Times New Roman"/>
          <w:sz w:val="24"/>
          <w:szCs w:val="24"/>
        </w:rPr>
      </w:pPr>
      <w:r w:rsidRPr="00953DB0">
        <w:rPr>
          <w:rFonts w:ascii="Times New Roman" w:eastAsia="Times New Roman" w:hAnsi="Times New Roman" w:cs="Times New Roman"/>
          <w:sz w:val="24"/>
          <w:szCs w:val="24"/>
        </w:rPr>
        <w:t xml:space="preserve">This study examines the impact of e-taxation on sustainable revenue generation in Nigeria, </w:t>
      </w:r>
      <w:r>
        <w:rPr>
          <w:rFonts w:ascii="Times New Roman" w:eastAsia="Times New Roman" w:hAnsi="Times New Roman" w:cs="Times New Roman"/>
          <w:sz w:val="24"/>
          <w:szCs w:val="24"/>
        </w:rPr>
        <w:t>focusing</w:t>
      </w:r>
      <w:r w:rsidRPr="00953DB0">
        <w:rPr>
          <w:rFonts w:ascii="Times New Roman" w:eastAsia="Times New Roman" w:hAnsi="Times New Roman" w:cs="Times New Roman"/>
          <w:sz w:val="24"/>
          <w:szCs w:val="24"/>
        </w:rPr>
        <w:t xml:space="preserve"> on the Tax ProMax platform introduced by the Federal Inland Revenue Service (FIRS) in 2021. While Nigeria’s e-tax system was initially launched in 2015 to facilitate nationwide tax collection, Tax ProMax advanced the process by automating tax administration, compliance, and payment. The portal enables online registration, filing, and payment of federal taxes</w:t>
      </w:r>
      <w:r>
        <w:rPr>
          <w:rFonts w:ascii="Times New Roman" w:eastAsia="Times New Roman" w:hAnsi="Times New Roman" w:cs="Times New Roman"/>
          <w:sz w:val="24"/>
          <w:szCs w:val="24"/>
        </w:rPr>
        <w:t xml:space="preserve">, </w:t>
      </w:r>
      <w:r w:rsidRPr="00953DB0">
        <w:rPr>
          <w:rFonts w:ascii="Times New Roman" w:eastAsia="Times New Roman" w:hAnsi="Times New Roman" w:cs="Times New Roman"/>
          <w:sz w:val="24"/>
          <w:szCs w:val="24"/>
        </w:rPr>
        <w:t>including Companies’ Income Tax (CIT), Value Added Tax (VAT), and Tertiary Education Tax (EDT)</w:t>
      </w:r>
      <w:r>
        <w:rPr>
          <w:rFonts w:ascii="Times New Roman" w:eastAsia="Times New Roman" w:hAnsi="Times New Roman" w:cs="Times New Roman"/>
          <w:sz w:val="24"/>
          <w:szCs w:val="24"/>
        </w:rPr>
        <w:t>. It</w:t>
      </w:r>
      <w:r w:rsidRPr="00953DB0">
        <w:rPr>
          <w:rFonts w:ascii="Times New Roman" w:eastAsia="Times New Roman" w:hAnsi="Times New Roman" w:cs="Times New Roman"/>
          <w:sz w:val="24"/>
          <w:szCs w:val="24"/>
        </w:rPr>
        <w:t xml:space="preserve"> provides instant e-receipts and electronic Tax Clearance Certificates (e-TCCs). </w:t>
      </w:r>
      <w:r>
        <w:rPr>
          <w:rFonts w:ascii="Times New Roman" w:eastAsia="Times New Roman" w:hAnsi="Times New Roman" w:cs="Times New Roman"/>
          <w:sz w:val="24"/>
          <w:szCs w:val="24"/>
        </w:rPr>
        <w:t>This study uses</w:t>
      </w:r>
      <w:r w:rsidRPr="00953DB0">
        <w:rPr>
          <w:rFonts w:ascii="Times New Roman" w:eastAsia="Times New Roman" w:hAnsi="Times New Roman" w:cs="Times New Roman"/>
          <w:sz w:val="24"/>
          <w:szCs w:val="24"/>
        </w:rPr>
        <w:t xml:space="preserve"> revenue data from the FIRS Statistical Bulletins (2017–2025) </w:t>
      </w:r>
      <w:r>
        <w:rPr>
          <w:rFonts w:ascii="Times New Roman" w:eastAsia="Times New Roman" w:hAnsi="Times New Roman" w:cs="Times New Roman"/>
          <w:sz w:val="24"/>
          <w:szCs w:val="24"/>
        </w:rPr>
        <w:t xml:space="preserve">and </w:t>
      </w:r>
      <w:r w:rsidRPr="00953DB0">
        <w:rPr>
          <w:rFonts w:ascii="Times New Roman" w:eastAsia="Times New Roman" w:hAnsi="Times New Roman" w:cs="Times New Roman"/>
          <w:sz w:val="24"/>
          <w:szCs w:val="24"/>
        </w:rPr>
        <w:t xml:space="preserve">compares pre-Tax ProMax revenues (2017–2020) with post-implementation revenues (2022–2025). Paired t-tests and descriptive statistics were employed to analyze revenue trends across CIT, VAT, and EDT. Results indicate that Tax ProMax significantly increased government revenue, with all three taxes showing negative t-statistics and p-values below 0.05. However, causal attribution is limited by the pre-post design and potential macroeconomic confounders. The study concludes by recommending greater investment in artificial intelligence tools </w:t>
      </w:r>
      <w:r>
        <w:rPr>
          <w:rFonts w:ascii="Times New Roman" w:eastAsia="Times New Roman" w:hAnsi="Times New Roman" w:cs="Times New Roman"/>
          <w:sz w:val="24"/>
          <w:szCs w:val="24"/>
        </w:rPr>
        <w:t>to streamline tax administration and compliance further</w:t>
      </w:r>
      <w:r w:rsidRPr="00953DB0">
        <w:rPr>
          <w:rFonts w:ascii="Times New Roman" w:eastAsia="Times New Roman" w:hAnsi="Times New Roman" w:cs="Times New Roman"/>
          <w:sz w:val="24"/>
          <w:szCs w:val="24"/>
        </w:rPr>
        <w:t>, thereby enhancing sustainable revenue generation from both direct and indirect taxes.</w:t>
      </w:r>
    </w:p>
    <w:p w14:paraId="5CA4575D" w14:textId="77777777" w:rsidR="00C56DE1" w:rsidRDefault="00C56DE1" w:rsidP="00C56DE1">
      <w:pPr>
        <w:jc w:val="both"/>
        <w:rPr>
          <w:rFonts w:ascii="Times New Roman" w:hAnsi="Times New Roman" w:cs="Times New Roman"/>
          <w:sz w:val="24"/>
          <w:szCs w:val="24"/>
        </w:rPr>
      </w:pPr>
      <w:r w:rsidRPr="00380010">
        <w:rPr>
          <w:rFonts w:ascii="Times New Roman" w:hAnsi="Times New Roman" w:cs="Times New Roman"/>
          <w:b/>
          <w:sz w:val="24"/>
          <w:szCs w:val="24"/>
        </w:rPr>
        <w:t>Keywords:</w:t>
      </w:r>
      <w:r w:rsidRPr="002513AE">
        <w:rPr>
          <w:rFonts w:ascii="Times New Roman" w:hAnsi="Times New Roman" w:cs="Times New Roman"/>
          <w:sz w:val="24"/>
          <w:szCs w:val="24"/>
        </w:rPr>
        <w:t xml:space="preserve"> Company </w:t>
      </w:r>
      <w:r>
        <w:rPr>
          <w:rFonts w:ascii="Times New Roman" w:hAnsi="Times New Roman" w:cs="Times New Roman"/>
          <w:sz w:val="24"/>
          <w:szCs w:val="24"/>
        </w:rPr>
        <w:t>I</w:t>
      </w:r>
      <w:r w:rsidRPr="002513AE">
        <w:rPr>
          <w:rFonts w:ascii="Times New Roman" w:hAnsi="Times New Roman" w:cs="Times New Roman"/>
          <w:sz w:val="24"/>
          <w:szCs w:val="24"/>
        </w:rPr>
        <w:t xml:space="preserve">ncome </w:t>
      </w:r>
      <w:r>
        <w:rPr>
          <w:rFonts w:ascii="Times New Roman" w:hAnsi="Times New Roman" w:cs="Times New Roman"/>
          <w:sz w:val="24"/>
          <w:szCs w:val="24"/>
        </w:rPr>
        <w:t>T</w:t>
      </w:r>
      <w:r w:rsidRPr="002513AE">
        <w:rPr>
          <w:rFonts w:ascii="Times New Roman" w:hAnsi="Times New Roman" w:cs="Times New Roman"/>
          <w:sz w:val="24"/>
          <w:szCs w:val="24"/>
        </w:rPr>
        <w:t>ax, E-taxation, FIRS, Sustainable revenue, Tertiary</w:t>
      </w:r>
      <w:r>
        <w:rPr>
          <w:rFonts w:ascii="Times New Roman" w:hAnsi="Times New Roman" w:cs="Times New Roman"/>
          <w:sz w:val="24"/>
          <w:szCs w:val="24"/>
        </w:rPr>
        <w:t xml:space="preserve"> Education Tax</w:t>
      </w:r>
    </w:p>
    <w:p w14:paraId="27B884B2" w14:textId="77777777" w:rsidR="00C56DE1" w:rsidRPr="00AB226C" w:rsidRDefault="00C56DE1" w:rsidP="00C56DE1">
      <w:pPr>
        <w:jc w:val="both"/>
        <w:rPr>
          <w:rFonts w:ascii="Times New Roman" w:hAnsi="Times New Roman" w:cs="Times New Roman"/>
          <w:sz w:val="24"/>
          <w:szCs w:val="24"/>
        </w:rPr>
      </w:pPr>
    </w:p>
    <w:p w14:paraId="3B949282" w14:textId="77777777" w:rsidR="00274609" w:rsidRPr="00264B98" w:rsidRDefault="00274609" w:rsidP="00274609">
      <w:pPr>
        <w:pStyle w:val="ListParagraph"/>
        <w:numPr>
          <w:ilvl w:val="0"/>
          <w:numId w:val="2"/>
        </w:numPr>
        <w:ind w:left="720"/>
        <w:jc w:val="both"/>
        <w:rPr>
          <w:rFonts w:ascii="Times New Roman" w:hAnsi="Times New Roman" w:cs="Times New Roman"/>
          <w:b/>
          <w:sz w:val="24"/>
          <w:szCs w:val="24"/>
        </w:rPr>
      </w:pPr>
      <w:bookmarkStart w:id="0" w:name="_Hlk221976524"/>
      <w:r w:rsidRPr="00264B98">
        <w:rPr>
          <w:rFonts w:ascii="Times New Roman" w:hAnsi="Times New Roman" w:cs="Times New Roman"/>
          <w:b/>
          <w:sz w:val="24"/>
          <w:szCs w:val="24"/>
        </w:rPr>
        <w:t xml:space="preserve">INTRODUCTION </w:t>
      </w:r>
    </w:p>
    <w:p w14:paraId="4DC5698E" w14:textId="77777777" w:rsidR="00274609" w:rsidRDefault="00274609" w:rsidP="002746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no longer an exaggeration to say that developing countries like Nigeria have not achieved significant economic growth through borrowing. Poverty rates continue to rise in developing </w:t>
      </w:r>
      <w:r>
        <w:rPr>
          <w:rFonts w:ascii="Times New Roman" w:hAnsi="Times New Roman" w:cs="Times New Roman"/>
          <w:sz w:val="24"/>
          <w:szCs w:val="24"/>
        </w:rPr>
        <w:lastRenderedPageBreak/>
        <w:t xml:space="preserve">nations, despite receiving IMF and World Bank loans (IMF, 2024; Gomes, 2025). The country has recognized that relying on foreign aid or borrowing is unsustainable; therefore, there is a push for higher tax revenue and improved tax collection methods through technology (Abdul Mannan et al., 2025; Tivde, 2024), as well as a need to strengthen Nigeria's overall tax administration. </w:t>
      </w:r>
      <w:bookmarkStart w:id="1" w:name="_Hlk238267654"/>
      <w:r>
        <w:rPr>
          <w:rFonts w:ascii="Times New Roman" w:hAnsi="Times New Roman" w:cs="Times New Roman"/>
          <w:sz w:val="24"/>
          <w:szCs w:val="24"/>
        </w:rPr>
        <w:t xml:space="preserve">It has long been established that taxation is the primary means of funding public services (Goderis &amp; Vlekke, 2023). These resources mainly depend on how effective a country's governance mechanisms are, its socio-economic conditions, and its ability to adopt technological tools. Meanwhile, technological advancements have caused a major shift in how tax returns are collected and assessed worldwide (Abdul Mannan et al., 2025). </w:t>
      </w:r>
    </w:p>
    <w:bookmarkEnd w:id="1"/>
    <w:p w14:paraId="296F4EBE" w14:textId="77777777" w:rsidR="00274609" w:rsidRDefault="00274609" w:rsidP="00274609">
      <w:pPr>
        <w:spacing w:after="0" w:line="360" w:lineRule="auto"/>
        <w:jc w:val="both"/>
        <w:rPr>
          <w:rFonts w:ascii="Times New Roman" w:hAnsi="Times New Roman" w:cs="Times New Roman"/>
          <w:sz w:val="24"/>
          <w:szCs w:val="24"/>
        </w:rPr>
      </w:pPr>
    </w:p>
    <w:p w14:paraId="2E2CA6EA" w14:textId="77777777" w:rsidR="00274609" w:rsidRPr="002513AE" w:rsidRDefault="00274609" w:rsidP="002746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shift has transitioned the tax system from traditional paper-based methods to automated (e-tax) systems. In recent years, Artificial Intelligence (AI) tools have become a transformative force in e-tax systems. (Kamil, 2022) noted that AI technologies include machine learning, Natural Language Processing (NLP), Robotic Process Automation (RPA), and intelligent agents used by tax authorities worldwide. These AI tools help improve tax collection, assessment, and administration in countries that adopt them. Modernizing tax administration through the e-tax system is seen as a crucial step to increase efficiency, boost compliance, and raise revenue (Kamil, 2022; Adefunke, 2024; Adelekan et al., 2024). Tax is viewed as the most sustainable source of revenue for funding infrastructure and other public service obligations of the government (OECD, 2019, 2025). </w:t>
      </w:r>
      <w:bookmarkStart w:id="2" w:name="_Hlk238267902"/>
      <w:r>
        <w:rPr>
          <w:rFonts w:ascii="Times New Roman" w:hAnsi="Times New Roman" w:cs="Times New Roman"/>
          <w:sz w:val="24"/>
          <w:szCs w:val="24"/>
        </w:rPr>
        <w:t xml:space="preserve">Nigeria is experiencing a decline in resource flow from oil revenue due to market volatility and decreasing production (Adelusi et al., 2025). Due to these challenges, the government has shifted its focus to tax revenue, which explains the various reforms in tax administration and collection over the past 10 years in Nigeria. </w:t>
      </w:r>
    </w:p>
    <w:bookmarkEnd w:id="2"/>
    <w:p w14:paraId="020C3B53" w14:textId="77777777" w:rsidR="00274609" w:rsidRPr="002513AE" w:rsidRDefault="00274609" w:rsidP="00274609">
      <w:pPr>
        <w:spacing w:after="0" w:line="360" w:lineRule="auto"/>
        <w:jc w:val="both"/>
        <w:rPr>
          <w:rFonts w:ascii="Times New Roman" w:hAnsi="Times New Roman" w:cs="Times New Roman"/>
          <w:sz w:val="24"/>
          <w:szCs w:val="24"/>
        </w:rPr>
      </w:pPr>
    </w:p>
    <w:p w14:paraId="2A4C8A3D" w14:textId="54301036" w:rsidR="00274609" w:rsidRDefault="00F36037" w:rsidP="00274609">
      <w:pPr>
        <w:spacing w:after="0" w:line="360" w:lineRule="auto"/>
        <w:jc w:val="both"/>
        <w:rPr>
          <w:rFonts w:ascii="Times New Roman" w:hAnsi="Times New Roman" w:cs="Times New Roman"/>
          <w:sz w:val="24"/>
          <w:szCs w:val="24"/>
        </w:rPr>
      </w:pPr>
      <w:bookmarkStart w:id="3" w:name="_Hlk238268220"/>
      <w:r w:rsidRPr="00F36037">
        <w:rPr>
          <w:rFonts w:ascii="Times New Roman" w:hAnsi="Times New Roman" w:cs="Times New Roman"/>
          <w:sz w:val="24"/>
          <w:szCs w:val="24"/>
        </w:rPr>
        <w:t>This study investigates the extent to which revenue collection by the Federal Government of Nigeria has changed following the deployment of the TaxPro Max e</w:t>
      </w:r>
      <w:r w:rsidRPr="00F36037">
        <w:rPr>
          <w:rFonts w:ascii="Times New Roman" w:hAnsi="Times New Roman" w:cs="Times New Roman"/>
          <w:sz w:val="24"/>
          <w:szCs w:val="24"/>
        </w:rPr>
        <w:noBreakHyphen/>
        <w:t xml:space="preserve">portal system. The analytical framework incorporates inflation as a control variable, while excluding other macroeconomic indicators. Accordingly, the results should be interpreted as reflecting revenue variations associated with the implementation of TaxPro Max, rather than establishing direct causality. By adopting this approach, the study advances methodological rigor relative to </w:t>
      </w:r>
      <w:r>
        <w:rPr>
          <w:rFonts w:ascii="Times New Roman" w:hAnsi="Times New Roman" w:cs="Times New Roman"/>
          <w:sz w:val="24"/>
          <w:szCs w:val="24"/>
        </w:rPr>
        <w:t>earlier</w:t>
      </w:r>
      <w:r w:rsidRPr="00F36037">
        <w:rPr>
          <w:rFonts w:ascii="Times New Roman" w:hAnsi="Times New Roman" w:cs="Times New Roman"/>
          <w:sz w:val="24"/>
          <w:szCs w:val="24"/>
        </w:rPr>
        <w:t xml:space="preserve"> evaluations of the federal government’s e</w:t>
      </w:r>
      <w:r w:rsidRPr="00F36037">
        <w:rPr>
          <w:rFonts w:ascii="Times New Roman" w:hAnsi="Times New Roman" w:cs="Times New Roman"/>
          <w:sz w:val="24"/>
          <w:szCs w:val="24"/>
        </w:rPr>
        <w:noBreakHyphen/>
        <w:t xml:space="preserve">tax payment system administered by the Federal Inland Revenue </w:t>
      </w:r>
      <w:r w:rsidRPr="00F36037">
        <w:rPr>
          <w:rFonts w:ascii="Times New Roman" w:hAnsi="Times New Roman" w:cs="Times New Roman"/>
          <w:sz w:val="24"/>
          <w:szCs w:val="24"/>
        </w:rPr>
        <w:lastRenderedPageBreak/>
        <w:t>Service (FIRS). Effective from</w:t>
      </w:r>
      <w:r w:rsidR="000159A9" w:rsidRPr="00F36037">
        <w:rPr>
          <w:rFonts w:ascii="Times New Roman" w:hAnsi="Times New Roman" w:cs="Times New Roman"/>
          <w:sz w:val="24"/>
          <w:szCs w:val="24"/>
        </w:rPr>
        <w:t xml:space="preserve"> January</w:t>
      </w:r>
      <w:r w:rsidRPr="00F36037">
        <w:rPr>
          <w:rFonts w:ascii="Times New Roman" w:hAnsi="Times New Roman" w:cs="Times New Roman"/>
          <w:sz w:val="24"/>
          <w:szCs w:val="24"/>
        </w:rPr>
        <w:t xml:space="preserve"> 1,</w:t>
      </w:r>
      <w:r w:rsidR="000159A9" w:rsidRPr="00F36037">
        <w:rPr>
          <w:rFonts w:ascii="Times New Roman" w:hAnsi="Times New Roman" w:cs="Times New Roman"/>
          <w:sz w:val="24"/>
          <w:szCs w:val="24"/>
        </w:rPr>
        <w:t xml:space="preserve"> 2026, the Federal Inland Revenue Service (FIRS) </w:t>
      </w:r>
      <w:r w:rsidRPr="00F36037">
        <w:rPr>
          <w:rFonts w:ascii="Times New Roman" w:hAnsi="Times New Roman" w:cs="Times New Roman"/>
          <w:sz w:val="24"/>
          <w:szCs w:val="24"/>
        </w:rPr>
        <w:t>has</w:t>
      </w:r>
      <w:r w:rsidR="000159A9" w:rsidRPr="00F36037">
        <w:rPr>
          <w:rFonts w:ascii="Times New Roman" w:hAnsi="Times New Roman" w:cs="Times New Roman"/>
          <w:sz w:val="24"/>
          <w:szCs w:val="24"/>
        </w:rPr>
        <w:t xml:space="preserve"> officially rebranded and </w:t>
      </w:r>
      <w:r w:rsidRPr="00F36037">
        <w:rPr>
          <w:rFonts w:ascii="Times New Roman" w:hAnsi="Times New Roman" w:cs="Times New Roman"/>
          <w:sz w:val="24"/>
          <w:szCs w:val="24"/>
        </w:rPr>
        <w:t xml:space="preserve">been </w:t>
      </w:r>
      <w:r w:rsidR="000159A9" w:rsidRPr="00F36037">
        <w:rPr>
          <w:rFonts w:ascii="Times New Roman" w:hAnsi="Times New Roman" w:cs="Times New Roman"/>
          <w:sz w:val="24"/>
          <w:szCs w:val="24"/>
        </w:rPr>
        <w:t>renamed under the Nigeria</w:t>
      </w:r>
      <w:r w:rsidR="000159A9" w:rsidRPr="000159A9">
        <w:rPr>
          <w:rFonts w:ascii="Times New Roman" w:hAnsi="Times New Roman" w:cs="Times New Roman"/>
          <w:sz w:val="24"/>
          <w:szCs w:val="24"/>
        </w:rPr>
        <w:t xml:space="preserve"> Revenue </w:t>
      </w:r>
      <w:r>
        <w:rPr>
          <w:rFonts w:ascii="Times New Roman" w:hAnsi="Times New Roman" w:cs="Times New Roman"/>
          <w:sz w:val="24"/>
          <w:szCs w:val="24"/>
        </w:rPr>
        <w:t xml:space="preserve">Service </w:t>
      </w:r>
      <w:r w:rsidR="000159A9" w:rsidRPr="000159A9">
        <w:rPr>
          <w:rFonts w:ascii="Times New Roman" w:hAnsi="Times New Roman" w:cs="Times New Roman"/>
          <w:sz w:val="24"/>
          <w:szCs w:val="24"/>
        </w:rPr>
        <w:t>(Establishment) Act, 2025. As the nation’s central revenue authority, it retains the mandate to assess, collect, and account for taxes on behalf of the Federation, ensuring compliance and effective management of Nigeria’s tax system</w:t>
      </w:r>
      <w:r w:rsidR="000159A9">
        <w:rPr>
          <w:rFonts w:ascii="Times New Roman" w:hAnsi="Times New Roman" w:cs="Times New Roman"/>
          <w:sz w:val="24"/>
          <w:szCs w:val="24"/>
        </w:rPr>
        <w:t xml:space="preserve">. </w:t>
      </w:r>
      <w:r w:rsidR="00274609">
        <w:rPr>
          <w:rFonts w:ascii="Times New Roman" w:hAnsi="Times New Roman" w:cs="Times New Roman"/>
          <w:sz w:val="24"/>
          <w:szCs w:val="24"/>
        </w:rPr>
        <w:t>Nigeria's tax authority has aligned with global trends by deploying technology across both federal and state operations</w:t>
      </w:r>
      <w:bookmarkEnd w:id="3"/>
      <w:r w:rsidR="00274609">
        <w:rPr>
          <w:rFonts w:ascii="Times New Roman" w:hAnsi="Times New Roman" w:cs="Times New Roman"/>
          <w:sz w:val="24"/>
          <w:szCs w:val="24"/>
        </w:rPr>
        <w:t xml:space="preserve">. Nigeria's e-tax system includes digital initiatives led by the Federal Inland Revenue Service (FIRS), also known as the Nigeria Revenue Service (NRS), along with various state tax agencies, all aimed at automating tax administration, compliance, and payment processes. The main platform for federal tax payments is TaxPro Max, launched by the FIRS on June 7th 2021 </w:t>
      </w:r>
      <w:r w:rsidR="00274609">
        <w:rPr>
          <w:rFonts w:ascii="Times New Roman" w:hAnsi="Times New Roman" w:cs="Times New Roman"/>
          <w:sz w:val="24"/>
          <w:szCs w:val="24"/>
        </w:rPr>
        <w:fldChar w:fldCharType="begin" w:fldLock="1"/>
      </w:r>
      <w:r w:rsidR="00274609">
        <w:rPr>
          <w:rFonts w:ascii="Times New Roman" w:hAnsi="Times New Roman" w:cs="Times New Roman"/>
          <w:sz w:val="24"/>
          <w:szCs w:val="24"/>
        </w:rPr>
        <w:instrText>ADDIN CSL_CITATION {"citationItems":[{"id":"ITEM-1","itemData":{"author":[{"dropping-particle":"","family":"Inc","given":"Andersen Group","non-dropping-particle":"","parse-names":false,"suffix":""}],"id":"ITEM-1","issued":{"date-parts":[["2021"]]},"page":"1-2","publisher":"Andersen Tax LLC and Andersen Nigeria Limited","title":"FIRS Introduces New Online Tax Administration Solution","type":"article"},"uris":["http://www.mendeley.com/documents/?uuid=f9d1bd82-b831-4d76-9835-0224aa9ead1e"]}],"mendeley":{"formattedCitation":"(Inc, 2021)","manualFormatting":"(Andensen Inc, 2021)","plainTextFormattedCitation":"(Inc, 2021)"},"properties":{"noteIndex":0},"schema":"https://github.com/citation-style-language/schema/raw/master/csl-citation.json"}</w:instrText>
      </w:r>
      <w:r w:rsidR="00274609">
        <w:rPr>
          <w:rFonts w:ascii="Times New Roman" w:hAnsi="Times New Roman" w:cs="Times New Roman"/>
          <w:sz w:val="24"/>
          <w:szCs w:val="24"/>
        </w:rPr>
        <w:fldChar w:fldCharType="separate"/>
      </w:r>
      <w:r w:rsidR="00274609" w:rsidRPr="0099641B">
        <w:rPr>
          <w:rFonts w:ascii="Times New Roman" w:hAnsi="Times New Roman" w:cs="Times New Roman"/>
          <w:noProof/>
          <w:sz w:val="24"/>
          <w:szCs w:val="24"/>
        </w:rPr>
        <w:t>(</w:t>
      </w:r>
      <w:r w:rsidR="00274609">
        <w:rPr>
          <w:rFonts w:ascii="Times New Roman" w:hAnsi="Times New Roman" w:cs="Times New Roman"/>
          <w:noProof/>
          <w:sz w:val="24"/>
          <w:szCs w:val="24"/>
        </w:rPr>
        <w:t xml:space="preserve">Andensen </w:t>
      </w:r>
      <w:r w:rsidR="00274609" w:rsidRPr="0099641B">
        <w:rPr>
          <w:rFonts w:ascii="Times New Roman" w:hAnsi="Times New Roman" w:cs="Times New Roman"/>
          <w:noProof/>
          <w:sz w:val="24"/>
          <w:szCs w:val="24"/>
        </w:rPr>
        <w:t>Inc, 2021)</w:t>
      </w:r>
      <w:r w:rsidR="00274609">
        <w:rPr>
          <w:rFonts w:ascii="Times New Roman" w:hAnsi="Times New Roman" w:cs="Times New Roman"/>
          <w:sz w:val="24"/>
          <w:szCs w:val="24"/>
        </w:rPr>
        <w:fldChar w:fldCharType="end"/>
      </w:r>
      <w:r w:rsidR="00274609">
        <w:rPr>
          <w:rFonts w:ascii="Times New Roman" w:hAnsi="Times New Roman" w:cs="Times New Roman"/>
          <w:sz w:val="24"/>
          <w:szCs w:val="24"/>
        </w:rPr>
        <w:t xml:space="preserve">. It is the primary e-tax portal for filing and paying federal taxes, including Companies' Income Tax (CIT), Value-Added Tax (VAT), and Tertiary Education Tax (EDT). It offers services such as online registration, instant tax payments with e-receipts, and electronic Tax Clearance Certificates (e-TCCs). The E-Invoicing/Electronic Fiscal System (EFS), an e-invoicing solution (Merchant-Buyer Solution or MBS) providing real-time visibility into transactions, was also introduced by the FIRS and launched in August 2025 (FIRS, 2025). Taxes are vital for reducing economic disparities across communities, states, and countries by redistributing wealth among income groups and genders (Alt et al., 2018). In the foreword to the 2023 Sustainable Development Goals Tracking report (Organização das Nações Unidas, 2023), the report highlighted that a nation’s economic growth is closely linked to its tax and fiscal policies. It was argued that when funding is needed, states can generate revenue through taxation to support sustainable growth strategies that promote long-term economic stability (UN, 2024). The development and challenges of Nigeria’s tax system have deep historical roots, dating back to before colonial rule. </w:t>
      </w:r>
    </w:p>
    <w:p w14:paraId="55600AA5" w14:textId="77777777" w:rsidR="00274609" w:rsidRDefault="00274609" w:rsidP="00274609">
      <w:pPr>
        <w:spacing w:after="0" w:line="360" w:lineRule="auto"/>
        <w:jc w:val="both"/>
        <w:rPr>
          <w:rFonts w:ascii="Times New Roman" w:hAnsi="Times New Roman" w:cs="Times New Roman"/>
          <w:b/>
          <w:sz w:val="24"/>
          <w:szCs w:val="24"/>
        </w:rPr>
      </w:pPr>
    </w:p>
    <w:p w14:paraId="60854D88" w14:textId="77777777" w:rsidR="00274609" w:rsidRPr="003A08C8" w:rsidRDefault="00274609" w:rsidP="00274609">
      <w:pPr>
        <w:pStyle w:val="ListParagraph"/>
        <w:numPr>
          <w:ilvl w:val="0"/>
          <w:numId w:val="2"/>
        </w:numPr>
        <w:spacing w:after="0" w:line="360" w:lineRule="auto"/>
        <w:jc w:val="both"/>
        <w:rPr>
          <w:rFonts w:ascii="Times New Roman" w:hAnsi="Times New Roman" w:cs="Times New Roman"/>
          <w:b/>
          <w:sz w:val="24"/>
          <w:szCs w:val="24"/>
        </w:rPr>
      </w:pPr>
      <w:r w:rsidRPr="003A08C8">
        <w:rPr>
          <w:rFonts w:ascii="Times New Roman" w:hAnsi="Times New Roman" w:cs="Times New Roman"/>
          <w:b/>
          <w:sz w:val="24"/>
          <w:szCs w:val="24"/>
        </w:rPr>
        <w:t>LITERATURE REVIEW</w:t>
      </w:r>
    </w:p>
    <w:p w14:paraId="74FC4254" w14:textId="77777777" w:rsidR="00274609" w:rsidRDefault="00274609" w:rsidP="002746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Nigeria has a rich traditional culture and developed its own tax system before colonial rule. The pre-colonial period featured various traditional taxation methods that differed across regions. In the Southwest, the “Isakole” system required residents to give farm produce, food items, and livestock to the Alaafin of the Oyo Kingdom. In the North, the Fulani practiced direct taxation through methods like “Zakat” and “Kurdin.” The Southeast used “Utu-Amala,” a communal tax collected for the Obas. Colonial authorities formalized these regional taxation systems to generate </w:t>
      </w:r>
      <w:r>
        <w:rPr>
          <w:rFonts w:ascii="Times New Roman" w:hAnsi="Times New Roman" w:cs="Times New Roman"/>
          <w:sz w:val="24"/>
          <w:szCs w:val="24"/>
        </w:rPr>
        <w:lastRenderedPageBreak/>
        <w:t>revenue for administrative and infrastructure projects. After independence, reforms gradually changed the colonial tax system to address issues like low revenue, corruption, and inefficient administration. In response, the Nigerian government introduced several measures. The Tax Identification Number (TIN) digitizes taxpayer records to improve tracking and accountability, becoming mandatory for every taxpayer (Nigeria Tax Act, 2025), and the E-Tax System improves technological efficiency in tax administration and compliance. The Voluntary Assets and Income Declaration Scheme (VAIDS), launched in 2016, aimed to increase revenue and expand the tax base to include the informal sector. Additionally, tax education campaigns via print and social media were used to raise public awareness. The government implemented the e-tax payment system in 2015 (Tivde, 2024), which became operational in March 2015. The Tertiary Education Tax rate (EDT) was adjusted twice between 2017 and 2025, the period covered by this study. In 2025, the government approved consolidating this tax into a new tax called the development levy, enacted through the Nigeria Tax Act (NTA, 2025); see the table below.</w:t>
      </w:r>
    </w:p>
    <w:p w14:paraId="0C898E40" w14:textId="0532D391" w:rsidR="00274609" w:rsidRDefault="00274609" w:rsidP="002746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465807">
        <w:rPr>
          <w:rFonts w:ascii="Times New Roman" w:hAnsi="Times New Roman" w:cs="Times New Roman"/>
          <w:sz w:val="24"/>
          <w:szCs w:val="24"/>
        </w:rPr>
        <w:t>II</w:t>
      </w:r>
      <w:r>
        <w:rPr>
          <w:rFonts w:ascii="Times New Roman" w:hAnsi="Times New Roman" w:cs="Times New Roman"/>
          <w:sz w:val="24"/>
          <w:szCs w:val="24"/>
        </w:rPr>
        <w:t>.</w:t>
      </w:r>
      <w:r w:rsidR="00465807">
        <w:rPr>
          <w:rFonts w:ascii="Times New Roman" w:hAnsi="Times New Roman" w:cs="Times New Roman"/>
          <w:sz w:val="24"/>
          <w:szCs w:val="24"/>
        </w:rPr>
        <w:t>I</w:t>
      </w:r>
      <w:r w:rsidR="000159A9">
        <w:rPr>
          <w:rFonts w:ascii="Times New Roman" w:hAnsi="Times New Roman" w:cs="Times New Roman"/>
          <w:sz w:val="24"/>
          <w:szCs w:val="24"/>
        </w:rPr>
        <w:t>.</w:t>
      </w:r>
      <w:r>
        <w:rPr>
          <w:rFonts w:ascii="Times New Roman" w:hAnsi="Times New Roman" w:cs="Times New Roman"/>
          <w:sz w:val="24"/>
          <w:szCs w:val="24"/>
        </w:rPr>
        <w:t xml:space="preserve"> The changes in Education Tax Rate between 2017 and 2025</w:t>
      </w:r>
    </w:p>
    <w:tbl>
      <w:tblPr>
        <w:tblStyle w:val="TableGrid"/>
        <w:tblW w:w="0" w:type="auto"/>
        <w:tblLook w:val="04A0" w:firstRow="1" w:lastRow="0" w:firstColumn="1" w:lastColumn="0" w:noHBand="0" w:noVBand="1"/>
      </w:tblPr>
      <w:tblGrid>
        <w:gridCol w:w="1525"/>
        <w:gridCol w:w="1980"/>
        <w:gridCol w:w="5845"/>
      </w:tblGrid>
      <w:tr w:rsidR="00274609" w14:paraId="14BA5A26" w14:textId="77777777" w:rsidTr="00465807">
        <w:tc>
          <w:tcPr>
            <w:tcW w:w="1525" w:type="dxa"/>
          </w:tcPr>
          <w:p w14:paraId="1422D8F0"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 xml:space="preserve">Period </w:t>
            </w:r>
          </w:p>
        </w:tc>
        <w:tc>
          <w:tcPr>
            <w:tcW w:w="1980" w:type="dxa"/>
          </w:tcPr>
          <w:p w14:paraId="17E91EB2"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Tertiary Education Tax Rate (EDT)</w:t>
            </w:r>
          </w:p>
        </w:tc>
        <w:tc>
          <w:tcPr>
            <w:tcW w:w="5845" w:type="dxa"/>
          </w:tcPr>
          <w:p w14:paraId="654B4C48"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Key Legislation Details</w:t>
            </w:r>
          </w:p>
        </w:tc>
      </w:tr>
      <w:tr w:rsidR="00274609" w14:paraId="6CC7C2A9" w14:textId="77777777" w:rsidTr="00465807">
        <w:tc>
          <w:tcPr>
            <w:tcW w:w="1525" w:type="dxa"/>
          </w:tcPr>
          <w:p w14:paraId="4C211E2C"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2017-2021</w:t>
            </w:r>
          </w:p>
        </w:tc>
        <w:tc>
          <w:tcPr>
            <w:tcW w:w="1980" w:type="dxa"/>
          </w:tcPr>
          <w:p w14:paraId="2D8F6AEE"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2.0%</w:t>
            </w:r>
          </w:p>
        </w:tc>
        <w:tc>
          <w:tcPr>
            <w:tcW w:w="5845" w:type="dxa"/>
          </w:tcPr>
          <w:p w14:paraId="72060A58"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This rate was governed by the TETFund Act 2011</w:t>
            </w:r>
          </w:p>
        </w:tc>
      </w:tr>
      <w:tr w:rsidR="00274609" w14:paraId="62BEDD20" w14:textId="77777777" w:rsidTr="00465807">
        <w:tc>
          <w:tcPr>
            <w:tcW w:w="1525" w:type="dxa"/>
          </w:tcPr>
          <w:p w14:paraId="4683AE6D"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2022-August 2023</w:t>
            </w:r>
          </w:p>
        </w:tc>
        <w:tc>
          <w:tcPr>
            <w:tcW w:w="1980" w:type="dxa"/>
          </w:tcPr>
          <w:p w14:paraId="44C76E21"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2.5%</w:t>
            </w:r>
          </w:p>
        </w:tc>
        <w:tc>
          <w:tcPr>
            <w:tcW w:w="5845" w:type="dxa"/>
          </w:tcPr>
          <w:p w14:paraId="31D8BC5C"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Increase through the Finance Act, 2021, effective January 2022, on assessable profit of companies.</w:t>
            </w:r>
          </w:p>
        </w:tc>
      </w:tr>
      <w:tr w:rsidR="00274609" w14:paraId="1E4E021A" w14:textId="77777777" w:rsidTr="00465807">
        <w:tc>
          <w:tcPr>
            <w:tcW w:w="1525" w:type="dxa"/>
          </w:tcPr>
          <w:p w14:paraId="4F360E4F"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September 2023- 2025</w:t>
            </w:r>
          </w:p>
        </w:tc>
        <w:tc>
          <w:tcPr>
            <w:tcW w:w="1980" w:type="dxa"/>
          </w:tcPr>
          <w:p w14:paraId="67CFC5F0"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3%</w:t>
            </w:r>
          </w:p>
        </w:tc>
        <w:tc>
          <w:tcPr>
            <w:tcW w:w="5845" w:type="dxa"/>
          </w:tcPr>
          <w:p w14:paraId="28E96ED7" w14:textId="77777777" w:rsidR="00274609" w:rsidRDefault="00274609" w:rsidP="00465807">
            <w:pPr>
              <w:jc w:val="both"/>
              <w:rPr>
                <w:rFonts w:ascii="Times New Roman" w:hAnsi="Times New Roman" w:cs="Times New Roman"/>
                <w:sz w:val="24"/>
                <w:szCs w:val="24"/>
              </w:rPr>
            </w:pPr>
            <w:r>
              <w:rPr>
                <w:rFonts w:ascii="Times New Roman" w:hAnsi="Times New Roman" w:cs="Times New Roman"/>
                <w:sz w:val="24"/>
                <w:szCs w:val="24"/>
              </w:rPr>
              <w:t>This increase was imposed through the Finance Act 2023; the rate is effective for accounting periods ending on or after September 1</w:t>
            </w:r>
            <w:r w:rsidRPr="00253B5D">
              <w:rPr>
                <w:rFonts w:ascii="Times New Roman" w:hAnsi="Times New Roman" w:cs="Times New Roman"/>
                <w:sz w:val="24"/>
                <w:szCs w:val="24"/>
                <w:vertAlign w:val="superscript"/>
              </w:rPr>
              <w:t>st</w:t>
            </w:r>
            <w:r>
              <w:rPr>
                <w:rFonts w:ascii="Times New Roman" w:hAnsi="Times New Roman" w:cs="Times New Roman"/>
                <w:sz w:val="24"/>
                <w:szCs w:val="24"/>
              </w:rPr>
              <w:t xml:space="preserve"> 2023.</w:t>
            </w:r>
          </w:p>
        </w:tc>
      </w:tr>
    </w:tbl>
    <w:p w14:paraId="31B36AAD" w14:textId="77777777" w:rsidR="00274609" w:rsidRDefault="00274609" w:rsidP="002746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Authours’ compilation, 2026</w:t>
      </w:r>
    </w:p>
    <w:p w14:paraId="4B103069" w14:textId="77777777" w:rsidR="00274609" w:rsidRDefault="00274609" w:rsidP="002746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Likewise, the VAT rate increased in February 2020 from 5% to 7.5%, marking the first change since its introduction in 1993. </w:t>
      </w:r>
      <w:bookmarkStart w:id="4" w:name="_Hlk238268486"/>
      <w:r>
        <w:rPr>
          <w:rFonts w:ascii="Times New Roman" w:hAnsi="Times New Roman" w:cs="Times New Roman"/>
          <w:sz w:val="24"/>
          <w:szCs w:val="24"/>
        </w:rPr>
        <w:t xml:space="preserve">The need to simplify compliance and make tax payments more convenient for all taxpayers led the government to adopt automated tax administration, aligning with global trends. The government is motivated by the OECD Tax Administration Series 3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report sets out a vision for the digital transformation of tax administration, under which taxation becomes more of a seamless and frictionless process over time. The intention of this discussion paper, requested by Commissioners at the 2019 OECD Forum on Tax Administration Plenary in Santiago, is to stimulate debate and conversation, both on the vision and its component building blocks.","author":[{"dropping-particle":"","family":"Arendsen","given":"Rex","non-dropping-particle":"","parse-names":false,"suffix":""},{"dropping-particle":"","family":"Green","given":"Peter","non-dropping-particle":"","parse-names":false,"suffix":""}],"container-title":"OECD Publishing","id":"ITEM-1","issue":"3","issued":{"date-parts":[["2020"]]},"page":"10-74","title":"Tax Administration 3 . 0 : The Digital Transformation of Tax Administration Tax Retail Welfare Business Other","type":"article-journal","volume":"1"},"uris":["http://www.mendeley.com/documents/?uuid=6147f9c5-bbf9-4595-91a4-24adb22465f7"]}],"mendeley":{"formattedCitation":"(Arendsen &amp; Green, 2020)","plainTextFormattedCitation":"(Arendsen &amp; Green, 2020)","previouslyFormattedCitation":"(Arendsen &amp; Green, 2020)"},"properties":{"noteIndex":0},"schema":"https://github.com/citation-style-language/schema/raw/master/csl-citation.json"}</w:instrText>
      </w:r>
      <w:r>
        <w:rPr>
          <w:rFonts w:ascii="Times New Roman" w:hAnsi="Times New Roman" w:cs="Times New Roman"/>
          <w:sz w:val="24"/>
          <w:szCs w:val="24"/>
        </w:rPr>
        <w:fldChar w:fldCharType="separate"/>
      </w:r>
      <w:r w:rsidRPr="00606034">
        <w:rPr>
          <w:rFonts w:ascii="Times New Roman" w:hAnsi="Times New Roman" w:cs="Times New Roman"/>
          <w:noProof/>
          <w:sz w:val="24"/>
          <w:szCs w:val="24"/>
        </w:rPr>
        <w:t>(Arendsen &amp; Green, 2020)</w:t>
      </w:r>
      <w:r>
        <w:rPr>
          <w:rFonts w:ascii="Times New Roman" w:hAnsi="Times New Roman" w:cs="Times New Roman"/>
          <w:sz w:val="24"/>
          <w:szCs w:val="24"/>
        </w:rPr>
        <w:fldChar w:fldCharType="end"/>
      </w:r>
      <w:r>
        <w:rPr>
          <w:rFonts w:ascii="Times New Roman" w:hAnsi="Times New Roman" w:cs="Times New Roman"/>
          <w:sz w:val="24"/>
          <w:szCs w:val="24"/>
        </w:rPr>
        <w:t xml:space="preserve"> to automate the administration of Nigeria's tax system. </w:t>
      </w:r>
      <w:bookmarkEnd w:id="4"/>
      <w:r>
        <w:rPr>
          <w:rFonts w:ascii="Times New Roman" w:hAnsi="Times New Roman" w:cs="Times New Roman"/>
          <w:sz w:val="24"/>
          <w:szCs w:val="24"/>
        </w:rPr>
        <w:t xml:space="preserve">Oloyede et al. (2023) opined that the main purpose of governance is to create and sustain a conducive environment for the people within their jurisdiction, providing social amenities and protecting life and property; also, to </w:t>
      </w:r>
      <w:bookmarkStart w:id="5" w:name="_Hlk238268723"/>
      <w:r>
        <w:rPr>
          <w:rFonts w:ascii="Times New Roman" w:hAnsi="Times New Roman" w:cs="Times New Roman"/>
          <w:sz w:val="24"/>
          <w:szCs w:val="24"/>
        </w:rPr>
        <w:t xml:space="preserve">have sustainable financing, which is widely considered to come from taxation (Shulla et al., 2024; Syafriel et al., 2025). Sustainable finance comes through tax compliance that is easy and convenient for taxpayers. </w:t>
      </w:r>
      <w:bookmarkStart w:id="6" w:name="_Hlk238268786"/>
      <w:bookmarkEnd w:id="5"/>
      <w:r>
        <w:rPr>
          <w:rFonts w:ascii="Times New Roman" w:hAnsi="Times New Roman" w:cs="Times New Roman"/>
          <w:sz w:val="24"/>
          <w:szCs w:val="24"/>
        </w:rPr>
        <w:t xml:space="preserve">Dom et al. (2022) argued that innovation in </w:t>
      </w:r>
      <w:r>
        <w:rPr>
          <w:rFonts w:ascii="Times New Roman" w:hAnsi="Times New Roman" w:cs="Times New Roman"/>
          <w:sz w:val="24"/>
          <w:szCs w:val="24"/>
        </w:rPr>
        <w:lastRenderedPageBreak/>
        <w:t xml:space="preserve">tax compliance should adopt information technology to reduce face-to-face interactions with tax officers, which often lead to undue delays, bribery, and other abuses. </w:t>
      </w:r>
      <w:bookmarkStart w:id="7" w:name="_Hlk238268844"/>
      <w:bookmarkEnd w:id="6"/>
      <w:r>
        <w:rPr>
          <w:rFonts w:ascii="Times New Roman" w:hAnsi="Times New Roman" w:cs="Times New Roman"/>
          <w:sz w:val="24"/>
          <w:szCs w:val="24"/>
        </w:rPr>
        <w:t xml:space="preserve">The government was advised to improve revenue through reforms involving information technology, designed to reduce the scope of evasion and avoidance. Dom et al. (2022) further noted that the focus should not always be on enforcement but rather on customer service to facilitate compliance. </w:t>
      </w:r>
      <w:bookmarkEnd w:id="7"/>
      <w:r>
        <w:rPr>
          <w:rFonts w:ascii="Times New Roman" w:hAnsi="Times New Roman" w:cs="Times New Roman"/>
          <w:sz w:val="24"/>
          <w:szCs w:val="24"/>
        </w:rPr>
        <w:t xml:space="preserve">Governments at all levels should simplify assessments, make tax liability information easy to access, and respond promptly to taxpayer inquiries. Any reform should not focus solely on taxpayers; the customer orientation of tax administrators also requires broad attention. Oloyede et al. 2023) suggested that, to increase tax receipts, the government must transition from manual to electronic collection, as this has significantly improved the Nigerian tax system. </w:t>
      </w:r>
    </w:p>
    <w:p w14:paraId="471E0383" w14:textId="77777777" w:rsidR="00274609" w:rsidRPr="0099641B" w:rsidRDefault="00274609" w:rsidP="00274609">
      <w:pPr>
        <w:spacing w:before="100" w:beforeAutospacing="1" w:after="100" w:afterAutospacing="1" w:line="360" w:lineRule="auto"/>
        <w:jc w:val="both"/>
        <w:rPr>
          <w:rFonts w:ascii="Times New Roman" w:eastAsia="Times New Roman" w:hAnsi="Times New Roman" w:cs="Times New Roman"/>
          <w:sz w:val="24"/>
          <w:szCs w:val="24"/>
        </w:rPr>
      </w:pPr>
      <w:bookmarkStart w:id="8" w:name="_Hlk238268936"/>
      <w:r w:rsidRPr="008212C0">
        <w:rPr>
          <w:rFonts w:ascii="Times New Roman" w:eastAsia="Times New Roman" w:hAnsi="Times New Roman" w:cs="Times New Roman"/>
          <w:sz w:val="24"/>
          <w:szCs w:val="24"/>
        </w:rPr>
        <w:t xml:space="preserve">This study is grounded in the </w:t>
      </w:r>
      <w:r w:rsidRPr="008212C0">
        <w:rPr>
          <w:rFonts w:ascii="Times New Roman" w:eastAsia="Times New Roman" w:hAnsi="Times New Roman" w:cs="Times New Roman"/>
          <w:bCs/>
          <w:sz w:val="24"/>
          <w:szCs w:val="24"/>
        </w:rPr>
        <w:t>Theory of Innovation Translation</w:t>
      </w:r>
      <w:r w:rsidRPr="008212C0">
        <w:rPr>
          <w:rFonts w:ascii="Times New Roman" w:eastAsia="Times New Roman" w:hAnsi="Times New Roman" w:cs="Times New Roman"/>
          <w:sz w:val="24"/>
          <w:szCs w:val="24"/>
        </w:rPr>
        <w:t>, which explores how technology is adopted and adapted to meet users’ needs</w:t>
      </w:r>
      <w:bookmarkStart w:id="9" w:name="_Hlk238269347"/>
      <w:r w:rsidRPr="008212C0">
        <w:rPr>
          <w:rFonts w:ascii="Times New Roman" w:eastAsia="Times New Roman" w:hAnsi="Times New Roman" w:cs="Times New Roman"/>
          <w:sz w:val="24"/>
          <w:szCs w:val="24"/>
        </w:rPr>
        <w:t xml:space="preserve">. </w:t>
      </w:r>
      <w:bookmarkEnd w:id="8"/>
      <w:r w:rsidRPr="008212C0">
        <w:rPr>
          <w:rFonts w:ascii="Times New Roman" w:eastAsia="Times New Roman" w:hAnsi="Times New Roman" w:cs="Times New Roman"/>
          <w:sz w:val="24"/>
          <w:szCs w:val="24"/>
        </w:rPr>
        <w:t xml:space="preserve">Implementation is not expected to be uniform; rather, it must be tailored to the specific environment in which it is introduced </w:t>
      </w:r>
      <w:bookmarkStart w:id="10" w:name="_Hlk238268980"/>
      <w:bookmarkEnd w:id="9"/>
      <w:r w:rsidRPr="008212C0">
        <w:rPr>
          <w:rFonts w:ascii="Times New Roman" w:eastAsia="Times New Roman" w:hAnsi="Times New Roman" w:cs="Times New Roman"/>
          <w:sz w:val="24"/>
          <w:szCs w:val="24"/>
        </w:rPr>
        <w:t>(Philip, 2012; Martin, 2022; Ottosson, 2019)</w:t>
      </w:r>
      <w:bookmarkEnd w:id="10"/>
      <w:r w:rsidRPr="008212C0">
        <w:rPr>
          <w:rFonts w:ascii="Times New Roman" w:eastAsia="Times New Roman" w:hAnsi="Times New Roman" w:cs="Times New Roman"/>
          <w:sz w:val="24"/>
          <w:szCs w:val="24"/>
        </w:rPr>
        <w:t xml:space="preserve">. Closely aligned with this perspective, </w:t>
      </w:r>
      <w:r w:rsidRPr="008212C0">
        <w:rPr>
          <w:rFonts w:ascii="Times New Roman" w:eastAsia="Times New Roman" w:hAnsi="Times New Roman" w:cs="Times New Roman"/>
          <w:bCs/>
          <w:sz w:val="24"/>
          <w:szCs w:val="24"/>
        </w:rPr>
        <w:t>Actor-Network Theory</w:t>
      </w:r>
      <w:r>
        <w:rPr>
          <w:rFonts w:ascii="Times New Roman" w:eastAsia="Times New Roman" w:hAnsi="Times New Roman" w:cs="Times New Roman"/>
          <w:bCs/>
          <w:sz w:val="24"/>
          <w:szCs w:val="24"/>
        </w:rPr>
        <w:t xml:space="preserve">, </w:t>
      </w:r>
      <w:r w:rsidRPr="008212C0">
        <w:rPr>
          <w:rFonts w:ascii="Times New Roman" w:eastAsia="Times New Roman" w:hAnsi="Times New Roman" w:cs="Times New Roman"/>
          <w:sz w:val="24"/>
          <w:szCs w:val="24"/>
        </w:rPr>
        <w:t>developed by Bruno Latour, Michel Callon, and John Law in the late 1970s and early 1980s</w:t>
      </w:r>
      <w:r>
        <w:rPr>
          <w:rFonts w:ascii="Times New Roman" w:eastAsia="Times New Roman" w:hAnsi="Times New Roman" w:cs="Times New Roman"/>
          <w:sz w:val="24"/>
          <w:szCs w:val="24"/>
        </w:rPr>
        <w:t xml:space="preserve">, </w:t>
      </w:r>
      <w:r w:rsidRPr="008212C0">
        <w:rPr>
          <w:rFonts w:ascii="Times New Roman" w:eastAsia="Times New Roman" w:hAnsi="Times New Roman" w:cs="Times New Roman"/>
          <w:sz w:val="24"/>
          <w:szCs w:val="24"/>
        </w:rPr>
        <w:t xml:space="preserve">emphasizes socio-materiality and the intricate relations among human and non-human actors that shape social realities (Fenwick &amp; Edwards, 2010; Walsham, 1997). </w:t>
      </w:r>
      <w:bookmarkStart w:id="11" w:name="_Hlk238269525"/>
      <w:r w:rsidRPr="008212C0">
        <w:rPr>
          <w:rFonts w:ascii="Times New Roman" w:eastAsia="Times New Roman" w:hAnsi="Times New Roman" w:cs="Times New Roman"/>
          <w:sz w:val="24"/>
          <w:szCs w:val="24"/>
        </w:rPr>
        <w:t>ANT supports the principle of innovation translation, arguing that technologies must be adapted to local contexts rather than applied in their original form (Oloyede et al., 2023).</w:t>
      </w:r>
      <w:bookmarkEnd w:id="11"/>
      <w:r>
        <w:rPr>
          <w:rFonts w:ascii="Times New Roman" w:eastAsia="Times New Roman" w:hAnsi="Times New Roman" w:cs="Times New Roman"/>
          <w:sz w:val="24"/>
          <w:szCs w:val="24"/>
        </w:rPr>
        <w:t xml:space="preserve"> </w:t>
      </w:r>
      <w:bookmarkStart w:id="12" w:name="_Hlk238269657"/>
      <w:r w:rsidRPr="008212C0">
        <w:rPr>
          <w:rFonts w:ascii="Times New Roman" w:eastAsia="Times New Roman" w:hAnsi="Times New Roman" w:cs="Times New Roman"/>
          <w:sz w:val="24"/>
          <w:szCs w:val="24"/>
        </w:rPr>
        <w:t xml:space="preserve">Complementing these perspectives, the </w:t>
      </w:r>
      <w:r w:rsidRPr="008212C0">
        <w:rPr>
          <w:rFonts w:ascii="Times New Roman" w:eastAsia="Times New Roman" w:hAnsi="Times New Roman" w:cs="Times New Roman"/>
          <w:bCs/>
          <w:sz w:val="24"/>
          <w:szCs w:val="24"/>
        </w:rPr>
        <w:t>Technology Acceptance Model (TAM</w:t>
      </w:r>
      <w:r w:rsidRPr="008212C0">
        <w:rPr>
          <w:rFonts w:ascii="Times New Roman" w:eastAsia="Times New Roman" w:hAnsi="Times New Roman" w:cs="Times New Roman"/>
          <w:b/>
          <w:bCs/>
          <w:sz w:val="24"/>
          <w:szCs w:val="24"/>
        </w:rPr>
        <w:t>)</w:t>
      </w:r>
      <w:r w:rsidRPr="008212C0">
        <w:rPr>
          <w:rFonts w:ascii="Times New Roman" w:eastAsia="Times New Roman" w:hAnsi="Times New Roman" w:cs="Times New Roman"/>
          <w:sz w:val="24"/>
          <w:szCs w:val="24"/>
        </w:rPr>
        <w:t xml:space="preserve"> highlights the importance of user acceptance in the adoption of innovations. TAM posits that perceived ease of use and user-friendliness are critical factors influencing whether a technology will be embraced by its intended users (Davis, 1987). </w:t>
      </w:r>
      <w:bookmarkEnd w:id="12"/>
      <w:r w:rsidRPr="008212C0">
        <w:rPr>
          <w:rFonts w:ascii="Times New Roman" w:eastAsia="Times New Roman" w:hAnsi="Times New Roman" w:cs="Times New Roman"/>
          <w:sz w:val="24"/>
          <w:szCs w:val="24"/>
        </w:rPr>
        <w:t>Together, these theories underscore that successful implementation of information technology requires sensitivity to user needs, contextual adaptation, and attention to usability.</w:t>
      </w:r>
      <w:r w:rsidRPr="002513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{"citationItems":[{"id":"ITEM-1","itemData":{"DOI":"https://mediterraneanpublications.com/mejhlar/article/view/260","abstract":"he purpose of governance is to make life conducive for the citizens through the provision of basic social amenities including the security of life and property. To accomplish these objectives, the government needs to raise revenue through taxation. However, the twin problems of tax evasion and tax avoidance often affect the ability of the government to generate revenue. In a determined effort to increase tax compliance such that it can raise enough revenue to execute its projects, the government adopted e-taxation as a component of its e-governance initiative in line with global best practices. This paper adopted a qualitative research method, making use of ex-post facto secondary data which involves an extensive literature review of articles, journals, periodicals, reports, and relevant tax laws. The study revealed that e-taxation is convenient and has helped reduce calculation errors on the tax returns filed by taxpayers, minimize revenue leakages and fraud, eliminate reconciliation challenges, increase the amount of revenue generated, and save time and cost for taxpayers. The study therefore recommends that tax administrators at all levels of governance should shift towards e-taxation, and embark on more citizens' enlightenment on the importance of shifting from manual taxation to electronic taxation. With increased knowledge by taxpayers, the level of tax compliance will continuously increase with a positive impact on tax revenue generated.","author":[{"dropping-particle":"","family":"E. Oloyede","given":"Funmilayo","non-dropping-particle":"","parse-names":false,"suffix":""},{"dropping-particle":"","family":"Osundina","given":"Olasunkanmi","non-dropping-particle":"","parse-names":false,"suffix":""},{"dropping-particle":"","family":"Odewusi","given":"Olorunfemi","non-dropping-particle":"","parse-names":false,"suffix":""}],"container-title":"International Journal of Humanities, Literature and Art Research","id":"ITEM-1","issue":"1","issued":{"date-parts":[["2023"]]},"page":"33-40","title":"The Impact of E-Governance on Tax Revenue Generation in Nigeria","type":"article-journal","volume":"2"},"uris":["http://www.mendeley.com/documents/?uuid=59ee8faa-c875-4528-a731-f1108241882a"]}],"mendeley":{"formattedCitation":"(E. Oloyede et al., 2023)","manualFormatting":"\rOloyede et al. (2023)","plainTextFormattedCitation":"(E. Oloyede et al., 2023)","previouslyFormattedCitation":"(E. Oloyede et al., 2023)"},"properties":{"noteIndex":0},"schema":"https://github.com/citation-style-language/schema/raw/master/csl-citation.json"}</w:instrText>
      </w:r>
      <w:r w:rsidRPr="002513AE">
        <w:rPr>
          <w:rFonts w:ascii="Times New Roman" w:hAnsi="Times New Roman" w:cs="Times New Roman"/>
          <w:sz w:val="24"/>
          <w:szCs w:val="24"/>
        </w:rPr>
        <w:fldChar w:fldCharType="separate"/>
      </w:r>
    </w:p>
    <w:p w14:paraId="65798A7C" w14:textId="77777777" w:rsidR="00274609" w:rsidRPr="002513AE" w:rsidRDefault="00274609" w:rsidP="00274609">
      <w:pPr>
        <w:spacing w:line="360" w:lineRule="auto"/>
        <w:ind w:right="-90"/>
        <w:jc w:val="both"/>
        <w:rPr>
          <w:rFonts w:ascii="Times New Roman" w:hAnsi="Times New Roman" w:cs="Times New Roman"/>
          <w:sz w:val="24"/>
          <w:szCs w:val="24"/>
        </w:rPr>
      </w:pPr>
      <w:r w:rsidRPr="00154097">
        <w:rPr>
          <w:rFonts w:ascii="Times New Roman" w:hAnsi="Times New Roman" w:cs="Times New Roman"/>
          <w:noProof/>
          <w:sz w:val="24"/>
          <w:szCs w:val="24"/>
        </w:rPr>
        <w:t xml:space="preserve">Oloyede et al. </w:t>
      </w:r>
      <w:r>
        <w:rPr>
          <w:rFonts w:ascii="Times New Roman" w:hAnsi="Times New Roman" w:cs="Times New Roman"/>
          <w:noProof/>
          <w:sz w:val="24"/>
          <w:szCs w:val="24"/>
        </w:rPr>
        <w:t>(</w:t>
      </w:r>
      <w:r w:rsidRPr="00154097">
        <w:rPr>
          <w:rFonts w:ascii="Times New Roman" w:hAnsi="Times New Roman" w:cs="Times New Roman"/>
          <w:noProof/>
          <w:sz w:val="24"/>
          <w:szCs w:val="24"/>
        </w:rPr>
        <w:t>2023)</w:t>
      </w:r>
      <w:r w:rsidRPr="002513AE">
        <w:rPr>
          <w:rFonts w:ascii="Times New Roman" w:hAnsi="Times New Roman" w:cs="Times New Roman"/>
          <w:sz w:val="24"/>
          <w:szCs w:val="24"/>
        </w:rPr>
        <w:fldChar w:fldCharType="end"/>
      </w:r>
      <w:r w:rsidRPr="002513AE">
        <w:rPr>
          <w:rFonts w:ascii="Times New Roman" w:hAnsi="Times New Roman" w:cs="Times New Roman"/>
          <w:sz w:val="24"/>
          <w:szCs w:val="24"/>
        </w:rPr>
        <w:t xml:space="preserve"> noted that the adoption of e-taxation in Nigeria faces challenges, including insufficient numbers of technical experts knowledgeable about the technology, skills gaps, and cybersecurity issues. Resistance to change among taxpayers was another challenge identified in the study;</w:t>
      </w:r>
      <w:r>
        <w:rPr>
          <w:rFonts w:ascii="Times New Roman" w:hAnsi="Times New Roman" w:cs="Times New Roman"/>
          <w:sz w:val="24"/>
          <w:szCs w:val="24"/>
        </w:rPr>
        <w:t xml:space="preserve"> most especially those taxpayers who are illiterate, mostly those in the informal sector of the economy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 10.1007/978-3-031-17972-3","author":[{"dropping-particle":"","family":"Faniran, A., Jeje, L., Fashae, O.A., Olusola","given":"A.O.","non-dropping-particle":"","parse-names":false,"suffix":""}],"editor":[{"dropping-particle":"","family":"Adetoye Faniran, Lawrence Jeje","given":"Olutoyin Adeola Fashae and Adeyemi Oludapo","non-dropping-particle":"","parse-names":false,"suffix":""}],"id":"ITEM-1","issued":{"date-parts":[["2023"]]},"number-of-pages":"672","publisher":"Springer","title":"Landscapes and Landforms of Nigeria","type":"book"},"uris":["http://www.mendeley.com/documents/?uuid=3c5a722f-7b41-447b-9828-bf812e1d0359"]}],"mendeley":{"formattedCitation":"(Faniran, A., Jeje, L., Fashae, O.A., Olusola, 2023)","manualFormatting":"(Faniran, A., Jeje, L., Fashae, O.A., &amp; Olusola, 2023; ","plainTextFormattedCitation":"(Faniran, A., Jeje, L., Fashae, O.A., Olusola, 2023)","previouslyFormattedCitation":"(Faniran, A., Jeje, L., Fashae, O.A., Olusola, 2023)"},"properties":{"noteIndex":0},"schema":"https://github.com/citation-style-language/schema/raw/master/csl-citation.json"}</w:instrText>
      </w:r>
      <w:r>
        <w:rPr>
          <w:rFonts w:ascii="Times New Roman" w:hAnsi="Times New Roman" w:cs="Times New Roman"/>
          <w:sz w:val="24"/>
          <w:szCs w:val="24"/>
        </w:rPr>
        <w:fldChar w:fldCharType="separate"/>
      </w:r>
      <w:r w:rsidRPr="00E43C96">
        <w:rPr>
          <w:rFonts w:ascii="Times New Roman" w:hAnsi="Times New Roman" w:cs="Times New Roman"/>
          <w:noProof/>
          <w:sz w:val="24"/>
          <w:szCs w:val="24"/>
        </w:rPr>
        <w:t xml:space="preserve">(Faniran, A., Jeje, L., Fashae, O.A., </w:t>
      </w:r>
      <w:r>
        <w:rPr>
          <w:rFonts w:ascii="Times New Roman" w:hAnsi="Times New Roman" w:cs="Times New Roman"/>
          <w:noProof/>
          <w:sz w:val="24"/>
          <w:szCs w:val="24"/>
        </w:rPr>
        <w:t xml:space="preserve">&amp; </w:t>
      </w:r>
      <w:r w:rsidRPr="00E43C96">
        <w:rPr>
          <w:rFonts w:ascii="Times New Roman" w:hAnsi="Times New Roman" w:cs="Times New Roman"/>
          <w:noProof/>
          <w:sz w:val="24"/>
          <w:szCs w:val="24"/>
        </w:rPr>
        <w:t>Olusola, 2023</w:t>
      </w:r>
      <w:r>
        <w:rPr>
          <w:rFonts w:ascii="Times New Roman" w:hAnsi="Times New Roman" w:cs="Times New Roman"/>
          <w:noProof/>
          <w:sz w:val="24"/>
          <w:szCs w:val="24"/>
        </w:rPr>
        <w:t xml:space="preserve">; </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{"citationItems":[{"id":"ITEM-1","itemData":{"DOI":"•","author":[{"dropping-particle":"","family":"Ike","given":"Eke Robert","non-dropping-particle":"","parse-names":false,"suffix":""},{"dropping-particle":"","family":"Bright","given":"Alohan Osayamen","non-dropping-particle":"","parse-names":false,"suffix":""}],"container-title":"Proceedings of the 7th Annual International Academic conference on Accounting and Finance Disruptive Technology: Accounting Practices, Financial and Sustainability Reporting","id":"ITEM-1","issue":"2016","issued":{"date-parts":[["2022"]]},"page":"20","publisher":"INstitute of Chartered Accountants of nigeria (ICAN)","title":"Annual International Academic Conference on Accounting and Finance Disruptive Technology: Accounting Practices, Financial and Sustainability Reporting","type":"paper-conference"},"uris":["http://www.mendeley.com/documents/?uuid=6cdf2bb9-ac13-41e3-a5e3-d93bb4b84446"]}],"mendeley":{"formattedCitation":"(Ike &amp; Bright, 2022)","manualFormatting":"Ike &amp; Bright, 2022)","plainTextFormattedCitation":"(Ike &amp; Bright, 2022)","previouslyFormattedCitation":"(Ike &amp; Bright, 2022)"},"properties":{"noteIndex":0},"schema":"https://github.com/citation-style-language/schema/raw/master/csl-citation.json"}</w:instrText>
      </w:r>
      <w:r>
        <w:rPr>
          <w:rFonts w:ascii="Times New Roman" w:hAnsi="Times New Roman" w:cs="Times New Roman"/>
          <w:sz w:val="24"/>
          <w:szCs w:val="24"/>
        </w:rPr>
        <w:fldChar w:fldCharType="separate"/>
      </w:r>
      <w:r w:rsidRPr="00E43C96">
        <w:rPr>
          <w:rFonts w:ascii="Times New Roman" w:hAnsi="Times New Roman" w:cs="Times New Roman"/>
          <w:noProof/>
          <w:sz w:val="24"/>
          <w:szCs w:val="24"/>
        </w:rPr>
        <w:t>Ike &amp; Bright,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513AE">
        <w:rPr>
          <w:rFonts w:ascii="Times New Roman" w:hAnsi="Times New Roman" w:cs="Times New Roman"/>
          <w:sz w:val="24"/>
          <w:szCs w:val="24"/>
        </w:rPr>
        <w:t xml:space="preserve">some still prefer the manual approach to the automated system. </w:t>
      </w:r>
      <w:r w:rsidRPr="002513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 2635-2966","abstract":"The impact of electronic tax administration on tax compliance and the resultant effect on tax revenue has been examined. The quantitative research design was employed using existing data sourced from the Federal Inland Revenue Service (FIRS). Data were tax revenue posted seven years before and after the adoption of e-tax administration by the FIRS in 2013. Data so sourced were analyzed using descriptive statistics and pairwise t-test to ascertain if a difference exists and or relationship between pre-and post-e-tax revenue. The study found a strong connection between the electronic tax system and tax compliance (tax revenue) as shown by the pairwise test (p-value of 0.012&lt;0.05). Also, the mean tax revenue during post\u0002and pre-e-tax of (4466828.5714&gt;3051200.0000); and an average annual variation in overall tax revenue of N1.4trillion compared with pre-electronic tax period demonstrated a significant difference. With these, the study affirmed that a strong association exists between electronic taxation and tax compliance. Therefore, the service should always further work on its Information Communication Technology (ICT) architecture/infrastructure for easy access and flexibility to encourage taxpayers as well as enhancing robust tax administration. In all, security measures should be put in place regularly to prevent hackers, malicious attacks and other disasters inherent in ICT based environment.","author":[{"dropping-particle":"","family":"Oladele","given":"Rotimi","non-dropping-particle":"","parse-names":false,"suffix":""},{"dropping-particle":"","family":"Aribaba","given":"Foluso Olugbenga","non-dropping-particle":"","parse-names":false,"suffix":""},{"dropping-particle":"","family":"Adekunle","given":"Adediran Rasheed","non-dropping-particle":"","parse-names":false,"suffix":""},{"dropping-particle":"","family":"Babatunde","given":"Adebola D.","non-dropping-particle":"","parse-names":false,"suffix":""}],"container-title":"Accounting &amp; Taxation Review","id":"ITEM-1","issue":"3","issued":{"date-parts":[["2020"]]},"page":"93-101","title":"E-tax administration and tax compliance among corporate taxpayers in Nigeria","type":"article-journal","volume":"4"},"uris":["http://www.mendeley.com/documents/?uuid=ca9a39d4-9d32-401f-bab8-4cf8a99dffbf"]}],"mendeley":{"formattedCitation":"(Oladele et al., 2020)","plainTextFormattedCitation":"(Oladele et al., 2020)","previouslyFormattedCitation":"(Oladele et al., 2020)"},"properties":{"noteIndex":0},"schema":"https://github.com/citation-style-language/schema/raw/master/csl-citation.json"}</w:instrText>
      </w:r>
      <w:r w:rsidRPr="002513AE">
        <w:rPr>
          <w:rFonts w:ascii="Times New Roman" w:hAnsi="Times New Roman" w:cs="Times New Roman"/>
          <w:sz w:val="24"/>
          <w:szCs w:val="24"/>
        </w:rPr>
        <w:fldChar w:fldCharType="separate"/>
      </w:r>
      <w:r w:rsidRPr="00154097">
        <w:rPr>
          <w:rFonts w:ascii="Times New Roman" w:hAnsi="Times New Roman" w:cs="Times New Roman"/>
          <w:noProof/>
          <w:sz w:val="24"/>
          <w:szCs w:val="24"/>
        </w:rPr>
        <w:t>(Oladele et al., 2020)</w:t>
      </w:r>
      <w:r w:rsidRPr="002513AE">
        <w:rPr>
          <w:rFonts w:ascii="Times New Roman" w:hAnsi="Times New Roman" w:cs="Times New Roman"/>
          <w:sz w:val="24"/>
          <w:szCs w:val="24"/>
        </w:rPr>
        <w:fldChar w:fldCharType="end"/>
      </w:r>
      <w:r w:rsidRPr="002513AE">
        <w:rPr>
          <w:rFonts w:ascii="Times New Roman" w:hAnsi="Times New Roman" w:cs="Times New Roman"/>
          <w:sz w:val="24"/>
          <w:szCs w:val="24"/>
        </w:rPr>
        <w:t xml:space="preserve"> noted a strong </w:t>
      </w:r>
      <w:r w:rsidRPr="002513AE">
        <w:rPr>
          <w:rFonts w:ascii="Times New Roman" w:hAnsi="Times New Roman" w:cs="Times New Roman"/>
          <w:sz w:val="24"/>
          <w:szCs w:val="24"/>
        </w:rPr>
        <w:lastRenderedPageBreak/>
        <w:t xml:space="preserve">association between electronic taxation and tax compliance. Improving tax compliance means higher tax revenue. </w:t>
      </w:r>
      <w:r w:rsidRPr="002513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 2635-2966","abstract":"The impact of electronic tax administration on tax compliance and the resultant effect on tax revenue has been examined. The quantitative research design was employed using existing data sourced from the Federal Inland Revenue Service (FIRS). Data were tax revenue posted seven years before and after the adoption of e-tax administration by the FIRS in 2013. Data so sourced were analyzed using descriptive statistics and pairwise t-test to ascertain if a difference exists and or relationship between pre-and post-e-tax revenue. The study found a strong connection between the electronic tax system and tax compliance (tax revenue) as shown by the pairwise test (p-value of 0.012&lt;0.05). Also, the mean tax revenue during post\u0002and pre-e-tax of (4466828.5714&gt;3051200.0000); and an average annual variation in overall tax revenue of N1.4trillion compared with pre-electronic tax period demonstrated a significant difference. With these, the study affirmed that a strong association exists between electronic taxation and tax compliance. Therefore, the service should always further work on its Information Communication Technology (ICT) architecture/infrastructure for easy access and flexibility to encourage taxpayers as well as enhancing robust tax administration. In all, security measures should be put in place regularly to prevent hackers, malicious attacks and other disasters inherent in ICT based environment.","author":[{"dropping-particle":"","family":"Oladele","given":"Rotimi","non-dropping-particle":"","parse-names":false,"suffix":""},{"dropping-particle":"","family":"Aribaba","given":"Foluso Olugbenga","non-dropping-particle":"","parse-names":false,"suffix":""},{"dropping-particle":"","family":"Adekunle","given":"Adediran Rasheed","non-dropping-particle":"","parse-names":false,"suffix":""},{"dropping-particle":"","family":"Babatunde","given":"Adebola D.","non-dropping-particle":"","parse-names":false,"suffix":""}],"container-title":"Accounting &amp; Taxation Review","id":"ITEM-1","issue":"3","issued":{"date-parts":[["2020"]]},"page":"93-101","title":"E-tax administration and tax compliance among corporate taxpayers in Nigeria","type":"article-journal","volume":"4"},"uris":["http://www.mendeley.com/documents/?uuid=ca9a39d4-9d32-401f-bab8-4cf8a99dffbf"]}],"mendeley":{"formattedCitation":"(Oladele et al., 2020)","plainTextFormattedCitation":"(Oladele et al., 2020)","previouslyFormattedCitation":"(Oladele et al., 2020)"},"properties":{"noteIndex":0},"schema":"https://github.com/citation-style-language/schema/raw/master/csl-citation.json"}</w:instrText>
      </w:r>
      <w:r w:rsidRPr="002513AE">
        <w:rPr>
          <w:rFonts w:ascii="Times New Roman" w:hAnsi="Times New Roman" w:cs="Times New Roman"/>
          <w:sz w:val="24"/>
          <w:szCs w:val="24"/>
        </w:rPr>
        <w:fldChar w:fldCharType="separate"/>
      </w:r>
      <w:r w:rsidRPr="00154097">
        <w:rPr>
          <w:rFonts w:ascii="Times New Roman" w:hAnsi="Times New Roman" w:cs="Times New Roman"/>
          <w:noProof/>
          <w:sz w:val="24"/>
          <w:szCs w:val="24"/>
        </w:rPr>
        <w:t>(Oladele et al., 2020)</w:t>
      </w:r>
      <w:r w:rsidRPr="002513AE">
        <w:rPr>
          <w:rFonts w:ascii="Times New Roman" w:hAnsi="Times New Roman" w:cs="Times New Roman"/>
          <w:sz w:val="24"/>
          <w:szCs w:val="24"/>
        </w:rPr>
        <w:fldChar w:fldCharType="end"/>
      </w:r>
      <w:r w:rsidRPr="002513AE">
        <w:rPr>
          <w:rFonts w:ascii="Times New Roman" w:hAnsi="Times New Roman" w:cs="Times New Roman"/>
          <w:sz w:val="24"/>
          <w:szCs w:val="24"/>
        </w:rPr>
        <w:t xml:space="preserve"> examined the revenue collected during Nigeria’s post-e-tax era (2013-2019) compared with the pre-e-tax period (2006-2012). The study employed the theory of Innovation Translation and the Technology Acceptance Model </w:t>
      </w:r>
      <w:r w:rsidRPr="002513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{"citationItems":[{"id":"ITEM-1","itemData":{"DOI":"10.6007/IJARBSS/","author":[{"dropping-particle":"","family":"Martin","given":"Tulasi","non-dropping-particle":"","parse-names":false,"suffix":""}],"container-title":"International Journal of Academic Research in Business &amp; Social Sciences","id":"ITEM-1","issue":"11","issued":{"date-parts":[["2022"]]},"page":"2688-2713","title":"A Literature Review on The Technology Acceptance Model","type":"article-journal","volume":"12"},"uris":["http://www.mendeley.com/documents/?uuid=c5b3501a-6cab-40f3-b5c6-a51a28270e71"]}],"mendeley":{"formattedCitation":"(Martin, 2022)","plainTextFormattedCitation":"(Martin, 2022)","previouslyFormattedCitation":"(Martin, 2022)"},"properties":{"noteIndex":0},"schema":"https://github.com/citation-style-language/schema/raw/master/csl-citation.json"}</w:instrText>
      </w:r>
      <w:r w:rsidRPr="002513AE">
        <w:rPr>
          <w:rFonts w:ascii="Times New Roman" w:hAnsi="Times New Roman" w:cs="Times New Roman"/>
          <w:sz w:val="24"/>
          <w:szCs w:val="24"/>
        </w:rPr>
        <w:fldChar w:fldCharType="separate"/>
      </w:r>
      <w:r w:rsidRPr="00154097">
        <w:rPr>
          <w:rFonts w:ascii="Times New Roman" w:hAnsi="Times New Roman" w:cs="Times New Roman"/>
          <w:noProof/>
          <w:sz w:val="24"/>
          <w:szCs w:val="24"/>
        </w:rPr>
        <w:t>(Martin, 2022)</w:t>
      </w:r>
      <w:r w:rsidRPr="002513AE">
        <w:rPr>
          <w:rFonts w:ascii="Times New Roman" w:hAnsi="Times New Roman" w:cs="Times New Roman"/>
          <w:sz w:val="24"/>
          <w:szCs w:val="24"/>
        </w:rPr>
        <w:fldChar w:fldCharType="end"/>
      </w:r>
      <w:r w:rsidRPr="002513AE">
        <w:rPr>
          <w:rFonts w:ascii="Times New Roman" w:hAnsi="Times New Roman" w:cs="Times New Roman"/>
          <w:sz w:val="24"/>
          <w:szCs w:val="24"/>
        </w:rPr>
        <w:t xml:space="preserve"> to explain the adoption of e-tax administration by the Federal Inland Revenue Service (FIRS). The study finds a significant increase in revenue during the post-e-tax era. The study recommended improving the country's ICT infrastructure to safeguard the system against cyberattacks and disasters. </w:t>
      </w:r>
    </w:p>
    <w:p w14:paraId="02C2A558" w14:textId="77777777" w:rsidR="00274609" w:rsidRDefault="00274609" w:rsidP="00274609">
      <w:pPr>
        <w:spacing w:line="360" w:lineRule="auto"/>
        <w:ind w:right="-90"/>
        <w:jc w:val="both"/>
        <w:rPr>
          <w:rFonts w:ascii="Times New Roman" w:hAnsi="Times New Roman" w:cs="Times New Roman"/>
          <w:sz w:val="24"/>
          <w:szCs w:val="24"/>
        </w:rPr>
      </w:pPr>
      <w:r w:rsidRPr="002513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{"citationItems":[{"id":"ITEM-1","itemData":{"DOI":"https://doi.org/10.1108/JFRA-09-2023-0567","author":[{"dropping-particle":"","family":"Al-Okaily","given":"Manaf","non-dropping-particle":"","parse-names":false,"suffix":""}],"container-title":"Journal of Financial Reporting and Accounting","id":"ITEM-1","issued":{"date-parts":[["2024"]]},"title":"Advancements and forecasts of digital taxation information systems usage and its impact on tax compliance: does trust and awareness make difference?","type":"article-journal"},"uris":["http://www.mendeley.com/documents/?uuid=b4179519-d87b-4113-b418-f49e6a37cc01"]}],"mendeley":{"formattedCitation":"(Al-Okaily, 2024)","plainTextFormattedCitation":"(Al-Okaily, 2024)","previouslyFormattedCitation":"(Al-Okaily, 2024)"},"properties":{"noteIndex":0},"schema":"https://github.com/citation-style-language/schema/raw/master/csl-citation.json"}</w:instrText>
      </w:r>
      <w:r w:rsidRPr="002513AE">
        <w:rPr>
          <w:rFonts w:ascii="Times New Roman" w:hAnsi="Times New Roman" w:cs="Times New Roman"/>
          <w:sz w:val="24"/>
          <w:szCs w:val="24"/>
        </w:rPr>
        <w:fldChar w:fldCharType="separate"/>
      </w:r>
      <w:r w:rsidRPr="00154097">
        <w:rPr>
          <w:rFonts w:ascii="Times New Roman" w:hAnsi="Times New Roman" w:cs="Times New Roman"/>
          <w:noProof/>
          <w:sz w:val="24"/>
          <w:szCs w:val="24"/>
        </w:rPr>
        <w:t>(Al-Okaily, 2024)</w:t>
      </w:r>
      <w:r w:rsidRPr="002513AE">
        <w:rPr>
          <w:rFonts w:ascii="Times New Roman" w:hAnsi="Times New Roman" w:cs="Times New Roman"/>
          <w:sz w:val="24"/>
          <w:szCs w:val="24"/>
        </w:rPr>
        <w:fldChar w:fldCharType="end"/>
      </w:r>
      <w:r w:rsidRPr="002513AE">
        <w:rPr>
          <w:rFonts w:ascii="Times New Roman" w:hAnsi="Times New Roman" w:cs="Times New Roman"/>
          <w:sz w:val="24"/>
          <w:szCs w:val="24"/>
        </w:rPr>
        <w:t xml:space="preserve"> explores whether trust and awareness influence the development and </w:t>
      </w:r>
      <w:r>
        <w:rPr>
          <w:rFonts w:ascii="Times New Roman" w:hAnsi="Times New Roman" w:cs="Times New Roman"/>
          <w:sz w:val="24"/>
          <w:szCs w:val="24"/>
        </w:rPr>
        <w:t>forecasting</w:t>
      </w:r>
      <w:r w:rsidRPr="002513AE">
        <w:rPr>
          <w:rFonts w:ascii="Times New Roman" w:hAnsi="Times New Roman" w:cs="Times New Roman"/>
          <w:sz w:val="24"/>
          <w:szCs w:val="24"/>
        </w:rPr>
        <w:t xml:space="preserve"> of digital taxation information systems and their impact on tax </w:t>
      </w:r>
      <w:r>
        <w:rPr>
          <w:rFonts w:ascii="Times New Roman" w:hAnsi="Times New Roman" w:cs="Times New Roman"/>
          <w:sz w:val="24"/>
          <w:szCs w:val="24"/>
        </w:rPr>
        <w:t>compliance</w:t>
      </w:r>
      <w:r w:rsidRPr="00436962">
        <w:rPr>
          <w:rFonts w:ascii="Times New Roman" w:eastAsia="Times New Roman" w:hAnsi="Times New Roman" w:cs="Times New Roman"/>
          <w:sz w:val="24"/>
          <w:szCs w:val="24"/>
        </w:rPr>
        <w:t xml:space="preserve"> among academic professors in Jordan</w:t>
      </w:r>
      <w:r w:rsidRPr="002513AE">
        <w:rPr>
          <w:rFonts w:ascii="Times New Roman" w:hAnsi="Times New Roman" w:cs="Times New Roman"/>
          <w:sz w:val="24"/>
          <w:szCs w:val="24"/>
        </w:rPr>
        <w:t xml:space="preserve">. The study employed a quantitative research method to gather data, and analysis was done using Partial Least Squares Structural Equation Modeling (PLS-SEM) to examine the collected data. The findings indicate that the adoption of digital taxation information systems is influenced by perceived usefulness, perceived ease, attitude, knowledge, </w:t>
      </w:r>
      <w:r>
        <w:rPr>
          <w:rFonts w:ascii="Times New Roman" w:hAnsi="Times New Roman" w:cs="Times New Roman"/>
          <w:sz w:val="24"/>
          <w:szCs w:val="24"/>
        </w:rPr>
        <w:t xml:space="preserve">and </w:t>
      </w:r>
      <w:r w:rsidRPr="002513AE">
        <w:rPr>
          <w:rFonts w:ascii="Times New Roman" w:hAnsi="Times New Roman" w:cs="Times New Roman"/>
          <w:sz w:val="24"/>
          <w:szCs w:val="24"/>
        </w:rPr>
        <w:t xml:space="preserve">subjective norm, </w:t>
      </w:r>
      <w:r>
        <w:rPr>
          <w:rFonts w:ascii="Times New Roman" w:hAnsi="Times New Roman" w:cs="Times New Roman"/>
          <w:sz w:val="24"/>
          <w:szCs w:val="24"/>
        </w:rPr>
        <w:t xml:space="preserve">with a moderating role of </w:t>
      </w:r>
      <w:r w:rsidRPr="002513AE">
        <w:rPr>
          <w:rFonts w:ascii="Times New Roman" w:hAnsi="Times New Roman" w:cs="Times New Roman"/>
          <w:sz w:val="24"/>
          <w:szCs w:val="24"/>
        </w:rPr>
        <w:t>awareness and trust.</w:t>
      </w:r>
      <w:r>
        <w:rPr>
          <w:rFonts w:ascii="Times New Roman" w:hAnsi="Times New Roman" w:cs="Times New Roman"/>
          <w:sz w:val="24"/>
          <w:szCs w:val="24"/>
        </w:rPr>
        <w:t xml:space="preserve"> The outcome revealed that trust has a mediating association between government and digital taxation information systems.  </w:t>
      </w:r>
    </w:p>
    <w:p w14:paraId="004DE2D6" w14:textId="77777777" w:rsidR="00274609" w:rsidRDefault="00274609" w:rsidP="00274609">
      <w:pPr>
        <w:spacing w:line="360" w:lineRule="auto"/>
        <w:ind w:right="-90"/>
        <w:jc w:val="both"/>
        <w:rPr>
          <w:rFonts w:ascii="Times New Roman" w:hAnsi="Times New Roman" w:cs="Times New Roman"/>
          <w:sz w:val="24"/>
          <w:szCs w:val="24"/>
        </w:rPr>
      </w:pPr>
      <w:r>
        <w:rPr>
          <w:rFonts w:ascii="Times New Roman" w:hAnsi="Times New Roman" w:cs="Times New Roman"/>
          <w:sz w:val="24"/>
          <w:szCs w:val="24"/>
        </w:rPr>
        <w:t>Khan et al. (2025) examine the effects of implementing electronic taxation on revenue generation and economic growth in Pakistan. In 2009, Pakistan’s tax authority adopted an innovative digital solution that included the development of mobile applications for tax registration and filing, online tax calculators, and electronic tax notices. Khan et al. (2025) analyze the adoption and implementation of e-taxation platforms such as tax filing and digital payment mechanisms by the Federal Board of Revenue (FBR) in Pakistan. The study used a quasi-experimental research design to collect data from 1996 to 2023, sourced from the Pakistan Bureau of Statistics and the FBR. For this design, the pre-post method was employed. The 28 years of data were divided into three periods: 1996-2009, 2009-2019, and 2020-2023. To analyze the data, paired t-tests and ANOVA were used. The data were categorized into the manual filing period, the internet filing period, and the period when the mobile application was introduced. The findings show that tax revenue and the GDP ratio increased after the adoption of e-taxation compared to the manual filing phase. It was further found that the mobile application period yielded the highest tax revenue and GDP ratio. Khan et al. (2025) encourage increased investment in ICT infrastructure.</w:t>
      </w:r>
    </w:p>
    <w:p w14:paraId="78A60662" w14:textId="4559852D" w:rsidR="00274609" w:rsidRPr="002513AE" w:rsidRDefault="00274609" w:rsidP="00274609">
      <w:pPr>
        <w:spacing w:line="360" w:lineRule="auto"/>
        <w:ind w:right="-90"/>
        <w:jc w:val="both"/>
        <w:rPr>
          <w:rFonts w:ascii="Times New Roman" w:hAnsi="Times New Roman" w:cs="Times New Roman"/>
          <w:sz w:val="24"/>
          <w:szCs w:val="24"/>
        </w:rPr>
      </w:pPr>
      <w:r>
        <w:rPr>
          <w:rFonts w:ascii="Times New Roman" w:hAnsi="Times New Roman" w:cs="Times New Roman"/>
          <w:sz w:val="24"/>
          <w:szCs w:val="24"/>
        </w:rPr>
        <w:lastRenderedPageBreak/>
        <w:t xml:space="preserve">Mulyani et al. (2023) evaluate the implementation of tax policies aimed at safeguarding against data breaches and fraud to protect revenue from taxes and the indirect costs of cybercrime-driven tax evasion. They adopted a normative juridical and comparative approach with a qualitative research design to address e-commerce tax issues in Indonesia. The study concluded that taxpayers involved in e-commerce are significantly influenced by tax policies affecting their compliance obligations. It recommended clear and fair taxation regulations that promote a level playing field, innovation, and compliance. Additionally, strong cybersecurity practices are included in the recommendations. Oladele et al. (2020) examined revenue collection during the pre-e-tax era and the post-e-tax payment era, spanning from 2006 to 2019. </w:t>
      </w:r>
      <w:bookmarkStart w:id="13" w:name="_Hlk238270856"/>
      <w:r>
        <w:rPr>
          <w:rFonts w:ascii="Times New Roman" w:hAnsi="Times New Roman" w:cs="Times New Roman"/>
          <w:sz w:val="24"/>
          <w:szCs w:val="24"/>
        </w:rPr>
        <w:t>This study assessed the pre-tax payment period from 2017 to 2020 and compared it with the period when the Tax ProMax application was used for e-filing, online registration, provision of e-receipts, and Electronic Tax Clearance Certificates (e-TCCs). The era of the Tax ProMax application for this study is from 2022 to 2025, even though full implementation was launched in 2021 (FIRS, 2025). This study specifically left out the year 2021 from the post-implementation period because it was the year the Tax ProMax application software was introduced.</w:t>
      </w:r>
      <w:bookmarkEnd w:id="13"/>
      <w:r w:rsidR="00F91AF5">
        <w:rPr>
          <w:rFonts w:ascii="Times New Roman" w:hAnsi="Times New Roman" w:cs="Times New Roman"/>
          <w:sz w:val="24"/>
          <w:szCs w:val="24"/>
        </w:rPr>
        <w:t xml:space="preserve"> </w:t>
      </w:r>
      <w:r w:rsidRPr="002513AE">
        <w:rPr>
          <w:rFonts w:ascii="Times New Roman" w:hAnsi="Times New Roman" w:cs="Times New Roman"/>
          <w:sz w:val="24"/>
          <w:szCs w:val="24"/>
        </w:rPr>
        <w:t>The primary goal of this study is to analyse how e-taxation influences revenue generation in Nigeria. The specific aim is to evaluate the effect of the e-tax payment system through the Tax ProMax portal on revenue both before and after its implementation, as well as on Company Income Tax (CIT), Value-Added Tax (VAT), and the Tertiary Education Tax (EDT).</w:t>
      </w:r>
    </w:p>
    <w:p w14:paraId="144FDA6F" w14:textId="77777777" w:rsidR="00274609" w:rsidRPr="002513AE" w:rsidRDefault="00274609" w:rsidP="00274609">
      <w:pPr>
        <w:spacing w:line="360" w:lineRule="auto"/>
        <w:ind w:right="-90"/>
        <w:jc w:val="both"/>
        <w:rPr>
          <w:rFonts w:ascii="Times New Roman" w:hAnsi="Times New Roman" w:cs="Times New Roman"/>
          <w:sz w:val="24"/>
          <w:szCs w:val="24"/>
        </w:rPr>
      </w:pPr>
      <w:r w:rsidRPr="002513AE">
        <w:rPr>
          <w:rFonts w:ascii="Times New Roman" w:hAnsi="Times New Roman" w:cs="Times New Roman"/>
          <w:sz w:val="24"/>
          <w:szCs w:val="24"/>
        </w:rPr>
        <w:t>The specific objectives of this study are;</w:t>
      </w:r>
    </w:p>
    <w:p w14:paraId="567B9F7A" w14:textId="77777777" w:rsidR="00274609" w:rsidRPr="002513AE" w:rsidRDefault="00274609" w:rsidP="00274609">
      <w:pPr>
        <w:pStyle w:val="ListParagraph"/>
        <w:numPr>
          <w:ilvl w:val="0"/>
          <w:numId w:val="1"/>
        </w:numPr>
        <w:spacing w:line="360" w:lineRule="auto"/>
        <w:ind w:right="-90"/>
        <w:jc w:val="both"/>
        <w:rPr>
          <w:rFonts w:ascii="Times New Roman" w:hAnsi="Times New Roman" w:cs="Times New Roman"/>
          <w:sz w:val="24"/>
          <w:szCs w:val="24"/>
        </w:rPr>
      </w:pPr>
      <w:bookmarkStart w:id="14" w:name="_Hlk238268333"/>
      <w:r w:rsidRPr="002513AE">
        <w:rPr>
          <w:rFonts w:ascii="Times New Roman" w:hAnsi="Times New Roman" w:cs="Times New Roman"/>
          <w:sz w:val="24"/>
          <w:szCs w:val="24"/>
        </w:rPr>
        <w:t>To examine the effect of E-Taxation (E-TAX) on revenue from Company Income Tax (CIT) before and after the introduction of the Tax ProMax portal by the Federal Inland Revenue Service/Nigeria Revenue Service.</w:t>
      </w:r>
    </w:p>
    <w:p w14:paraId="5FA1EC47" w14:textId="77777777" w:rsidR="00274609" w:rsidRPr="002513AE" w:rsidRDefault="00274609" w:rsidP="00274609">
      <w:pPr>
        <w:pStyle w:val="ListParagraph"/>
        <w:numPr>
          <w:ilvl w:val="0"/>
          <w:numId w:val="1"/>
        </w:numPr>
        <w:spacing w:line="360" w:lineRule="auto"/>
        <w:ind w:right="-90"/>
        <w:jc w:val="both"/>
        <w:rPr>
          <w:rFonts w:ascii="Times New Roman" w:hAnsi="Times New Roman" w:cs="Times New Roman"/>
          <w:sz w:val="24"/>
          <w:szCs w:val="24"/>
        </w:rPr>
      </w:pPr>
      <w:r w:rsidRPr="002513AE">
        <w:rPr>
          <w:rFonts w:ascii="Times New Roman" w:hAnsi="Times New Roman" w:cs="Times New Roman"/>
          <w:sz w:val="24"/>
          <w:szCs w:val="24"/>
        </w:rPr>
        <w:t>To assess the impact of E-Taxation (E-TAX) on revenue from Value Added Tax (VAT) before and after the introduction of the Tax ProMax portal by the Nigeria Revenue Service</w:t>
      </w:r>
    </w:p>
    <w:p w14:paraId="61F23B47" w14:textId="77777777" w:rsidR="00274609" w:rsidRPr="00E33238" w:rsidRDefault="00274609" w:rsidP="00274609">
      <w:pPr>
        <w:pStyle w:val="ListParagraph"/>
        <w:numPr>
          <w:ilvl w:val="0"/>
          <w:numId w:val="1"/>
        </w:numPr>
        <w:spacing w:line="360" w:lineRule="auto"/>
        <w:ind w:right="-90"/>
        <w:jc w:val="both"/>
        <w:rPr>
          <w:rFonts w:ascii="Times New Roman" w:hAnsi="Times New Roman" w:cs="Times New Roman"/>
          <w:sz w:val="24"/>
          <w:szCs w:val="24"/>
        </w:rPr>
      </w:pPr>
      <w:r w:rsidRPr="002513AE">
        <w:rPr>
          <w:rFonts w:ascii="Times New Roman" w:hAnsi="Times New Roman" w:cs="Times New Roman"/>
          <w:sz w:val="24"/>
          <w:szCs w:val="24"/>
        </w:rPr>
        <w:t xml:space="preserve">To determine the effect of E-Taxation (E-TAX) on revenue from the Tertiary Education Tax (EDT) before and after the introduction of the </w:t>
      </w:r>
      <w:r>
        <w:rPr>
          <w:rFonts w:ascii="Times New Roman" w:hAnsi="Times New Roman" w:cs="Times New Roman"/>
          <w:sz w:val="24"/>
          <w:szCs w:val="24"/>
        </w:rPr>
        <w:t>Tax</w:t>
      </w:r>
      <w:r w:rsidRPr="002513AE">
        <w:rPr>
          <w:rFonts w:ascii="Times New Roman" w:hAnsi="Times New Roman" w:cs="Times New Roman"/>
          <w:sz w:val="24"/>
          <w:szCs w:val="24"/>
        </w:rPr>
        <w:t xml:space="preserve"> ProMax portal by the Nigeria Revenue Service</w:t>
      </w:r>
    </w:p>
    <w:bookmarkEnd w:id="14"/>
    <w:p w14:paraId="24D90AAE" w14:textId="77777777" w:rsidR="00274609" w:rsidRPr="002513AE" w:rsidRDefault="00274609" w:rsidP="00274609">
      <w:pPr>
        <w:spacing w:before="100" w:beforeAutospacing="1" w:after="0" w:line="276" w:lineRule="auto"/>
        <w:jc w:val="both"/>
        <w:outlineLvl w:val="0"/>
        <w:rPr>
          <w:rFonts w:ascii="Times New Roman" w:eastAsia="Times New Roman" w:hAnsi="Times New Roman" w:cs="Times New Roman"/>
          <w:b/>
          <w:bCs/>
          <w:kern w:val="36"/>
          <w:sz w:val="24"/>
          <w:szCs w:val="24"/>
          <w:lang w:eastAsia="en-GB"/>
        </w:rPr>
      </w:pPr>
      <w:r>
        <w:rPr>
          <w:rFonts w:ascii="Times New Roman" w:eastAsia="Times New Roman" w:hAnsi="Times New Roman" w:cs="Times New Roman"/>
          <w:b/>
          <w:bCs/>
          <w:kern w:val="36"/>
          <w:sz w:val="24"/>
          <w:szCs w:val="24"/>
          <w:lang w:eastAsia="en-GB"/>
        </w:rPr>
        <w:t xml:space="preserve">III. </w:t>
      </w:r>
      <w:r w:rsidRPr="002513AE">
        <w:rPr>
          <w:rFonts w:ascii="Times New Roman" w:eastAsia="Times New Roman" w:hAnsi="Times New Roman" w:cs="Times New Roman"/>
          <w:b/>
          <w:bCs/>
          <w:kern w:val="36"/>
          <w:sz w:val="24"/>
          <w:szCs w:val="24"/>
          <w:lang w:eastAsia="en-GB"/>
        </w:rPr>
        <w:t>METHODOLOGY</w:t>
      </w:r>
    </w:p>
    <w:p w14:paraId="357B80AA" w14:textId="77777777" w:rsidR="00274609" w:rsidRPr="00C72640" w:rsidRDefault="00274609" w:rsidP="00274609">
      <w:pPr>
        <w:spacing w:before="100" w:beforeAutospacing="1" w:after="0" w:line="360" w:lineRule="auto"/>
        <w:jc w:val="both"/>
        <w:outlineLvl w:val="1"/>
        <w:rPr>
          <w:rFonts w:ascii="Times New Roman" w:hAnsi="Times New Roman" w:cs="Times New Roman"/>
          <w:sz w:val="24"/>
          <w:szCs w:val="24"/>
        </w:rPr>
      </w:pPr>
      <w:r w:rsidRPr="00C72640">
        <w:rPr>
          <w:rFonts w:ascii="Times New Roman" w:hAnsi="Times New Roman" w:cs="Times New Roman"/>
          <w:sz w:val="24"/>
          <w:szCs w:val="24"/>
        </w:rPr>
        <w:lastRenderedPageBreak/>
        <w:t>This study adopts a quantitative methodology, utilizing a quasi-experimental pre</w:t>
      </w:r>
      <w:r>
        <w:rPr>
          <w:rFonts w:ascii="Times New Roman" w:hAnsi="Times New Roman" w:cs="Times New Roman"/>
          <w:sz w:val="24"/>
          <w:szCs w:val="24"/>
        </w:rPr>
        <w:t>-</w:t>
      </w:r>
      <w:r w:rsidRPr="00C72640">
        <w:rPr>
          <w:rFonts w:ascii="Times New Roman" w:hAnsi="Times New Roman" w:cs="Times New Roman"/>
          <w:sz w:val="24"/>
          <w:szCs w:val="24"/>
        </w:rPr>
        <w:t>post intervention design to assess the impact of E-Taxation on revenue generation in Nigeria. Quasi-experimental designs are particularly appropriate when causal inferences are required in contexts where policy interventions cannot be randomized (Em, 2025). The intervention under review is the nationwide implementation of the TaxPro Max digital tax administration system by the Federal Inland Revenue Service</w:t>
      </w:r>
      <w:r>
        <w:rPr>
          <w:rFonts w:ascii="Times New Roman" w:hAnsi="Times New Roman" w:cs="Times New Roman"/>
          <w:sz w:val="24"/>
          <w:szCs w:val="24"/>
        </w:rPr>
        <w:t xml:space="preserve"> (FIRS)</w:t>
      </w:r>
      <w:r w:rsidRPr="00C72640">
        <w:rPr>
          <w:rFonts w:ascii="Times New Roman" w:hAnsi="Times New Roman" w:cs="Times New Roman"/>
          <w:sz w:val="24"/>
          <w:szCs w:val="24"/>
        </w:rPr>
        <w:t xml:space="preserve">. Given the comprehensive rollout of this system across the country, an </w:t>
      </w:r>
      <w:bookmarkStart w:id="15" w:name="_Hlk238269912"/>
      <w:r w:rsidRPr="00C72640">
        <w:rPr>
          <w:rFonts w:ascii="Times New Roman" w:hAnsi="Times New Roman" w:cs="Times New Roman"/>
          <w:sz w:val="24"/>
          <w:szCs w:val="24"/>
        </w:rPr>
        <w:t xml:space="preserve">ex-post facto evaluation approach is employed to measure its effect. </w:t>
      </w:r>
      <w:bookmarkEnd w:id="15"/>
      <w:r w:rsidRPr="00C72640">
        <w:rPr>
          <w:rFonts w:ascii="Times New Roman" w:hAnsi="Times New Roman" w:cs="Times New Roman"/>
          <w:sz w:val="24"/>
          <w:szCs w:val="24"/>
        </w:rPr>
        <w:t>The analysis leverages the temporal dimension of the policy, examining whether revenue performance demonstrates statistically significant improvement following the introduction of E-Taxation. Pre</w:t>
      </w:r>
      <w:r>
        <w:rPr>
          <w:rFonts w:ascii="Times New Roman" w:hAnsi="Times New Roman" w:cs="Times New Roman"/>
          <w:sz w:val="24"/>
          <w:szCs w:val="24"/>
        </w:rPr>
        <w:t>-</w:t>
      </w:r>
      <w:r w:rsidRPr="00C72640">
        <w:rPr>
          <w:rFonts w:ascii="Times New Roman" w:hAnsi="Times New Roman" w:cs="Times New Roman"/>
          <w:sz w:val="24"/>
          <w:szCs w:val="24"/>
        </w:rPr>
        <w:t>post evaluation strategies are widely recognized in public policy and governance research as effective tools for estimating the average impact of policy interventions (Spanos, 2021; Högberg &amp; Lindgren, 2021).</w:t>
      </w:r>
    </w:p>
    <w:p w14:paraId="63F90DFB" w14:textId="18B638E3" w:rsidR="000D6ECA" w:rsidRPr="000D6ECA" w:rsidRDefault="00274609" w:rsidP="000D6ECA">
      <w:pPr>
        <w:spacing w:before="100" w:beforeAutospacing="1" w:after="100" w:afterAutospacing="1"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digitalization of tax administration is widely seen as a key tool for boosting compliance, preventing revenue loss, and strengthening domestic resource mobilization (Jung, 2023; OECD, 2019, 2025). In Nigeria, the Federal Inland Revenue Service (FIRS) launched TaxPro Max, an integrated digital platform aimed at modernizing tax filing, payment, and compliance processes. E-taxation systems like TaxPro Max are expected to improve revenue collection by reducing compliance costs, increasing transparency, enhancing enforcement, and allowing real-time monitoring of tax data. Evidence shows that developing economies can significantly improve revenue mobilization through digital tax systems, as long as institutional capacity is strong enough (Okunogbe &amp; Tourek, 2024; Okunogbe &amp; Pouliquen, 2022). </w:t>
      </w:r>
      <w:r w:rsidRPr="00B15FBA">
        <w:rPr>
          <w:rFonts w:ascii="Times New Roman" w:eastAsia="Times New Roman" w:hAnsi="Times New Roman" w:cs="Times New Roman"/>
          <w:sz w:val="24"/>
          <w:szCs w:val="24"/>
        </w:rPr>
        <w:t>Building on this research, the present study examines the impact of TaxPro Max on Nigeria’s federally managed revenue streams</w:t>
      </w:r>
      <w:r w:rsidR="00E24E21">
        <w:rPr>
          <w:rFonts w:ascii="Times New Roman" w:eastAsia="Times New Roman" w:hAnsi="Times New Roman" w:cs="Times New Roman"/>
          <w:sz w:val="24"/>
          <w:szCs w:val="24"/>
        </w:rPr>
        <w:t xml:space="preserve"> from 2017 to 2025</w:t>
      </w:r>
      <w:r w:rsidRPr="00B15FBA">
        <w:rPr>
          <w:rFonts w:ascii="Times New Roman" w:eastAsia="Times New Roman" w:hAnsi="Times New Roman" w:cs="Times New Roman"/>
          <w:sz w:val="24"/>
          <w:szCs w:val="24"/>
        </w:rPr>
        <w:t>.</w:t>
      </w:r>
      <w:r w:rsidR="00E24E21">
        <w:rPr>
          <w:rFonts w:ascii="Times New Roman" w:eastAsia="Times New Roman" w:hAnsi="Times New Roman" w:cs="Times New Roman"/>
          <w:sz w:val="24"/>
          <w:szCs w:val="24"/>
        </w:rPr>
        <w:t xml:space="preserve"> </w:t>
      </w:r>
      <w:r w:rsidR="000D6ECA" w:rsidRPr="000D6ECA">
        <w:rPr>
          <w:rFonts w:ascii="Times New Roman" w:hAnsi="Times New Roman" w:cs="Times New Roman"/>
          <w:sz w:val="24"/>
          <w:szCs w:val="24"/>
        </w:rPr>
        <w:t>The data utili</w:t>
      </w:r>
      <w:r w:rsidR="000D6ECA">
        <w:rPr>
          <w:rFonts w:ascii="Times New Roman" w:hAnsi="Times New Roman" w:cs="Times New Roman"/>
          <w:sz w:val="24"/>
          <w:szCs w:val="24"/>
        </w:rPr>
        <w:t>s</w:t>
      </w:r>
      <w:r w:rsidR="000D6ECA" w:rsidRPr="000D6ECA">
        <w:rPr>
          <w:rFonts w:ascii="Times New Roman" w:hAnsi="Times New Roman" w:cs="Times New Roman"/>
          <w:sz w:val="24"/>
          <w:szCs w:val="24"/>
        </w:rPr>
        <w:t>ed in this study were derived from secondary sources, specifically the official quarterly bulletin</w:t>
      </w:r>
      <w:r w:rsidR="000D6ECA">
        <w:rPr>
          <w:rFonts w:ascii="Times New Roman" w:hAnsi="Times New Roman" w:cs="Times New Roman"/>
          <w:sz w:val="24"/>
          <w:szCs w:val="24"/>
        </w:rPr>
        <w:t>s</w:t>
      </w:r>
      <w:r w:rsidR="000D6ECA" w:rsidRPr="000D6ECA">
        <w:rPr>
          <w:rFonts w:ascii="Times New Roman" w:hAnsi="Times New Roman" w:cs="Times New Roman"/>
          <w:sz w:val="24"/>
          <w:szCs w:val="24"/>
        </w:rPr>
        <w:t xml:space="preserve"> of the Federal Inland Revenue Service (FIRS) and the Microtrends Global metric database. The empirical analysis is directed toward three primary revenue streams administered at the federal level, each of which has undergone digiti</w:t>
      </w:r>
      <w:r w:rsidR="000D6ECA">
        <w:rPr>
          <w:rFonts w:ascii="Times New Roman" w:hAnsi="Times New Roman" w:cs="Times New Roman"/>
          <w:sz w:val="24"/>
          <w:szCs w:val="24"/>
        </w:rPr>
        <w:t>s</w:t>
      </w:r>
      <w:r w:rsidR="000D6ECA" w:rsidRPr="000D6ECA">
        <w:rPr>
          <w:rFonts w:ascii="Times New Roman" w:hAnsi="Times New Roman" w:cs="Times New Roman"/>
          <w:sz w:val="24"/>
          <w:szCs w:val="24"/>
        </w:rPr>
        <w:t>ation through the implementation of the TaxPro Max system.</w:t>
      </w:r>
    </w:p>
    <w:p w14:paraId="53580C13" w14:textId="1AA9178C" w:rsidR="00274609" w:rsidRPr="000D6ECA" w:rsidRDefault="00274609" w:rsidP="000D6ECA">
      <w:pPr>
        <w:spacing w:after="0" w:line="240" w:lineRule="auto"/>
        <w:jc w:val="both"/>
        <w:rPr>
          <w:rFonts w:ascii="Times New Roman" w:hAnsi="Times New Roman" w:cs="Times New Roman"/>
          <w:sz w:val="24"/>
          <w:szCs w:val="24"/>
        </w:rPr>
      </w:pPr>
      <w:r w:rsidRPr="000D6ECA">
        <w:rPr>
          <w:rStyle w:val="Strong"/>
          <w:rFonts w:ascii="Times New Roman" w:hAnsi="Times New Roman" w:cs="Times New Roman"/>
          <w:sz w:val="24"/>
          <w:szCs w:val="24"/>
        </w:rPr>
        <w:t>Company Income Tax (CIT)</w:t>
      </w:r>
      <w:r w:rsidRPr="000D6ECA">
        <w:rPr>
          <w:rFonts w:ascii="Times New Roman" w:hAnsi="Times New Roman" w:cs="Times New Roman"/>
          <w:sz w:val="24"/>
          <w:szCs w:val="24"/>
        </w:rPr>
        <w:t xml:space="preserve"> – 30% tax on the primary source of corporate revenue.</w:t>
      </w:r>
    </w:p>
    <w:p w14:paraId="73D407EC" w14:textId="77777777" w:rsidR="00274609" w:rsidRPr="000D6ECA" w:rsidRDefault="00274609" w:rsidP="000D6ECA">
      <w:pPr>
        <w:pStyle w:val="NormalWeb"/>
        <w:spacing w:before="0" w:beforeAutospacing="0" w:after="0" w:afterAutospacing="0"/>
      </w:pPr>
      <w:r w:rsidRPr="000D6ECA">
        <w:rPr>
          <w:rStyle w:val="Strong"/>
        </w:rPr>
        <w:t>Value Added Tax (VAT)</w:t>
      </w:r>
      <w:r w:rsidRPr="000D6ECA">
        <w:t xml:space="preserve"> – a consumption-based tax contributing significantly to fiscal receipts.</w:t>
      </w:r>
    </w:p>
    <w:p w14:paraId="07EF9071" w14:textId="63C351EE" w:rsidR="000D6ECA" w:rsidRDefault="00274609" w:rsidP="000D6ECA">
      <w:pPr>
        <w:pStyle w:val="NormalWeb"/>
        <w:spacing w:before="0" w:beforeAutospacing="0" w:after="0" w:afterAutospacing="0"/>
      </w:pPr>
      <w:r w:rsidRPr="000D6ECA">
        <w:rPr>
          <w:rStyle w:val="Strong"/>
        </w:rPr>
        <w:t>Tertiary Education Tax (EDT)</w:t>
      </w:r>
      <w:r w:rsidRPr="000D6ECA">
        <w:t xml:space="preserve"> – a specialized levy supporting educational development.</w:t>
      </w:r>
    </w:p>
    <w:p w14:paraId="2C154B86" w14:textId="4B376A0D" w:rsidR="000D6ECA" w:rsidRDefault="00274609" w:rsidP="00F91AF5">
      <w:pPr>
        <w:pStyle w:val="NormalWeb"/>
        <w:spacing w:before="0" w:beforeAutospacing="0" w:after="0" w:afterAutospacing="0"/>
        <w:jc w:val="both"/>
      </w:pPr>
      <w:r w:rsidRPr="000D6ECA">
        <w:t>These streams</w:t>
      </w:r>
      <w:r w:rsidR="000D6ECA">
        <w:t xml:space="preserve"> of revenue </w:t>
      </w:r>
      <w:r w:rsidRPr="000D6ECA">
        <w:t>represent substantial components of Nigeria’s revenue base and provide a robust foundation for evaluating the effectiveness of digital tax administration reforms.</w:t>
      </w:r>
      <w:bookmarkStart w:id="16" w:name="_Hlk238271062"/>
    </w:p>
    <w:p w14:paraId="0C098979" w14:textId="77777777" w:rsidR="000D6ECA" w:rsidRDefault="00274609" w:rsidP="000D6ECA">
      <w:pPr>
        <w:pStyle w:val="NormalWeb"/>
        <w:jc w:val="both"/>
        <w:rPr>
          <w:b/>
        </w:rPr>
      </w:pPr>
      <w:r w:rsidRPr="002513AE">
        <w:rPr>
          <w:b/>
        </w:rPr>
        <w:lastRenderedPageBreak/>
        <w:t xml:space="preserve">Model </w:t>
      </w:r>
      <w:r w:rsidR="00180D34">
        <w:rPr>
          <w:b/>
        </w:rPr>
        <w:t xml:space="preserve">Specification: </w:t>
      </w:r>
    </w:p>
    <w:p w14:paraId="1C3CA521" w14:textId="27914B7C" w:rsidR="00274609" w:rsidRPr="000D6ECA" w:rsidRDefault="00180D34" w:rsidP="000D6ECA">
      <w:pPr>
        <w:pStyle w:val="NormalWeb"/>
        <w:jc w:val="both"/>
      </w:pPr>
      <w:r w:rsidRPr="00180D34">
        <w:t>The</w:t>
      </w:r>
      <w:r w:rsidR="00274609" w:rsidRPr="00180D34">
        <w:t xml:space="preserve"> </w:t>
      </w:r>
      <w:r w:rsidR="00274609" w:rsidRPr="00CD23E6">
        <w:t xml:space="preserve">empirical strategy is based on a </w:t>
      </w:r>
      <w:r w:rsidR="00274609" w:rsidRPr="00CD23E6">
        <w:rPr>
          <w:bCs/>
        </w:rPr>
        <w:t>quasi-experimental pre</w:t>
      </w:r>
      <w:r w:rsidR="00274609">
        <w:rPr>
          <w:bCs/>
        </w:rPr>
        <w:t>-</w:t>
      </w:r>
      <w:r w:rsidR="00274609" w:rsidRPr="00CD23E6">
        <w:rPr>
          <w:bCs/>
        </w:rPr>
        <w:t>post intervention design</w:t>
      </w:r>
      <w:r w:rsidR="00274609" w:rsidRPr="00CD23E6">
        <w:t>, where revenue outcomes are modeled as a function of the E-Taxation intervention. Let Y</w:t>
      </w:r>
      <w:r w:rsidR="00274609" w:rsidRPr="00CD23E6">
        <w:rPr>
          <w:vertAlign w:val="subscript"/>
        </w:rPr>
        <w:t>it</w:t>
      </w:r>
      <w:r w:rsidR="00274609" w:rsidRPr="00CD23E6">
        <w:t xml:space="preserve"> denote the revenue from tax stream i in year t. The model is specified as:</w:t>
      </w:r>
    </w:p>
    <w:p w14:paraId="5D97AA9E" w14:textId="77777777" w:rsidR="00274609" w:rsidRPr="00CD23E6" w:rsidRDefault="00274609" w:rsidP="00274609">
      <w:pPr>
        <w:spacing w:after="0"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sz w:val="24"/>
          <w:szCs w:val="24"/>
        </w:rPr>
        <w:t>Y</w:t>
      </w:r>
      <w:r w:rsidRPr="00CD23E6">
        <w:rPr>
          <w:rFonts w:ascii="Times New Roman" w:eastAsia="Times New Roman" w:hAnsi="Times New Roman" w:cs="Times New Roman"/>
          <w:sz w:val="24"/>
          <w:szCs w:val="24"/>
          <w:vertAlign w:val="subscript"/>
        </w:rPr>
        <w:t>it</w:t>
      </w:r>
      <w:r w:rsidRPr="00CD23E6">
        <w:rPr>
          <w:rFonts w:ascii="Times New Roman" w:eastAsia="Times New Roman" w:hAnsi="Times New Roman" w:cs="Times New Roman"/>
          <w:sz w:val="24"/>
          <w:szCs w:val="24"/>
        </w:rPr>
        <w:t>=α+β</w:t>
      </w:r>
      <w:r w:rsidRPr="00CD23E6">
        <w:rPr>
          <w:rFonts w:ascii="Cambria Math" w:eastAsia="Times New Roman" w:hAnsi="Cambria Math" w:cs="Cambria Math"/>
          <w:sz w:val="24"/>
          <w:szCs w:val="24"/>
        </w:rPr>
        <w:t>⋅</w:t>
      </w:r>
      <w:r w:rsidRPr="00CD23E6">
        <w:rPr>
          <w:rFonts w:ascii="Times New Roman" w:eastAsia="Times New Roman" w:hAnsi="Times New Roman" w:cs="Times New Roman"/>
          <w:sz w:val="24"/>
          <w:szCs w:val="24"/>
        </w:rPr>
        <w:t>Post</w:t>
      </w:r>
      <w:r w:rsidRPr="00CD23E6">
        <w:rPr>
          <w:rFonts w:ascii="Times New Roman" w:eastAsia="Times New Roman" w:hAnsi="Times New Roman" w:cs="Times New Roman"/>
          <w:sz w:val="24"/>
          <w:szCs w:val="24"/>
          <w:vertAlign w:val="subscript"/>
        </w:rPr>
        <w:t>t</w:t>
      </w:r>
      <w:r w:rsidRPr="00CD23E6">
        <w:rPr>
          <w:rFonts w:ascii="Times New Roman" w:eastAsia="Times New Roman" w:hAnsi="Times New Roman" w:cs="Times New Roman"/>
          <w:sz w:val="24"/>
          <w:szCs w:val="24"/>
        </w:rPr>
        <w:t>+γ</w:t>
      </w:r>
      <w:r w:rsidRPr="00CD23E6">
        <w:rPr>
          <w:rFonts w:ascii="Times New Roman" w:eastAsia="Times New Roman" w:hAnsi="Times New Roman" w:cs="Times New Roman"/>
          <w:sz w:val="24"/>
          <w:szCs w:val="24"/>
          <w:vertAlign w:val="subscript"/>
        </w:rPr>
        <w:t>i</w:t>
      </w:r>
      <w:r w:rsidRPr="00CD23E6">
        <w:rPr>
          <w:rFonts w:ascii="Times New Roman" w:eastAsia="Times New Roman" w:hAnsi="Times New Roman" w:cs="Times New Roman"/>
          <w:sz w:val="24"/>
          <w:szCs w:val="24"/>
        </w:rPr>
        <w:t>+ϵ</w:t>
      </w:r>
      <w:r w:rsidRPr="00CD23E6">
        <w:rPr>
          <w:rFonts w:ascii="Times New Roman" w:eastAsia="Times New Roman" w:hAnsi="Times New Roman" w:cs="Times New Roman"/>
          <w:sz w:val="24"/>
          <w:szCs w:val="24"/>
          <w:vertAlign w:val="subscript"/>
        </w:rPr>
        <w:t>it</w:t>
      </w:r>
    </w:p>
    <w:p w14:paraId="1E79621E" w14:textId="77777777" w:rsidR="00274609" w:rsidRPr="00CD23E6" w:rsidRDefault="00274609" w:rsidP="002746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sz w:val="24"/>
          <w:szCs w:val="24"/>
        </w:rPr>
        <w:t>Y</w:t>
      </w:r>
      <w:r w:rsidRPr="00CD23E6">
        <w:rPr>
          <w:rFonts w:ascii="Times New Roman" w:eastAsia="Times New Roman" w:hAnsi="Times New Roman" w:cs="Times New Roman"/>
          <w:sz w:val="24"/>
          <w:szCs w:val="24"/>
          <w:vertAlign w:val="subscript"/>
        </w:rPr>
        <w:t xml:space="preserve">it: </w:t>
      </w:r>
      <w:r w:rsidRPr="00CD23E6">
        <w:rPr>
          <w:rFonts w:ascii="Times New Roman" w:eastAsia="Times New Roman" w:hAnsi="Times New Roman" w:cs="Times New Roman"/>
          <w:sz w:val="24"/>
          <w:szCs w:val="24"/>
        </w:rPr>
        <w:t>Observed revenue for tax stream i (CIT, VAT, EDT) in year t.</w:t>
      </w:r>
    </w:p>
    <w:p w14:paraId="31B5CFE6" w14:textId="77777777" w:rsidR="00274609" w:rsidRPr="00CD23E6" w:rsidRDefault="00274609" w:rsidP="002746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sz w:val="24"/>
          <w:szCs w:val="24"/>
        </w:rPr>
        <w:t>Post</w:t>
      </w:r>
      <w:r w:rsidRPr="00CD23E6">
        <w:rPr>
          <w:rFonts w:ascii="Times New Roman" w:eastAsia="Times New Roman" w:hAnsi="Times New Roman" w:cs="Times New Roman"/>
          <w:sz w:val="24"/>
          <w:szCs w:val="24"/>
          <w:vertAlign w:val="subscript"/>
        </w:rPr>
        <w:t>t</w:t>
      </w:r>
      <w:r w:rsidRPr="00CD23E6">
        <w:rPr>
          <w:rFonts w:ascii="Times New Roman" w:eastAsia="Times New Roman" w:hAnsi="Times New Roman" w:cs="Times New Roman"/>
          <w:sz w:val="24"/>
          <w:szCs w:val="24"/>
        </w:rPr>
        <w:t>: Binary indicator equal to 1 for post-intervention years (2021–2025 Q3), and 0 otherwise.</w:t>
      </w:r>
    </w:p>
    <w:p w14:paraId="26F56A78" w14:textId="77777777" w:rsidR="00274609" w:rsidRPr="00CD23E6" w:rsidRDefault="00274609" w:rsidP="002746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sz w:val="24"/>
          <w:szCs w:val="24"/>
        </w:rPr>
        <w:t>γ</w:t>
      </w:r>
      <w:r w:rsidRPr="00CD23E6">
        <w:rPr>
          <w:rFonts w:ascii="Times New Roman" w:eastAsia="Times New Roman" w:hAnsi="Times New Roman" w:cs="Times New Roman"/>
          <w:sz w:val="24"/>
          <w:szCs w:val="24"/>
          <w:vertAlign w:val="subscript"/>
        </w:rPr>
        <w:t>i</w:t>
      </w:r>
      <w:r w:rsidRPr="00CD23E6">
        <w:rPr>
          <w:rFonts w:ascii="Times New Roman" w:eastAsia="Times New Roman" w:hAnsi="Times New Roman" w:cs="Times New Roman"/>
          <w:sz w:val="24"/>
          <w:szCs w:val="24"/>
        </w:rPr>
        <w:t>: Tax-type fixed effects to account for differences across revenue streams.</w:t>
      </w:r>
    </w:p>
    <w:p w14:paraId="3002551C" w14:textId="77777777" w:rsidR="00274609" w:rsidRPr="00CD23E6" w:rsidRDefault="00274609" w:rsidP="002746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sz w:val="24"/>
          <w:szCs w:val="24"/>
        </w:rPr>
        <w:t>ϵ</w:t>
      </w:r>
      <w:r w:rsidRPr="00CD23E6">
        <w:rPr>
          <w:rFonts w:ascii="Times New Roman" w:eastAsia="Times New Roman" w:hAnsi="Times New Roman" w:cs="Times New Roman"/>
          <w:sz w:val="24"/>
          <w:szCs w:val="24"/>
          <w:vertAlign w:val="subscript"/>
        </w:rPr>
        <w:t>it</w:t>
      </w:r>
      <w:r w:rsidRPr="00CD23E6">
        <w:rPr>
          <w:rFonts w:ascii="Times New Roman" w:eastAsia="Times New Roman" w:hAnsi="Times New Roman" w:cs="Times New Roman"/>
          <w:sz w:val="24"/>
          <w:szCs w:val="24"/>
        </w:rPr>
        <w:t>: Error term capturing unobserved shocks.</w:t>
      </w:r>
    </w:p>
    <w:p w14:paraId="6487F301" w14:textId="77777777" w:rsidR="00274609" w:rsidRPr="00CD23E6" w:rsidRDefault="00274609" w:rsidP="00274609">
      <w:pPr>
        <w:spacing w:before="100" w:beforeAutospacing="1" w:after="100" w:afterAutospacing="1"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sz w:val="24"/>
          <w:szCs w:val="24"/>
        </w:rPr>
        <w:t xml:space="preserve">The coefficient β measures the </w:t>
      </w:r>
      <w:r w:rsidRPr="00CD23E6">
        <w:rPr>
          <w:rFonts w:ascii="Times New Roman" w:eastAsia="Times New Roman" w:hAnsi="Times New Roman" w:cs="Times New Roman"/>
          <w:bCs/>
          <w:sz w:val="24"/>
          <w:szCs w:val="24"/>
        </w:rPr>
        <w:t>average treatment effect of TaxPro Max</w:t>
      </w:r>
      <w:r w:rsidRPr="00CD23E6">
        <w:rPr>
          <w:rFonts w:ascii="Times New Roman" w:eastAsia="Times New Roman" w:hAnsi="Times New Roman" w:cs="Times New Roman"/>
          <w:sz w:val="24"/>
          <w:szCs w:val="24"/>
        </w:rPr>
        <w:t>, i.e., the difference in mean revenue between pre- and post-intervention phases.</w:t>
      </w:r>
    </w:p>
    <w:bookmarkEnd w:id="16"/>
    <w:p w14:paraId="4E82536A" w14:textId="77777777" w:rsidR="00274609" w:rsidRPr="00CD23E6" w:rsidRDefault="00274609" w:rsidP="006F39B8">
      <w:pPr>
        <w:spacing w:after="0" w:line="240" w:lineRule="auto"/>
        <w:outlineLvl w:val="2"/>
        <w:rPr>
          <w:rFonts w:ascii="Times New Roman" w:eastAsia="Times New Roman" w:hAnsi="Times New Roman" w:cs="Times New Roman"/>
          <w:bCs/>
          <w:sz w:val="27"/>
          <w:szCs w:val="27"/>
        </w:rPr>
      </w:pPr>
      <w:r w:rsidRPr="00CD23E6">
        <w:rPr>
          <w:rFonts w:ascii="Times New Roman" w:eastAsia="Times New Roman" w:hAnsi="Times New Roman" w:cs="Times New Roman"/>
          <w:bCs/>
          <w:sz w:val="27"/>
          <w:szCs w:val="27"/>
        </w:rPr>
        <w:t>Assumptions</w:t>
      </w:r>
    </w:p>
    <w:p w14:paraId="78C6F27B" w14:textId="77777777" w:rsidR="00274609" w:rsidRPr="00CD23E6" w:rsidRDefault="00274609" w:rsidP="006F39B8">
      <w:pPr>
        <w:numPr>
          <w:ilvl w:val="0"/>
          <w:numId w:val="4"/>
        </w:numPr>
        <w:spacing w:after="0"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bCs/>
          <w:sz w:val="24"/>
          <w:szCs w:val="24"/>
        </w:rPr>
        <w:t>Temporal exogeneity</w:t>
      </w:r>
      <w:r w:rsidRPr="00CD23E6">
        <w:rPr>
          <w:rFonts w:ascii="Times New Roman" w:eastAsia="Times New Roman" w:hAnsi="Times New Roman" w:cs="Times New Roman"/>
          <w:sz w:val="24"/>
          <w:szCs w:val="24"/>
        </w:rPr>
        <w:t>: The timing of TaxPro Max rollout is independent of other unobserved shocks to revenue.</w:t>
      </w:r>
    </w:p>
    <w:p w14:paraId="035144E2" w14:textId="77777777" w:rsidR="00274609" w:rsidRPr="00CD23E6" w:rsidRDefault="00274609" w:rsidP="002746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bCs/>
          <w:sz w:val="24"/>
          <w:szCs w:val="24"/>
        </w:rPr>
        <w:t>Stable unit treatment value assumption (SUTVA)</w:t>
      </w:r>
      <w:r w:rsidRPr="00CD23E6">
        <w:rPr>
          <w:rFonts w:ascii="Times New Roman" w:eastAsia="Times New Roman" w:hAnsi="Times New Roman" w:cs="Times New Roman"/>
          <w:sz w:val="24"/>
          <w:szCs w:val="24"/>
        </w:rPr>
        <w:t>: No spillover effects across tax streams beyond the intervention.</w:t>
      </w:r>
    </w:p>
    <w:p w14:paraId="5FCC50AA" w14:textId="77777777" w:rsidR="00274609" w:rsidRPr="00CD23E6" w:rsidRDefault="00274609" w:rsidP="002746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bCs/>
          <w:sz w:val="24"/>
          <w:szCs w:val="24"/>
        </w:rPr>
        <w:t>No structural breaks</w:t>
      </w:r>
      <w:r w:rsidRPr="00CD23E6">
        <w:rPr>
          <w:rFonts w:ascii="Times New Roman" w:eastAsia="Times New Roman" w:hAnsi="Times New Roman" w:cs="Times New Roman"/>
          <w:sz w:val="24"/>
          <w:szCs w:val="24"/>
        </w:rPr>
        <w:t>: Aside from the intervention, revenue trends are assumed to follow consistent dynamics.</w:t>
      </w:r>
    </w:p>
    <w:p w14:paraId="3C3F7D4D" w14:textId="4797A859" w:rsidR="00274609" w:rsidRPr="00CD23E6" w:rsidRDefault="00274609" w:rsidP="006F39B8">
      <w:pPr>
        <w:numPr>
          <w:ilvl w:val="0"/>
          <w:numId w:val="4"/>
        </w:numPr>
        <w:spacing w:after="0" w:line="240" w:lineRule="auto"/>
        <w:rPr>
          <w:rFonts w:ascii="Times New Roman" w:eastAsia="Times New Roman" w:hAnsi="Times New Roman" w:cs="Times New Roman"/>
          <w:sz w:val="24"/>
          <w:szCs w:val="24"/>
        </w:rPr>
      </w:pPr>
      <w:r w:rsidRPr="00CD23E6">
        <w:rPr>
          <w:rFonts w:ascii="Times New Roman" w:eastAsia="Times New Roman" w:hAnsi="Times New Roman" w:cs="Times New Roman"/>
          <w:bCs/>
          <w:sz w:val="24"/>
          <w:szCs w:val="24"/>
        </w:rPr>
        <w:t>Institutional capacity condition</w:t>
      </w:r>
      <w:r w:rsidRPr="00CD23E6">
        <w:rPr>
          <w:rFonts w:ascii="Times New Roman" w:eastAsia="Times New Roman" w:hAnsi="Times New Roman" w:cs="Times New Roman"/>
          <w:sz w:val="24"/>
          <w:szCs w:val="24"/>
        </w:rPr>
        <w:t>: The effectiveness of digitali</w:t>
      </w:r>
      <w:r w:rsidR="006F39B8">
        <w:rPr>
          <w:rFonts w:ascii="Times New Roman" w:eastAsia="Times New Roman" w:hAnsi="Times New Roman" w:cs="Times New Roman"/>
          <w:sz w:val="24"/>
          <w:szCs w:val="24"/>
        </w:rPr>
        <w:t>s</w:t>
      </w:r>
      <w:r w:rsidRPr="00CD23E6">
        <w:rPr>
          <w:rFonts w:ascii="Times New Roman" w:eastAsia="Times New Roman" w:hAnsi="Times New Roman" w:cs="Times New Roman"/>
          <w:sz w:val="24"/>
          <w:szCs w:val="24"/>
        </w:rPr>
        <w:t>ation depends on adequate administrative capacity, consistent with prior findings (Okunogbe &amp; Tourek, 2024).</w:t>
      </w:r>
    </w:p>
    <w:p w14:paraId="00130DCD" w14:textId="0D38E1FD" w:rsidR="00274609" w:rsidRPr="002513AE" w:rsidRDefault="00274609" w:rsidP="00860794">
      <w:pPr>
        <w:spacing w:after="0" w:line="240" w:lineRule="auto"/>
        <w:jc w:val="both"/>
        <w:rPr>
          <w:rFonts w:ascii="Times New Roman" w:eastAsia="Times New Roman" w:hAnsi="Times New Roman" w:cs="Times New Roman"/>
          <w:sz w:val="24"/>
          <w:szCs w:val="24"/>
          <w:lang w:eastAsia="en-GB"/>
        </w:rPr>
      </w:pPr>
      <w:r w:rsidRPr="002513AE">
        <w:rPr>
          <w:rFonts w:ascii="Times New Roman" w:eastAsia="Times New Roman" w:hAnsi="Times New Roman" w:cs="Times New Roman"/>
          <w:sz w:val="24"/>
          <w:szCs w:val="24"/>
          <w:lang w:eastAsia="en-GB"/>
        </w:rPr>
        <w:t xml:space="preserve">Binary policy indicators are widely used in reform evaluation studies to capture structural breaks in institutional regimes </w:t>
      </w:r>
      <w:r w:rsidRPr="002513AE">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{"citationItems":[{"id":"ITEM-1","itemData":{"DOI":"10.1080/03050068.2020.1849614","ISSN":"13600486","abstract":"The global diffusion of outcome-based accountability in education is contested, with accounts of universal convergence being challenged by perspectives emphasising heterogeneity across different national or local contexts. This study uses data from PISA to explore, firstly, the spatial and temporal diffusion of accountability across OECD countries, and secondly, whether accountability is implemented as a single coherent regime. Using cluster analysis techniques, we find that most countries fall into a ‘Thick’ accountability regime, with widespread use of most forms of accountability tools. However, this regime is not fully coherent, with some countries relying more on horizontal, and others on vertical, forms of accountability. A sizeable minority of countries fall into a ‘Thin’ regime, in which most accountability tools are largely absent. We also find indications of convergence across countries over time. We conclude that while accountability in education is indeed widespread, and increasingly so, it is not a universally dominant regime.","author":[{"dropping-particle":"","family":"Högberg","given":"Björn","non-dropping-particle":"","parse-names":false,"suffix":""},{"dropping-particle":"","family":"Lindgren","given":"Joakim","non-dropping-particle":"","parse-names":false,"suffix":""}],"container-title":"Comparative Education","id":"ITEM-1","issue":"3","issued":{"date-parts":[["2021"]]},"page":"301-321","publisher":"Taylor &amp; Francis","title":"Outcome-based accountability regimes in OECD countries: a global policy model?","type":"article-journal","volume":"57"},"uris":["http://www.mendeley.com/documents/?uuid=509d7509-f226-4792-ac57-070298f00605"]}],"mendeley":{"formattedCitation":"(Högberg &amp; Lindgren, 2021)","plainTextFormattedCitation":"(Högberg &amp; Lindgren, 2021)","previouslyFormattedCitation":"(Högberg &amp; Lindgren, 2021)"},"properties":{"noteIndex":0},"schema":"https://github.com/citation-style-language/schema/raw/master/csl-citation.json"}</w:instrText>
      </w:r>
      <w:r w:rsidRPr="002513AE">
        <w:rPr>
          <w:rFonts w:ascii="Times New Roman" w:eastAsia="Times New Roman" w:hAnsi="Times New Roman" w:cs="Times New Roman"/>
          <w:sz w:val="24"/>
          <w:szCs w:val="24"/>
          <w:lang w:eastAsia="en-GB"/>
        </w:rPr>
        <w:fldChar w:fldCharType="separate"/>
      </w:r>
      <w:r w:rsidRPr="00154097">
        <w:rPr>
          <w:rFonts w:ascii="Times New Roman" w:eastAsia="Times New Roman" w:hAnsi="Times New Roman" w:cs="Times New Roman"/>
          <w:noProof/>
          <w:sz w:val="24"/>
          <w:szCs w:val="24"/>
          <w:lang w:eastAsia="en-GB"/>
        </w:rPr>
        <w:t>(Högberg &amp; Lindgren, 2021)</w:t>
      </w:r>
      <w:r w:rsidRPr="002513AE">
        <w:rPr>
          <w:rFonts w:ascii="Times New Roman" w:eastAsia="Times New Roman" w:hAnsi="Times New Roman" w:cs="Times New Roman"/>
          <w:sz w:val="24"/>
          <w:szCs w:val="24"/>
          <w:lang w:eastAsia="en-GB"/>
        </w:rPr>
        <w:fldChar w:fldCharType="end"/>
      </w:r>
      <w:r w:rsidRPr="002513AE">
        <w:rPr>
          <w:rFonts w:ascii="Times New Roman" w:eastAsia="Times New Roman" w:hAnsi="Times New Roman" w:cs="Times New Roman"/>
          <w:sz w:val="24"/>
          <w:szCs w:val="24"/>
          <w:lang w:eastAsia="en-GB"/>
        </w:rPr>
        <w:t xml:space="preserve">. </w:t>
      </w:r>
      <w:bookmarkStart w:id="17" w:name="_Hlk238271304"/>
      <w:r w:rsidRPr="002513AE">
        <w:rPr>
          <w:rFonts w:ascii="Times New Roman" w:eastAsia="Times New Roman" w:hAnsi="Times New Roman" w:cs="Times New Roman"/>
          <w:sz w:val="24"/>
          <w:szCs w:val="24"/>
          <w:lang w:eastAsia="en-GB"/>
        </w:rPr>
        <w:t xml:space="preserve">To evaluate the </w:t>
      </w:r>
      <w:r>
        <w:rPr>
          <w:rFonts w:ascii="Times New Roman" w:eastAsia="Times New Roman" w:hAnsi="Times New Roman" w:cs="Times New Roman"/>
          <w:sz w:val="24"/>
          <w:szCs w:val="24"/>
          <w:lang w:eastAsia="en-GB"/>
        </w:rPr>
        <w:t>effect</w:t>
      </w:r>
      <w:r w:rsidRPr="002513AE">
        <w:rPr>
          <w:rFonts w:ascii="Times New Roman" w:eastAsia="Times New Roman" w:hAnsi="Times New Roman" w:cs="Times New Roman"/>
          <w:sz w:val="24"/>
          <w:szCs w:val="24"/>
          <w:lang w:eastAsia="en-GB"/>
        </w:rPr>
        <w:t xml:space="preserve"> of E-Taxation on revenue performance, this study applies a paired-sample t-test, which is a parametric test that compares the means between two related groups (Hansen, 2022). The paired t-test examines whether the difference in revenues </w:t>
      </w:r>
      <w:r>
        <w:rPr>
          <w:rFonts w:ascii="Times New Roman" w:eastAsia="Times New Roman" w:hAnsi="Times New Roman" w:cs="Times New Roman"/>
          <w:sz w:val="24"/>
          <w:szCs w:val="24"/>
          <w:lang w:eastAsia="en-GB"/>
        </w:rPr>
        <w:t>pre-</w:t>
      </w:r>
      <w:r w:rsidRPr="002513AE">
        <w:rPr>
          <w:rFonts w:ascii="Times New Roman" w:eastAsia="Times New Roman" w:hAnsi="Times New Roman" w:cs="Times New Roman"/>
          <w:sz w:val="24"/>
          <w:szCs w:val="24"/>
          <w:lang w:eastAsia="en-GB"/>
        </w:rPr>
        <w:t xml:space="preserve"> and </w:t>
      </w:r>
      <w:r>
        <w:rPr>
          <w:rFonts w:ascii="Times New Roman" w:eastAsia="Times New Roman" w:hAnsi="Times New Roman" w:cs="Times New Roman"/>
          <w:sz w:val="24"/>
          <w:szCs w:val="24"/>
          <w:lang w:eastAsia="en-GB"/>
        </w:rPr>
        <w:t>post-reform</w:t>
      </w:r>
      <w:r w:rsidRPr="002513AE">
        <w:rPr>
          <w:rFonts w:ascii="Times New Roman" w:eastAsia="Times New Roman" w:hAnsi="Times New Roman" w:cs="Times New Roman"/>
          <w:sz w:val="24"/>
          <w:szCs w:val="24"/>
          <w:lang w:eastAsia="en-GB"/>
        </w:rPr>
        <w:t xml:space="preserve"> is significantly different from zero. The test statistic is given by:</w:t>
      </w:r>
      <w:r w:rsidR="00860794">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m:t>
        </m:r>
        <m:f>
          <m:fPr>
            <m:ctrlPr>
              <w:rPr>
                <w:rFonts w:ascii="Cambria Math" w:eastAsia="Times New Roman" w:hAnsi="Cambria Math" w:cs="Times New Roman"/>
                <w:i/>
                <w:sz w:val="24"/>
                <w:szCs w:val="24"/>
                <w:lang w:eastAsia="en-GB"/>
              </w:rPr>
            </m:ctrlPr>
          </m:fPr>
          <m:num>
            <m:acc>
              <m:accPr>
                <m:chr m:val="̅"/>
                <m:ctrlPr>
                  <w:rPr>
                    <w:rFonts w:ascii="Cambria Math" w:eastAsia="Times New Roman" w:hAnsi="Cambria Math" w:cs="Times New Roman"/>
                    <w:i/>
                    <w:sz w:val="24"/>
                    <w:szCs w:val="24"/>
                    <w:lang w:eastAsia="en-GB"/>
                  </w:rPr>
                </m:ctrlPr>
              </m:accPr>
              <m:e>
                <m:r>
                  <w:rPr>
                    <w:rFonts w:ascii="Cambria Math" w:eastAsia="Times New Roman" w:hAnsi="Cambria Math" w:cs="Times New Roman"/>
                    <w:sz w:val="24"/>
                    <w:szCs w:val="24"/>
                    <w:lang w:eastAsia="en-GB"/>
                  </w:rPr>
                  <m:t>d</m:t>
                </m:r>
              </m:e>
            </m:acc>
          </m:num>
          <m:den>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S</m:t>
                </m:r>
              </m:e>
              <m:sub>
                <m:r>
                  <w:rPr>
                    <w:rFonts w:ascii="Cambria Math" w:eastAsia="Times New Roman" w:hAnsi="Cambria Math" w:cs="Times New Roman"/>
                    <w:sz w:val="24"/>
                    <w:szCs w:val="24"/>
                    <w:lang w:eastAsia="en-GB"/>
                  </w:rPr>
                  <m:t>d</m:t>
                </m:r>
              </m:sub>
            </m:sSub>
            <m:r>
              <w:rPr>
                <w:rFonts w:ascii="Cambria Math" w:eastAsia="Times New Roman" w:hAnsi="Cambria Math" w:cs="Times New Roman"/>
                <w:sz w:val="24"/>
                <w:szCs w:val="24"/>
                <w:lang w:eastAsia="en-GB"/>
              </w:rPr>
              <m:t>/</m:t>
            </m:r>
            <m:rad>
              <m:radPr>
                <m:degHide m:val="1"/>
                <m:ctrlPr>
                  <w:rPr>
                    <w:rFonts w:ascii="Cambria Math" w:eastAsia="Times New Roman" w:hAnsi="Cambria Math" w:cs="Times New Roman"/>
                    <w:i/>
                    <w:sz w:val="24"/>
                    <w:szCs w:val="24"/>
                    <w:lang w:eastAsia="en-GB"/>
                  </w:rPr>
                </m:ctrlPr>
              </m:radPr>
              <m:deg/>
              <m:e>
                <m:r>
                  <w:rPr>
                    <w:rFonts w:ascii="Cambria Math" w:eastAsia="Times New Roman" w:hAnsi="Cambria Math" w:cs="Times New Roman"/>
                    <w:sz w:val="24"/>
                    <w:szCs w:val="24"/>
                    <w:lang w:eastAsia="en-GB"/>
                  </w:rPr>
                  <m:t>n</m:t>
                </m:r>
              </m:e>
            </m:rad>
          </m:den>
        </m:f>
      </m:oMath>
      <w:r w:rsidRPr="002513AE">
        <w:rPr>
          <w:rFonts w:ascii="Times New Roman" w:eastAsia="Times New Roman" w:hAnsi="Times New Roman" w:cs="Times New Roman"/>
          <w:sz w:val="24"/>
          <w:szCs w:val="24"/>
          <w:lang w:eastAsia="en-GB"/>
        </w:rPr>
        <w:tab/>
      </w:r>
      <w:r w:rsidRPr="002513AE">
        <w:rPr>
          <w:rFonts w:ascii="Times New Roman" w:eastAsia="Times New Roman" w:hAnsi="Times New Roman" w:cs="Times New Roman"/>
          <w:sz w:val="24"/>
          <w:szCs w:val="24"/>
          <w:lang w:eastAsia="en-GB"/>
        </w:rPr>
        <w:tab/>
      </w:r>
      <w:r w:rsidRPr="002513AE">
        <w:rPr>
          <w:rFonts w:ascii="Times New Roman" w:eastAsia="Times New Roman" w:hAnsi="Times New Roman" w:cs="Times New Roman"/>
          <w:sz w:val="24"/>
          <w:szCs w:val="24"/>
          <w:lang w:eastAsia="en-GB"/>
        </w:rPr>
        <w:tab/>
      </w:r>
      <w:r w:rsidRPr="002513AE">
        <w:rPr>
          <w:rFonts w:ascii="Times New Roman" w:eastAsia="Times New Roman" w:hAnsi="Times New Roman" w:cs="Times New Roman"/>
          <w:sz w:val="24"/>
          <w:szCs w:val="24"/>
          <w:lang w:eastAsia="en-GB"/>
        </w:rPr>
        <w:tab/>
      </w:r>
      <w:r w:rsidRPr="002513AE">
        <w:rPr>
          <w:rFonts w:ascii="Times New Roman" w:eastAsia="Times New Roman" w:hAnsi="Times New Roman" w:cs="Times New Roman"/>
          <w:sz w:val="24"/>
          <w:szCs w:val="24"/>
          <w:lang w:eastAsia="en-GB"/>
        </w:rPr>
        <w:tab/>
      </w:r>
      <w:r w:rsidRPr="002513AE">
        <w:rPr>
          <w:rFonts w:ascii="Times New Roman" w:eastAsia="Times New Roman" w:hAnsi="Times New Roman" w:cs="Times New Roman"/>
          <w:sz w:val="24"/>
          <w:szCs w:val="24"/>
          <w:lang w:eastAsia="en-GB"/>
        </w:rPr>
        <w:tab/>
      </w:r>
      <w:r w:rsidRPr="002513AE">
        <w:rPr>
          <w:rFonts w:ascii="Times New Roman" w:eastAsia="Times New Roman" w:hAnsi="Times New Roman" w:cs="Times New Roman"/>
          <w:sz w:val="24"/>
          <w:szCs w:val="24"/>
          <w:lang w:eastAsia="en-GB"/>
        </w:rPr>
        <w:tab/>
      </w:r>
    </w:p>
    <w:p w14:paraId="76052791" w14:textId="77777777" w:rsidR="00274609" w:rsidRPr="002513AE" w:rsidRDefault="00274609" w:rsidP="00F91AF5">
      <w:pPr>
        <w:spacing w:after="0" w:line="240" w:lineRule="auto"/>
        <w:jc w:val="both"/>
        <w:rPr>
          <w:rFonts w:ascii="Times New Roman" w:eastAsia="Times New Roman" w:hAnsi="Times New Roman" w:cs="Times New Roman"/>
          <w:sz w:val="24"/>
          <w:szCs w:val="24"/>
          <w:lang w:eastAsia="en-GB"/>
        </w:rPr>
      </w:pPr>
      <w:r w:rsidRPr="002513AE">
        <w:rPr>
          <w:rFonts w:ascii="Times New Roman" w:eastAsia="Times New Roman" w:hAnsi="Times New Roman" w:cs="Times New Roman"/>
          <w:sz w:val="24"/>
          <w:szCs w:val="24"/>
          <w:lang w:eastAsia="en-GB"/>
        </w:rPr>
        <w:t>where:</w:t>
      </w:r>
    </w:p>
    <w:p w14:paraId="3ECBEB6D" w14:textId="77777777" w:rsidR="00274609" w:rsidRPr="002513AE" w:rsidRDefault="00A67EC2" w:rsidP="00F91AF5">
      <w:pPr>
        <w:spacing w:after="0" w:line="240" w:lineRule="auto"/>
        <w:jc w:val="both"/>
        <w:rPr>
          <w:rFonts w:ascii="Times New Roman" w:eastAsia="Times New Roman" w:hAnsi="Times New Roman" w:cs="Times New Roman"/>
          <w:sz w:val="24"/>
          <w:szCs w:val="24"/>
          <w:lang w:eastAsia="en-GB"/>
        </w:rPr>
      </w:pPr>
      <m:oMath>
        <m:acc>
          <m:accPr>
            <m:chr m:val="̅"/>
            <m:ctrlPr>
              <w:rPr>
                <w:rFonts w:ascii="Cambria Math" w:eastAsia="Times New Roman" w:hAnsi="Cambria Math" w:cs="Times New Roman"/>
                <w:i/>
                <w:sz w:val="24"/>
                <w:szCs w:val="24"/>
                <w:lang w:eastAsia="en-GB"/>
              </w:rPr>
            </m:ctrlPr>
          </m:accPr>
          <m:e>
            <m:r>
              <w:rPr>
                <w:rFonts w:ascii="Cambria Math" w:eastAsia="Times New Roman" w:hAnsi="Cambria Math" w:cs="Times New Roman"/>
                <w:sz w:val="24"/>
                <w:szCs w:val="24"/>
                <w:lang w:eastAsia="en-GB"/>
              </w:rPr>
              <m:t>d</m:t>
            </m:r>
          </m:e>
        </m:acc>
      </m:oMath>
      <w:r w:rsidR="00274609" w:rsidRPr="002513AE">
        <w:rPr>
          <w:rFonts w:ascii="Times New Roman" w:eastAsia="Times New Roman" w:hAnsi="Times New Roman" w:cs="Times New Roman"/>
          <w:sz w:val="24"/>
          <w:szCs w:val="24"/>
          <w:lang w:eastAsia="en-GB"/>
        </w:rPr>
        <w:t xml:space="preserve"> = Mean difference between post- and pre-implementation revenues; </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S</m:t>
            </m:r>
          </m:e>
          <m:sub>
            <m:r>
              <w:rPr>
                <w:rFonts w:ascii="Cambria Math" w:eastAsia="Times New Roman" w:hAnsi="Cambria Math" w:cs="Times New Roman"/>
                <w:sz w:val="24"/>
                <w:szCs w:val="24"/>
                <w:lang w:eastAsia="en-GB"/>
              </w:rPr>
              <m:t>d</m:t>
            </m:r>
          </m:sub>
        </m:sSub>
      </m:oMath>
      <w:r w:rsidR="00274609" w:rsidRPr="002513AE">
        <w:rPr>
          <w:rFonts w:ascii="Times New Roman" w:eastAsia="Times New Roman" w:hAnsi="Times New Roman" w:cs="Times New Roman"/>
          <w:sz w:val="24"/>
          <w:szCs w:val="24"/>
          <w:lang w:eastAsia="en-GB"/>
        </w:rPr>
        <w:t xml:space="preserve"> = Standard deviation of paired differences; and </w:t>
      </w:r>
      <m:oMath>
        <m:rad>
          <m:radPr>
            <m:degHide m:val="1"/>
            <m:ctrlPr>
              <w:rPr>
                <w:rFonts w:ascii="Cambria Math" w:eastAsia="Times New Roman" w:hAnsi="Cambria Math" w:cs="Times New Roman"/>
                <w:i/>
                <w:sz w:val="24"/>
                <w:szCs w:val="24"/>
                <w:lang w:eastAsia="en-GB"/>
              </w:rPr>
            </m:ctrlPr>
          </m:radPr>
          <m:deg/>
          <m:e>
            <m:r>
              <w:rPr>
                <w:rFonts w:ascii="Cambria Math" w:eastAsia="Times New Roman" w:hAnsi="Cambria Math" w:cs="Times New Roman"/>
                <w:sz w:val="24"/>
                <w:szCs w:val="24"/>
                <w:lang w:eastAsia="en-GB"/>
              </w:rPr>
              <m:t>n</m:t>
            </m:r>
          </m:e>
        </m:rad>
      </m:oMath>
      <w:r w:rsidR="00274609" w:rsidRPr="002513AE">
        <w:rPr>
          <w:rFonts w:ascii="Times New Roman" w:eastAsia="Times New Roman" w:hAnsi="Times New Roman" w:cs="Times New Roman"/>
          <w:sz w:val="24"/>
          <w:szCs w:val="24"/>
          <w:lang w:eastAsia="en-GB"/>
        </w:rPr>
        <w:t xml:space="preserve"> = Number of paired observations. </w:t>
      </w:r>
    </w:p>
    <w:p w14:paraId="30137E8E" w14:textId="77777777" w:rsidR="00274609" w:rsidRPr="002513AE" w:rsidRDefault="00274609" w:rsidP="00274609">
      <w:pPr>
        <w:spacing w:after="0" w:line="240" w:lineRule="auto"/>
        <w:jc w:val="both"/>
        <w:rPr>
          <w:rFonts w:ascii="Times New Roman" w:eastAsia="Times New Roman" w:hAnsi="Times New Roman" w:cs="Times New Roman"/>
          <w:sz w:val="24"/>
          <w:szCs w:val="24"/>
          <w:lang w:eastAsia="en-GB"/>
        </w:rPr>
      </w:pPr>
      <w:r w:rsidRPr="002513AE">
        <w:rPr>
          <w:rFonts w:ascii="Times New Roman" w:eastAsia="Times New Roman" w:hAnsi="Times New Roman" w:cs="Times New Roman"/>
          <w:sz w:val="24"/>
          <w:szCs w:val="24"/>
          <w:lang w:eastAsia="en-GB"/>
        </w:rPr>
        <w:t>Separate tests are conducted for CIT, VAT, and EDT revenue streams.</w:t>
      </w:r>
    </w:p>
    <w:p w14:paraId="76EACBC6" w14:textId="77777777" w:rsidR="00274609" w:rsidRPr="002513AE" w:rsidRDefault="00274609" w:rsidP="00274609">
      <w:pPr>
        <w:spacing w:after="0" w:line="240" w:lineRule="auto"/>
        <w:jc w:val="both"/>
        <w:rPr>
          <w:rFonts w:ascii="Times New Roman" w:eastAsia="Times New Roman" w:hAnsi="Times New Roman" w:cs="Times New Roman"/>
          <w:sz w:val="24"/>
          <w:szCs w:val="24"/>
          <w:lang w:eastAsia="en-GB"/>
        </w:rPr>
      </w:pPr>
    </w:p>
    <w:p w14:paraId="289861FE" w14:textId="77777777" w:rsidR="00274609" w:rsidRPr="002513AE" w:rsidRDefault="00274609" w:rsidP="00274609">
      <w:pPr>
        <w:spacing w:after="0" w:line="240" w:lineRule="auto"/>
        <w:jc w:val="both"/>
        <w:rPr>
          <w:rFonts w:ascii="Times New Roman" w:eastAsia="Times New Roman" w:hAnsi="Times New Roman" w:cs="Times New Roman"/>
          <w:sz w:val="24"/>
          <w:szCs w:val="24"/>
          <w:lang w:eastAsia="en-GB"/>
        </w:rPr>
      </w:pPr>
      <w:r w:rsidRPr="002513AE">
        <w:rPr>
          <w:rFonts w:ascii="Times New Roman" w:eastAsia="Times New Roman" w:hAnsi="Times New Roman" w:cs="Times New Roman"/>
          <w:bCs/>
          <w:sz w:val="24"/>
          <w:szCs w:val="24"/>
          <w:lang w:eastAsia="en-GB"/>
        </w:rPr>
        <w:t>Hypothesis Testing Framework</w:t>
      </w:r>
    </w:p>
    <w:p w14:paraId="78F418DF" w14:textId="77777777" w:rsidR="00274609" w:rsidRPr="002513AE" w:rsidRDefault="00274609" w:rsidP="00274609">
      <w:pPr>
        <w:spacing w:before="100" w:beforeAutospacing="1" w:after="0" w:line="240" w:lineRule="auto"/>
        <w:jc w:val="both"/>
        <w:rPr>
          <w:rFonts w:ascii="Times New Roman" w:eastAsia="Times New Roman" w:hAnsi="Times New Roman" w:cs="Times New Roman"/>
          <w:sz w:val="24"/>
          <w:szCs w:val="24"/>
          <w:lang w:eastAsia="en-GB"/>
        </w:rPr>
      </w:pPr>
      <w:r w:rsidRPr="002513AE">
        <w:rPr>
          <w:rFonts w:ascii="Times New Roman" w:eastAsia="Times New Roman" w:hAnsi="Times New Roman" w:cs="Times New Roman"/>
          <w:sz w:val="24"/>
          <w:szCs w:val="24"/>
          <w:lang w:eastAsia="en-GB"/>
        </w:rPr>
        <w:t>For each revenue category:</w:t>
      </w:r>
    </w:p>
    <w:p w14:paraId="476B2DC7" w14:textId="77777777" w:rsidR="00274609" w:rsidRPr="00606944" w:rsidRDefault="00A67EC2" w:rsidP="00274609">
      <w:pPr>
        <w:spacing w:before="100" w:beforeAutospacing="1" w:after="0" w:line="276" w:lineRule="auto"/>
        <w:jc w:val="both"/>
        <w:rPr>
          <w:rFonts w:ascii="Times New Roman" w:eastAsia="Times New Roman" w:hAnsi="Times New Roman" w:cs="Times New Roman"/>
          <w:sz w:val="24"/>
          <w:szCs w:val="24"/>
          <w:lang w:eastAsia="en-GB"/>
        </w:rPr>
      </w:pPr>
      <m:oMathPara>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H</m:t>
              </m:r>
            </m:e>
            <m:sub>
              <m:r>
                <w:rPr>
                  <w:rFonts w:ascii="Cambria Math" w:eastAsia="Times New Roman" w:hAnsi="Cambria Math" w:cs="Times New Roman"/>
                  <w:sz w:val="24"/>
                  <w:szCs w:val="24"/>
                  <w:lang w:eastAsia="en-GB"/>
                </w:rPr>
                <m:t>0</m:t>
              </m:r>
            </m:sub>
          </m:sSub>
          <m:r>
            <w:rPr>
              <w:rFonts w:ascii="Cambria Math" w:eastAsia="Times New Roman" w:hAnsi="Cambria Math" w:cs="Times New Roman"/>
              <w:sz w:val="24"/>
              <w:szCs w:val="24"/>
              <w:lang w:eastAsia="en-GB"/>
            </w:rPr>
            <m:t xml:space="preserve">: </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μ</m:t>
              </m:r>
            </m:e>
            <m:sub>
              <m:r>
                <w:rPr>
                  <w:rFonts w:ascii="Cambria Math" w:eastAsia="Times New Roman" w:hAnsi="Cambria Math" w:cs="Times New Roman"/>
                  <w:sz w:val="24"/>
                  <w:szCs w:val="24"/>
                  <w:lang w:eastAsia="en-GB"/>
                </w:rPr>
                <m:t>Post</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μ</m:t>
              </m:r>
            </m:e>
            <m:sub>
              <m:r>
                <w:rPr>
                  <w:rFonts w:ascii="Cambria Math" w:eastAsia="Times New Roman" w:hAnsi="Cambria Math" w:cs="Times New Roman"/>
                  <w:sz w:val="24"/>
                  <w:szCs w:val="24"/>
                  <w:lang w:eastAsia="en-GB"/>
                </w:rPr>
                <m:t>Pre</m:t>
              </m:r>
            </m:sub>
          </m:sSub>
          <m:r>
            <w:rPr>
              <w:rFonts w:ascii="Cambria Math" w:eastAsia="Times New Roman" w:hAnsi="Cambria Math" w:cs="Times New Roman"/>
              <w:sz w:val="24"/>
              <w:szCs w:val="24"/>
              <w:lang w:eastAsia="en-GB"/>
            </w:rPr>
            <m:t>=0</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H</m:t>
              </m:r>
            </m:e>
            <m:sub>
              <m:r>
                <w:rPr>
                  <w:rFonts w:ascii="Cambria Math" w:eastAsia="Times New Roman" w:hAnsi="Cambria Math" w:cs="Times New Roman"/>
                  <w:sz w:val="24"/>
                  <w:szCs w:val="24"/>
                  <w:lang w:eastAsia="en-GB"/>
                </w:rPr>
                <m:t>1</m:t>
              </m:r>
            </m:sub>
          </m:sSub>
          <m:r>
            <w:rPr>
              <w:rFonts w:ascii="Cambria Math" w:eastAsia="Times New Roman" w:hAnsi="Cambria Math" w:cs="Times New Roman"/>
              <w:sz w:val="24"/>
              <w:szCs w:val="24"/>
              <w:lang w:eastAsia="en-GB"/>
            </w:rPr>
            <m:t xml:space="preserve">: </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μ</m:t>
              </m:r>
            </m:e>
            <m:sub>
              <m:r>
                <w:rPr>
                  <w:rFonts w:ascii="Cambria Math" w:eastAsia="Times New Roman" w:hAnsi="Cambria Math" w:cs="Times New Roman"/>
                  <w:sz w:val="24"/>
                  <w:szCs w:val="24"/>
                  <w:lang w:eastAsia="en-GB"/>
                </w:rPr>
                <m:t>Post</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μ</m:t>
              </m:r>
            </m:e>
            <m:sub>
              <m:r>
                <w:rPr>
                  <w:rFonts w:ascii="Cambria Math" w:eastAsia="Times New Roman" w:hAnsi="Cambria Math" w:cs="Times New Roman"/>
                  <w:sz w:val="24"/>
                  <w:szCs w:val="24"/>
                  <w:lang w:eastAsia="en-GB"/>
                </w:rPr>
                <m:t>Pre</m:t>
              </m:r>
            </m:sub>
          </m:sSub>
          <m:r>
            <w:rPr>
              <w:rFonts w:ascii="Cambria Math" w:eastAsia="Times New Roman" w:hAnsi="Cambria Math" w:cs="Times New Roman"/>
              <w:sz w:val="24"/>
              <w:szCs w:val="24"/>
              <w:lang w:eastAsia="en-GB"/>
            </w:rPr>
            <m:t>≠0</m:t>
          </m:r>
        </m:oMath>
      </m:oMathPara>
    </w:p>
    <w:p w14:paraId="75C8146A" w14:textId="77777777" w:rsidR="00274609" w:rsidRPr="002513AE" w:rsidRDefault="00274609" w:rsidP="00274609">
      <w:pPr>
        <w:spacing w:before="100" w:beforeAutospacing="1" w:after="0" w:line="276" w:lineRule="auto"/>
        <w:jc w:val="both"/>
        <w:rPr>
          <w:rFonts w:ascii="Times New Roman" w:eastAsia="Times New Roman" w:hAnsi="Times New Roman" w:cs="Times New Roman"/>
          <w:sz w:val="24"/>
          <w:szCs w:val="24"/>
          <w:lang w:eastAsia="en-GB"/>
        </w:rPr>
      </w:pPr>
      <w:r w:rsidRPr="002513AE">
        <w:rPr>
          <w:rFonts w:ascii="Times New Roman" w:eastAsia="Times New Roman" w:hAnsi="Times New Roman" w:cs="Times New Roman"/>
          <w:sz w:val="24"/>
          <w:szCs w:val="24"/>
          <w:lang w:eastAsia="en-GB"/>
        </w:rPr>
        <w:t xml:space="preserve">These hypotheses were tested at </w:t>
      </w:r>
      <w:r>
        <w:rPr>
          <w:rFonts w:ascii="Times New Roman" w:eastAsia="Times New Roman" w:hAnsi="Times New Roman" w:cs="Times New Roman"/>
          <w:sz w:val="24"/>
          <w:szCs w:val="24"/>
          <w:lang w:eastAsia="en-GB"/>
        </w:rPr>
        <w:t xml:space="preserve">a </w:t>
      </w:r>
      <w:r w:rsidRPr="002513AE">
        <w:rPr>
          <w:rFonts w:ascii="Times New Roman" w:eastAsia="Times New Roman" w:hAnsi="Times New Roman" w:cs="Times New Roman"/>
          <w:sz w:val="24"/>
          <w:szCs w:val="24"/>
          <w:lang w:eastAsia="en-GB"/>
        </w:rPr>
        <w:t>5% level of significance. H</w:t>
      </w:r>
      <w:r w:rsidRPr="002513AE">
        <w:rPr>
          <w:rFonts w:ascii="Times New Roman" w:eastAsia="Times New Roman" w:hAnsi="Times New Roman" w:cs="Times New Roman"/>
          <w:sz w:val="24"/>
          <w:szCs w:val="24"/>
          <w:vertAlign w:val="subscript"/>
          <w:lang w:eastAsia="en-GB"/>
        </w:rPr>
        <w:t>0</w:t>
      </w:r>
      <w:r w:rsidRPr="002513AE">
        <w:rPr>
          <w:rFonts w:ascii="Times New Roman" w:eastAsia="Times New Roman" w:hAnsi="Times New Roman" w:cs="Times New Roman"/>
          <w:sz w:val="24"/>
          <w:szCs w:val="24"/>
          <w:lang w:eastAsia="en-GB"/>
        </w:rPr>
        <w:t xml:space="preserve"> is rejected when the p-value &lt; 0.05.</w:t>
      </w:r>
    </w:p>
    <w:bookmarkEnd w:id="17"/>
    <w:p w14:paraId="17C420A5" w14:textId="77777777" w:rsidR="00274609" w:rsidRPr="002513AE" w:rsidRDefault="00274609" w:rsidP="00274609">
      <w:pPr>
        <w:spacing w:before="100" w:beforeAutospacing="1" w:after="0" w:line="360" w:lineRule="auto"/>
        <w:jc w:val="both"/>
        <w:outlineLvl w:val="1"/>
        <w:rPr>
          <w:rFonts w:ascii="Times New Roman" w:eastAsia="Times New Roman" w:hAnsi="Times New Roman" w:cs="Times New Roman"/>
          <w:sz w:val="24"/>
          <w:szCs w:val="24"/>
          <w:lang w:eastAsia="en-GB"/>
        </w:rPr>
      </w:pPr>
      <w:r w:rsidRPr="002513AE">
        <w:rPr>
          <w:rFonts w:ascii="Times New Roman" w:eastAsia="Times New Roman" w:hAnsi="Times New Roman" w:cs="Times New Roman"/>
          <w:sz w:val="24"/>
          <w:szCs w:val="24"/>
          <w:lang w:eastAsia="en-GB"/>
        </w:rPr>
        <w:lastRenderedPageBreak/>
        <w:t xml:space="preserve">In applying the paired-sample t-test, it is necessary to assume that the distribution of differences between observations is normal, observations are dependent within pairs but independent between pairs, and observations are continuous and </w:t>
      </w:r>
      <w:r>
        <w:rPr>
          <w:rFonts w:ascii="Times New Roman" w:eastAsia="Times New Roman" w:hAnsi="Times New Roman" w:cs="Times New Roman"/>
          <w:sz w:val="24"/>
          <w:szCs w:val="24"/>
          <w:lang w:eastAsia="en-GB"/>
        </w:rPr>
        <w:t>unbiased</w:t>
      </w:r>
      <w:r w:rsidRPr="002513AE">
        <w:rPr>
          <w:rFonts w:ascii="Times New Roman" w:eastAsia="Times New Roman" w:hAnsi="Times New Roman" w:cs="Times New Roman"/>
          <w:sz w:val="24"/>
          <w:szCs w:val="24"/>
          <w:lang w:eastAsia="en-GB"/>
        </w:rPr>
        <w:t xml:space="preserve"> </w:t>
      </w:r>
      <w:r w:rsidRPr="002513AE">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{"citationItems":[{"id":"ITEM-1","itemData":{"author":[{"dropping-particle":"","family":"Hansen","given":"B.E.","non-dropping-particle":"","parse-names":false,"suffix":""}],"chapter-number":"1 &amp; 2","id":"ITEM-1","issued":{"date-parts":[["2021"]]},"number-of-pages":"1019","title":"Econometrics","type":"book"},"uris":["http://www.mendeley.com/documents/?uuid=f522dab8-4935-45c6-a585-57a0c08f6500"]}],"mendeley":{"formattedCitation":"(Hansen, 2021)","plainTextFormattedCitation":"(Hansen, 2021)","previouslyFormattedCitation":"(Hansen, 2021)"},"properties":{"noteIndex":0},"schema":"https://github.com/citation-style-language/schema/raw/master/csl-citation.json"}</w:instrText>
      </w:r>
      <w:r w:rsidRPr="002513AE">
        <w:rPr>
          <w:rFonts w:ascii="Times New Roman" w:eastAsia="Times New Roman" w:hAnsi="Times New Roman" w:cs="Times New Roman"/>
          <w:sz w:val="24"/>
          <w:szCs w:val="24"/>
          <w:lang w:eastAsia="en-GB"/>
        </w:rPr>
        <w:fldChar w:fldCharType="separate"/>
      </w:r>
      <w:r w:rsidRPr="00154097">
        <w:rPr>
          <w:rFonts w:ascii="Times New Roman" w:eastAsia="Times New Roman" w:hAnsi="Times New Roman" w:cs="Times New Roman"/>
          <w:noProof/>
          <w:sz w:val="24"/>
          <w:szCs w:val="24"/>
          <w:lang w:eastAsia="en-GB"/>
        </w:rPr>
        <w:t>(Hansen, 2021)</w:t>
      </w:r>
      <w:r w:rsidRPr="002513AE">
        <w:rPr>
          <w:rFonts w:ascii="Times New Roman" w:eastAsia="Times New Roman" w:hAnsi="Times New Roman" w:cs="Times New Roman"/>
          <w:sz w:val="24"/>
          <w:szCs w:val="24"/>
          <w:lang w:eastAsia="en-GB"/>
        </w:rPr>
        <w:fldChar w:fldCharType="end"/>
      </w:r>
      <w:r w:rsidRPr="002513AE">
        <w:rPr>
          <w:rFonts w:ascii="Times New Roman" w:eastAsia="Times New Roman" w:hAnsi="Times New Roman" w:cs="Times New Roman"/>
          <w:sz w:val="24"/>
          <w:szCs w:val="24"/>
          <w:lang w:eastAsia="en-GB"/>
        </w:rPr>
        <w:t xml:space="preserve">. Due to the small sample size, consisting of 4 pairs, it is limited in terms of power. As a result, in policy evaluation, </w:t>
      </w:r>
      <w:r>
        <w:rPr>
          <w:rFonts w:ascii="Times New Roman" w:eastAsia="Times New Roman" w:hAnsi="Times New Roman" w:cs="Times New Roman"/>
          <w:sz w:val="24"/>
          <w:szCs w:val="24"/>
          <w:lang w:eastAsia="en-GB"/>
        </w:rPr>
        <w:t>small-sample</w:t>
      </w:r>
      <w:r w:rsidRPr="002513AE">
        <w:rPr>
          <w:rFonts w:ascii="Times New Roman" w:eastAsia="Times New Roman" w:hAnsi="Times New Roman" w:cs="Times New Roman"/>
          <w:sz w:val="24"/>
          <w:szCs w:val="24"/>
          <w:lang w:eastAsia="en-GB"/>
        </w:rPr>
        <w:t xml:space="preserve"> inference </w:t>
      </w:r>
      <w:r>
        <w:rPr>
          <w:rFonts w:ascii="Times New Roman" w:eastAsia="Times New Roman" w:hAnsi="Times New Roman" w:cs="Times New Roman"/>
          <w:sz w:val="24"/>
          <w:szCs w:val="24"/>
          <w:lang w:eastAsia="en-GB"/>
        </w:rPr>
        <w:t>should</w:t>
      </w:r>
      <w:r w:rsidRPr="002513AE">
        <w:rPr>
          <w:rFonts w:ascii="Times New Roman" w:eastAsia="Times New Roman" w:hAnsi="Times New Roman" w:cs="Times New Roman"/>
          <w:sz w:val="24"/>
          <w:szCs w:val="24"/>
          <w:lang w:eastAsia="en-GB"/>
        </w:rPr>
        <w:t xml:space="preserve"> be used in an interpretively cautious manner </w:t>
      </w:r>
      <w:r w:rsidRPr="002513AE">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{"citationItems":[{"id":"ITEM-1","itemData":{"DOI":"10.69496/cjess.v2i2.78","ISSN":"3007-4649","abstract":"Experimental research is a primary scientific method used to elucidate cause-and-effect correlations between variables in diverse fields. Specifically, this paper outlines the essential characteristics of experimental research, encompassing variable manipulation, controlled settings, random assignment, and precise measurement procedures to enable causal inferences. Moreover, the paper clarifies many experimental designs, including randomized controlled trials, true experimental designs, quasi-experimental designs, and single-case designs, each adapted to certain research contexts. Subsequently, the paper delineates the procedural processes for doing experimental research, underscoring the significance of methodological rigor from study design to result interpretation. Furthermore, it outlines the possible challenges to internal and external validity, emphasizing the importance of addressing confounding factors to ensure strong experimental results. In addition, the paper examines the timing of pre-tests and post-tests, the complexities of experimental design, and emerging trends such as internet-based experiments and ex post facto research. Finally, this paper seeks to furnish scholars with a detailed comprehension of experimental inquiry through an extensive analysis of research procedures, designs, and applications across several academic fields.","author":[{"dropping-particle":"","family":"Em","given":"Sereyrath","non-dropping-particle":"","parse-names":false,"suffix":""}],"container-title":"Cambodian Journal of Educational and Social Sciences (CJESS)","id":"ITEM-1","issue":"2","issued":{"date-parts":[["2025"]]},"page":"1-8","title":"Exploring experimental research: Methodologies, designs, and applications across disciplines","type":"article-journal","volume":"2"},"uris":["http://www.mendeley.com/documents/?uuid=5fb9d353-4673-4a1d-8ae5-8d1d726b7b91"]}],"mendeley":{"formattedCitation":"(Em, 2025)","plainTextFormattedCitation":"(Em, 2025)","previouslyFormattedCitation":"(Em, 2025)"},"properties":{"noteIndex":0},"schema":"https://github.com/citation-style-language/schema/raw/master/csl-citation.json"}</w:instrText>
      </w:r>
      <w:r w:rsidRPr="002513AE">
        <w:rPr>
          <w:rFonts w:ascii="Times New Roman" w:eastAsia="Times New Roman" w:hAnsi="Times New Roman" w:cs="Times New Roman"/>
          <w:sz w:val="24"/>
          <w:szCs w:val="24"/>
          <w:lang w:eastAsia="en-GB"/>
        </w:rPr>
        <w:fldChar w:fldCharType="separate"/>
      </w:r>
      <w:r w:rsidRPr="00154097">
        <w:rPr>
          <w:rFonts w:ascii="Times New Roman" w:eastAsia="Times New Roman" w:hAnsi="Times New Roman" w:cs="Times New Roman"/>
          <w:noProof/>
          <w:sz w:val="24"/>
          <w:szCs w:val="24"/>
          <w:lang w:eastAsia="en-GB"/>
        </w:rPr>
        <w:t>(Em, 2025)</w:t>
      </w:r>
      <w:r w:rsidRPr="002513AE">
        <w:rPr>
          <w:rFonts w:ascii="Times New Roman" w:eastAsia="Times New Roman" w:hAnsi="Times New Roman" w:cs="Times New Roman"/>
          <w:sz w:val="24"/>
          <w:szCs w:val="24"/>
          <w:lang w:eastAsia="en-GB"/>
        </w:rPr>
        <w:fldChar w:fldCharType="end"/>
      </w:r>
      <w:r w:rsidRPr="002513AE">
        <w:rPr>
          <w:rFonts w:ascii="Times New Roman" w:eastAsia="Times New Roman" w:hAnsi="Times New Roman" w:cs="Times New Roman"/>
          <w:sz w:val="24"/>
          <w:szCs w:val="24"/>
          <w:lang w:eastAsia="en-GB"/>
        </w:rPr>
        <w:t xml:space="preserve">. Trend analysis is used in conjunction with statistics. The pre-post design is also prone to threats such as history effects, as well as macroeconomic confounding variables. Revenue effects can also be influenced by external factors, such as GDP growth, inflation, and the performance of the economy. However, research on digital tax reform has also utilized comparable designs, where administrative reforms have been implemented uniformly </w:t>
      </w:r>
      <w:r w:rsidRPr="002513AE">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ISBN":"9789264934863","author":[{"dropping-particle":"","family":"OECD","given":"","non-dropping-particle":"","parse-names":false,"suffix":""}],"id":"ITEM-1","issued":{"date-parts":[["2019"]]},"number-of-pages":"227","publisher":"OECD Publishing, Paris,","publisher-place":"Paris","title":"Tax Administration 2019","type":"book"},"uris":["http://www.mendeley.com/documents/?uuid=31d531ad-d565-4016-9d62-ac6c1d0171f2"]}],"mendeley":{"formattedCitation":"(OECD, 2019)","plainTextFormattedCitation":"(OECD, 2019)","previouslyFormattedCitation":"(OECD, 2019)"},"properties":{"noteIndex":0},"schema":"https://github.com/citation-style-language/schema/raw/master/csl-citation.json"}</w:instrText>
      </w:r>
      <w:r w:rsidRPr="002513AE">
        <w:rPr>
          <w:rFonts w:ascii="Times New Roman" w:eastAsia="Times New Roman" w:hAnsi="Times New Roman" w:cs="Times New Roman"/>
          <w:sz w:val="24"/>
          <w:szCs w:val="24"/>
          <w:lang w:eastAsia="en-GB"/>
        </w:rPr>
        <w:fldChar w:fldCharType="separate"/>
      </w:r>
      <w:r w:rsidRPr="00154097">
        <w:rPr>
          <w:rFonts w:ascii="Times New Roman" w:eastAsia="Times New Roman" w:hAnsi="Times New Roman" w:cs="Times New Roman"/>
          <w:noProof/>
          <w:sz w:val="24"/>
          <w:szCs w:val="24"/>
          <w:lang w:eastAsia="en-GB"/>
        </w:rPr>
        <w:t>(OECD, 2019)</w:t>
      </w:r>
      <w:r w:rsidRPr="002513AE">
        <w:rPr>
          <w:rFonts w:ascii="Times New Roman" w:eastAsia="Times New Roman" w:hAnsi="Times New Roman" w:cs="Times New Roman"/>
          <w:sz w:val="24"/>
          <w:szCs w:val="24"/>
          <w:lang w:eastAsia="en-GB"/>
        </w:rPr>
        <w:fldChar w:fldCharType="end"/>
      </w:r>
      <w:r w:rsidRPr="002513AE">
        <w:rPr>
          <w:rFonts w:ascii="Times New Roman" w:eastAsia="Times New Roman" w:hAnsi="Times New Roman" w:cs="Times New Roman"/>
          <w:sz w:val="24"/>
          <w:szCs w:val="24"/>
          <w:lang w:eastAsia="en-GB"/>
        </w:rPr>
        <w:t>. By examining multiple revenue streams, such as CIT, VAT, and EDT, the research improves its internal coherence. Convergent revenue trends for different taxes also improve the research’s inferential support.</w:t>
      </w:r>
    </w:p>
    <w:p w14:paraId="5A25106A" w14:textId="77777777" w:rsidR="00274609" w:rsidRDefault="00274609" w:rsidP="00274609">
      <w:pPr>
        <w:widowControl w:val="0"/>
        <w:autoSpaceDE w:val="0"/>
        <w:autoSpaceDN w:val="0"/>
        <w:adjustRightInd w:val="0"/>
        <w:spacing w:line="276" w:lineRule="auto"/>
        <w:rPr>
          <w:rFonts w:ascii="Times New Roman" w:hAnsi="Times New Roman" w:cs="Times New Roman"/>
          <w:b/>
          <w:sz w:val="24"/>
          <w:szCs w:val="24"/>
        </w:rPr>
      </w:pPr>
    </w:p>
    <w:p w14:paraId="5AF38E5E" w14:textId="77777777" w:rsidR="00274609" w:rsidRPr="00281008" w:rsidRDefault="00274609" w:rsidP="00274609">
      <w:pPr>
        <w:widowControl w:val="0"/>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 xml:space="preserve">IV. </w:t>
      </w:r>
      <w:r w:rsidRPr="002513AE">
        <w:rPr>
          <w:rFonts w:ascii="Times New Roman" w:hAnsi="Times New Roman" w:cs="Times New Roman"/>
          <w:b/>
          <w:sz w:val="24"/>
          <w:szCs w:val="24"/>
        </w:rPr>
        <w:t>RESULTS AND DISCUSSION</w:t>
      </w:r>
    </w:p>
    <w:p w14:paraId="4CA9A083" w14:textId="780E29B9" w:rsidR="00274609" w:rsidRDefault="00465807" w:rsidP="00274609">
      <w:pPr>
        <w:widowControl w:val="0"/>
        <w:autoSpaceDE w:val="0"/>
        <w:autoSpaceDN w:val="0"/>
        <w:adjustRightInd w:val="0"/>
        <w:spacing w:after="0" w:line="276" w:lineRule="auto"/>
        <w:ind w:left="480" w:hanging="480"/>
        <w:rPr>
          <w:rFonts w:ascii="Times New Roman" w:hAnsi="Times New Roman" w:cs="Times New Roman"/>
          <w:b/>
          <w:sz w:val="24"/>
          <w:szCs w:val="24"/>
        </w:rPr>
      </w:pPr>
      <w:r>
        <w:rPr>
          <w:rFonts w:ascii="Times New Roman" w:hAnsi="Times New Roman" w:cs="Times New Roman"/>
          <w:b/>
          <w:sz w:val="24"/>
          <w:szCs w:val="24"/>
        </w:rPr>
        <w:t>IV</w:t>
      </w:r>
      <w:r w:rsidR="00274609">
        <w:rPr>
          <w:rFonts w:ascii="Times New Roman" w:hAnsi="Times New Roman" w:cs="Times New Roman"/>
          <w:b/>
          <w:sz w:val="24"/>
          <w:szCs w:val="24"/>
        </w:rPr>
        <w:t>.</w:t>
      </w:r>
      <w:r>
        <w:rPr>
          <w:rFonts w:ascii="Times New Roman" w:hAnsi="Times New Roman" w:cs="Times New Roman"/>
          <w:b/>
          <w:sz w:val="24"/>
          <w:szCs w:val="24"/>
        </w:rPr>
        <w:t>I</w:t>
      </w:r>
      <w:r w:rsidR="00274609">
        <w:rPr>
          <w:rFonts w:ascii="Times New Roman" w:hAnsi="Times New Roman" w:cs="Times New Roman"/>
          <w:b/>
          <w:sz w:val="24"/>
          <w:szCs w:val="24"/>
        </w:rPr>
        <w:t xml:space="preserve"> Results</w:t>
      </w:r>
    </w:p>
    <w:p w14:paraId="227F9ECE" w14:textId="1BBC9587" w:rsidR="00274609" w:rsidRDefault="00465807" w:rsidP="00274609">
      <w:pPr>
        <w:widowControl w:val="0"/>
        <w:autoSpaceDE w:val="0"/>
        <w:autoSpaceDN w:val="0"/>
        <w:adjustRightInd w:val="0"/>
        <w:spacing w:after="0" w:line="276" w:lineRule="auto"/>
        <w:ind w:left="480" w:hanging="480"/>
        <w:rPr>
          <w:rFonts w:ascii="Times New Roman" w:hAnsi="Times New Roman" w:cs="Times New Roman"/>
          <w:b/>
          <w:sz w:val="24"/>
          <w:szCs w:val="24"/>
        </w:rPr>
      </w:pPr>
      <w:r>
        <w:rPr>
          <w:rFonts w:ascii="Times New Roman" w:hAnsi="Times New Roman" w:cs="Times New Roman"/>
          <w:b/>
          <w:sz w:val="24"/>
          <w:szCs w:val="24"/>
        </w:rPr>
        <w:t>IV.I</w:t>
      </w:r>
      <w:r w:rsidR="00274609">
        <w:rPr>
          <w:rFonts w:ascii="Times New Roman" w:hAnsi="Times New Roman" w:cs="Times New Roman"/>
          <w:b/>
          <w:sz w:val="24"/>
          <w:szCs w:val="24"/>
        </w:rPr>
        <w:t>.</w:t>
      </w:r>
      <w:r>
        <w:rPr>
          <w:rFonts w:ascii="Times New Roman" w:hAnsi="Times New Roman" w:cs="Times New Roman"/>
          <w:b/>
          <w:sz w:val="24"/>
          <w:szCs w:val="24"/>
        </w:rPr>
        <w:t>I</w:t>
      </w:r>
      <w:r w:rsidR="00274609">
        <w:rPr>
          <w:rFonts w:ascii="Times New Roman" w:hAnsi="Times New Roman" w:cs="Times New Roman"/>
          <w:b/>
          <w:sz w:val="24"/>
          <w:szCs w:val="24"/>
        </w:rPr>
        <w:t xml:space="preserve"> Trend Analysis of Selected Revenue Streams before and After TaxPro Max</w:t>
      </w:r>
    </w:p>
    <w:p w14:paraId="14FBF6D1" w14:textId="77777777" w:rsidR="00274609" w:rsidRDefault="00274609" w:rsidP="00274609">
      <w:pPr>
        <w:widowControl w:val="0"/>
        <w:autoSpaceDE w:val="0"/>
        <w:autoSpaceDN w:val="0"/>
        <w:adjustRightInd w:val="0"/>
        <w:spacing w:after="0" w:line="240" w:lineRule="auto"/>
        <w:ind w:left="480" w:hanging="480"/>
        <w:jc w:val="cente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32D2D806" wp14:editId="50495D3A">
            <wp:extent cx="5591175" cy="1914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4_Pre_TaxProMax_Reven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00066" cy="1917569"/>
                    </a:xfrm>
                    <a:prstGeom prst="rect">
                      <a:avLst/>
                    </a:prstGeom>
                  </pic:spPr>
                </pic:pic>
              </a:graphicData>
            </a:graphic>
          </wp:inline>
        </w:drawing>
      </w:r>
    </w:p>
    <w:p w14:paraId="21386953" w14:textId="77777777" w:rsidR="00274609" w:rsidRPr="00281008" w:rsidRDefault="00274609" w:rsidP="00274609">
      <w:pPr>
        <w:widowControl w:val="0"/>
        <w:autoSpaceDE w:val="0"/>
        <w:autoSpaceDN w:val="0"/>
        <w:adjustRightInd w:val="0"/>
        <w:spacing w:after="0" w:line="240" w:lineRule="auto"/>
        <w:ind w:left="480" w:hanging="480"/>
        <w:jc w:val="center"/>
        <w:rPr>
          <w:rFonts w:ascii="Times New Roman" w:hAnsi="Times New Roman" w:cs="Times New Roman"/>
          <w:sz w:val="24"/>
          <w:szCs w:val="24"/>
        </w:rPr>
      </w:pPr>
      <w:r>
        <w:rPr>
          <w:rFonts w:ascii="Times New Roman" w:eastAsia="Times New Roman" w:hAnsi="Times New Roman" w:cs="Times New Roman"/>
          <w:b/>
          <w:bCs/>
          <w:sz w:val="24"/>
          <w:szCs w:val="24"/>
          <w:lang w:eastAsia="en-GB"/>
        </w:rPr>
        <w:t>Figure 1</w:t>
      </w:r>
      <w:r w:rsidRPr="00D04CAA">
        <w:rPr>
          <w:rFonts w:ascii="Times New Roman" w:eastAsia="Times New Roman" w:hAnsi="Times New Roman" w:cs="Times New Roman"/>
          <w:b/>
          <w:bCs/>
          <w:sz w:val="24"/>
          <w:szCs w:val="24"/>
          <w:lang w:eastAsia="en-GB"/>
        </w:rPr>
        <w:t>:</w:t>
      </w:r>
      <w:r w:rsidRPr="00D04CAA">
        <w:rPr>
          <w:rFonts w:ascii="Times New Roman" w:eastAsia="Times New Roman" w:hAnsi="Times New Roman" w:cs="Times New Roman"/>
          <w:sz w:val="24"/>
          <w:szCs w:val="24"/>
          <w:lang w:eastAsia="en-GB"/>
        </w:rPr>
        <w:t xml:space="preserve"> Trends in</w:t>
      </w:r>
      <w:r>
        <w:rPr>
          <w:rFonts w:ascii="Times New Roman" w:eastAsia="Times New Roman" w:hAnsi="Times New Roman" w:cs="Times New Roman"/>
          <w:sz w:val="24"/>
          <w:szCs w:val="24"/>
          <w:lang w:eastAsia="en-GB"/>
        </w:rPr>
        <w:t xml:space="preserve"> CIT</w:t>
      </w:r>
      <w:r w:rsidRPr="00D04CA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VAT</w:t>
      </w:r>
      <w:r w:rsidRPr="00D04CA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and</w:t>
      </w:r>
      <w:r w:rsidRPr="00D04CA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EDT</w:t>
      </w:r>
      <w:r w:rsidRPr="00D04CAA">
        <w:rPr>
          <w:rFonts w:ascii="Times New Roman" w:eastAsia="Times New Roman" w:hAnsi="Times New Roman" w:cs="Times New Roman"/>
          <w:sz w:val="24"/>
          <w:szCs w:val="24"/>
          <w:lang w:eastAsia="en-GB"/>
        </w:rPr>
        <w:t xml:space="preserve"> before the implement</w:t>
      </w:r>
      <w:r>
        <w:rPr>
          <w:rFonts w:ascii="Times New Roman" w:eastAsia="Times New Roman" w:hAnsi="Times New Roman" w:cs="Times New Roman"/>
          <w:sz w:val="24"/>
          <w:szCs w:val="24"/>
          <w:lang w:eastAsia="en-GB"/>
        </w:rPr>
        <w:t>ation of TaxPro Max</w:t>
      </w:r>
    </w:p>
    <w:p w14:paraId="0C2D4DE0" w14:textId="3C2B0DFF" w:rsidR="00274609" w:rsidRPr="00D04CAA" w:rsidRDefault="00274609" w:rsidP="00274609">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Prior to the implementation</w:t>
      </w:r>
      <w:r w:rsidRPr="00DC3D3A">
        <w:rPr>
          <w:rFonts w:ascii="Times New Roman" w:eastAsia="Times New Roman" w:hAnsi="Times New Roman" w:cs="Times New Roman"/>
          <w:sz w:val="24"/>
          <w:szCs w:val="24"/>
          <w:lang w:eastAsia="en-GB"/>
        </w:rPr>
        <w:t xml:space="preserve"> of TaxPro Max, the </w:t>
      </w:r>
      <w:r>
        <w:rPr>
          <w:rFonts w:ascii="Times New Roman" w:eastAsia="Times New Roman" w:hAnsi="Times New Roman" w:cs="Times New Roman"/>
          <w:sz w:val="24"/>
          <w:szCs w:val="24"/>
          <w:lang w:eastAsia="en-GB"/>
        </w:rPr>
        <w:t xml:space="preserve">revenue </w:t>
      </w:r>
      <w:r w:rsidRPr="00DC3D3A">
        <w:rPr>
          <w:rFonts w:ascii="Times New Roman" w:eastAsia="Times New Roman" w:hAnsi="Times New Roman" w:cs="Times New Roman"/>
          <w:sz w:val="24"/>
          <w:szCs w:val="24"/>
          <w:lang w:eastAsia="en-GB"/>
        </w:rPr>
        <w:t>generated from CIT, VAT, and EDT showed moderate growth with a few variations</w:t>
      </w:r>
      <w:r>
        <w:rPr>
          <w:rFonts w:ascii="Times New Roman" w:eastAsia="Times New Roman" w:hAnsi="Times New Roman" w:cs="Times New Roman"/>
          <w:sz w:val="24"/>
          <w:szCs w:val="24"/>
          <w:lang w:eastAsia="en-GB"/>
        </w:rPr>
        <w:t>,</w:t>
      </w:r>
      <w:r w:rsidRPr="00DC3D3A">
        <w:rPr>
          <w:rFonts w:ascii="Times New Roman" w:eastAsia="Times New Roman" w:hAnsi="Times New Roman" w:cs="Times New Roman"/>
          <w:sz w:val="24"/>
          <w:szCs w:val="24"/>
          <w:lang w:eastAsia="en-GB"/>
        </w:rPr>
        <w:t xml:space="preserve"> as illustrated in Figure 1. In 2017, CIT amounted to ₦1,215.06 billion; the amount grew to ₦1,604.70 billion by 2019 and reduced to ₦1,275.38 billion in 2020. The income from VAT grew steadily from ₦972.35 billion to ₦1,531.17 billion</w:t>
      </w:r>
      <w:r w:rsidR="00B22BF0">
        <w:rPr>
          <w:rFonts w:ascii="Times New Roman" w:eastAsia="Times New Roman" w:hAnsi="Times New Roman" w:cs="Times New Roman"/>
          <w:sz w:val="24"/>
          <w:szCs w:val="24"/>
          <w:lang w:eastAsia="en-GB"/>
        </w:rPr>
        <w:t>; a</w:t>
      </w:r>
      <w:r w:rsidR="006F39B8">
        <w:rPr>
          <w:rFonts w:ascii="Times New Roman" w:eastAsia="Times New Roman" w:hAnsi="Times New Roman" w:cs="Times New Roman"/>
          <w:sz w:val="24"/>
          <w:szCs w:val="24"/>
          <w:lang w:eastAsia="en-GB"/>
        </w:rPr>
        <w:t xml:space="preserve"> </w:t>
      </w:r>
      <w:r w:rsidR="00B22BF0">
        <w:rPr>
          <w:rFonts w:ascii="Times New Roman" w:eastAsia="Times New Roman" w:hAnsi="Times New Roman" w:cs="Times New Roman"/>
          <w:sz w:val="24"/>
          <w:szCs w:val="24"/>
          <w:lang w:eastAsia="en-GB"/>
        </w:rPr>
        <w:t xml:space="preserve">2.5% increase in the VAT rate in 2020 might have contributed to the increase recorded in 2020 </w:t>
      </w:r>
      <w:r w:rsidR="00B22BF0">
        <w:rPr>
          <w:rFonts w:ascii="Times New Roman" w:eastAsia="Times New Roman" w:hAnsi="Times New Roman" w:cs="Times New Roman"/>
          <w:sz w:val="24"/>
          <w:szCs w:val="24"/>
          <w:lang w:eastAsia="en-GB"/>
        </w:rPr>
        <w:lastRenderedPageBreak/>
        <w:t>compared to 2019.</w:t>
      </w:r>
      <w:r w:rsidRPr="00DC3D3A">
        <w:rPr>
          <w:rFonts w:ascii="Times New Roman" w:eastAsia="Times New Roman" w:hAnsi="Times New Roman" w:cs="Times New Roman"/>
          <w:sz w:val="24"/>
          <w:szCs w:val="24"/>
          <w:lang w:eastAsia="en-GB"/>
        </w:rPr>
        <w:t xml:space="preserve">Similarly, the amount from EDT grew from ₦154.96 billion to ₦259.56 billion. Overall, there was a steady growth </w:t>
      </w:r>
      <w:r>
        <w:rPr>
          <w:rFonts w:ascii="Times New Roman" w:eastAsia="Times New Roman" w:hAnsi="Times New Roman" w:cs="Times New Roman"/>
          <w:sz w:val="24"/>
          <w:szCs w:val="24"/>
          <w:lang w:eastAsia="en-GB"/>
        </w:rPr>
        <w:t>in</w:t>
      </w:r>
      <w:r w:rsidRPr="00DC3D3A">
        <w:rPr>
          <w:rFonts w:ascii="Times New Roman" w:eastAsia="Times New Roman" w:hAnsi="Times New Roman" w:cs="Times New Roman"/>
          <w:sz w:val="24"/>
          <w:szCs w:val="24"/>
          <w:lang w:eastAsia="en-GB"/>
        </w:rPr>
        <w:t xml:space="preserve"> tax income before the reform.</w:t>
      </w:r>
    </w:p>
    <w:p w14:paraId="4111511C" w14:textId="77777777" w:rsidR="00274609" w:rsidRDefault="00274609" w:rsidP="00274609">
      <w:pPr>
        <w:widowControl w:val="0"/>
        <w:autoSpaceDE w:val="0"/>
        <w:autoSpaceDN w:val="0"/>
        <w:adjustRightInd w:val="0"/>
        <w:spacing w:after="0" w:line="276" w:lineRule="auto"/>
        <w:ind w:left="480" w:hanging="480"/>
        <w:jc w:val="cente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312B7987" wp14:editId="47867F1F">
            <wp:extent cx="5876925" cy="265684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5_Post_TaxProMax_Reven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95084" cy="2665049"/>
                    </a:xfrm>
                    <a:prstGeom prst="rect">
                      <a:avLst/>
                    </a:prstGeom>
                  </pic:spPr>
                </pic:pic>
              </a:graphicData>
            </a:graphic>
          </wp:inline>
        </w:drawing>
      </w:r>
    </w:p>
    <w:p w14:paraId="506164A1" w14:textId="77777777" w:rsidR="00274609" w:rsidRDefault="00274609" w:rsidP="00274609">
      <w:pPr>
        <w:spacing w:after="100" w:afterAutospacing="1"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Figure 2</w:t>
      </w:r>
      <w:r w:rsidRPr="00D04CAA">
        <w:rPr>
          <w:rFonts w:ascii="Times New Roman" w:eastAsia="Times New Roman" w:hAnsi="Times New Roman" w:cs="Times New Roman"/>
          <w:b/>
          <w:bCs/>
          <w:sz w:val="24"/>
          <w:szCs w:val="24"/>
          <w:lang w:eastAsia="en-GB"/>
        </w:rPr>
        <w:t>:</w:t>
      </w:r>
      <w:r w:rsidRPr="00D04CAA">
        <w:rPr>
          <w:rFonts w:ascii="Times New Roman" w:eastAsia="Times New Roman" w:hAnsi="Times New Roman" w:cs="Times New Roman"/>
          <w:sz w:val="24"/>
          <w:szCs w:val="24"/>
          <w:lang w:eastAsia="en-GB"/>
        </w:rPr>
        <w:t xml:space="preserve"> Trends in</w:t>
      </w:r>
      <w:r>
        <w:rPr>
          <w:rFonts w:ascii="Times New Roman" w:eastAsia="Times New Roman" w:hAnsi="Times New Roman" w:cs="Times New Roman"/>
          <w:sz w:val="24"/>
          <w:szCs w:val="24"/>
          <w:lang w:eastAsia="en-GB"/>
        </w:rPr>
        <w:t xml:space="preserve"> CIT</w:t>
      </w:r>
      <w:r w:rsidRPr="00D04CA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VAT</w:t>
      </w:r>
      <w:r w:rsidRPr="00D04CA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and</w:t>
      </w:r>
      <w:r w:rsidRPr="00D04CA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EDT</w:t>
      </w:r>
      <w:r w:rsidRPr="00D04CA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after</w:t>
      </w:r>
      <w:r w:rsidRPr="00D04CAA">
        <w:rPr>
          <w:rFonts w:ascii="Times New Roman" w:eastAsia="Times New Roman" w:hAnsi="Times New Roman" w:cs="Times New Roman"/>
          <w:sz w:val="24"/>
          <w:szCs w:val="24"/>
          <w:lang w:eastAsia="en-GB"/>
        </w:rPr>
        <w:t xml:space="preserve"> the implement</w:t>
      </w:r>
      <w:r>
        <w:rPr>
          <w:rFonts w:ascii="Times New Roman" w:eastAsia="Times New Roman" w:hAnsi="Times New Roman" w:cs="Times New Roman"/>
          <w:sz w:val="24"/>
          <w:szCs w:val="24"/>
          <w:lang w:eastAsia="en-GB"/>
        </w:rPr>
        <w:t>ation of TaxPro Max</w:t>
      </w:r>
    </w:p>
    <w:p w14:paraId="435E5CF0" w14:textId="107993A3" w:rsidR="00274609" w:rsidRDefault="00274609" w:rsidP="00274609">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C3D3A">
        <w:rPr>
          <w:rFonts w:ascii="Times New Roman" w:eastAsia="Times New Roman" w:hAnsi="Times New Roman" w:cs="Times New Roman"/>
          <w:sz w:val="24"/>
          <w:szCs w:val="24"/>
          <w:lang w:eastAsia="en-GB"/>
        </w:rPr>
        <w:t>From the adoption of TaxPr</w:t>
      </w:r>
      <w:r>
        <w:rPr>
          <w:rFonts w:ascii="Times New Roman" w:eastAsia="Times New Roman" w:hAnsi="Times New Roman" w:cs="Times New Roman"/>
          <w:sz w:val="24"/>
          <w:szCs w:val="24"/>
          <w:lang w:eastAsia="en-GB"/>
        </w:rPr>
        <w:t>o Max, as shown in Figure 2, it can be observed that tax revenue sources</w:t>
      </w:r>
      <w:r w:rsidRPr="00DC3D3A">
        <w:rPr>
          <w:rFonts w:ascii="Times New Roman" w:eastAsia="Times New Roman" w:hAnsi="Times New Roman" w:cs="Times New Roman"/>
          <w:sz w:val="24"/>
          <w:szCs w:val="24"/>
          <w:lang w:eastAsia="en-GB"/>
        </w:rPr>
        <w:t xml:space="preserve"> recorded significant increases. CI</w:t>
      </w:r>
      <w:r>
        <w:rPr>
          <w:rFonts w:ascii="Times New Roman" w:eastAsia="Times New Roman" w:hAnsi="Times New Roman" w:cs="Times New Roman"/>
          <w:sz w:val="24"/>
          <w:szCs w:val="24"/>
          <w:lang w:eastAsia="en-GB"/>
        </w:rPr>
        <w:t>T revenue significantly rose</w:t>
      </w:r>
      <w:r w:rsidRPr="00DC3D3A">
        <w:rPr>
          <w:rFonts w:ascii="Times New Roman" w:eastAsia="Times New Roman" w:hAnsi="Times New Roman" w:cs="Times New Roman"/>
          <w:sz w:val="24"/>
          <w:szCs w:val="24"/>
          <w:lang w:eastAsia="en-GB"/>
        </w:rPr>
        <w:t xml:space="preserve"> from ₦2,649.19 billion in 2022 to ₦10,462.13 b</w:t>
      </w:r>
      <w:r>
        <w:rPr>
          <w:rFonts w:ascii="Times New Roman" w:eastAsia="Times New Roman" w:hAnsi="Times New Roman" w:cs="Times New Roman"/>
          <w:sz w:val="24"/>
          <w:szCs w:val="24"/>
          <w:lang w:eastAsia="en-GB"/>
        </w:rPr>
        <w:t xml:space="preserve">illion in 2025. VAT revenue </w:t>
      </w:r>
      <w:r w:rsidRPr="00DC3D3A">
        <w:rPr>
          <w:rFonts w:ascii="Times New Roman" w:eastAsia="Times New Roman" w:hAnsi="Times New Roman" w:cs="Times New Roman"/>
          <w:sz w:val="24"/>
          <w:szCs w:val="24"/>
          <w:lang w:eastAsia="en-GB"/>
        </w:rPr>
        <w:t>also increased from ₦2,511.52 billion to ₦8</w:t>
      </w:r>
      <w:r>
        <w:rPr>
          <w:rFonts w:ascii="Times New Roman" w:eastAsia="Times New Roman" w:hAnsi="Times New Roman" w:cs="Times New Roman"/>
          <w:sz w:val="24"/>
          <w:szCs w:val="24"/>
          <w:lang w:eastAsia="en-GB"/>
        </w:rPr>
        <w:t>,600.40 billion, wh</w:t>
      </w:r>
      <w:r w:rsidR="00B22BF0">
        <w:rPr>
          <w:rFonts w:ascii="Times New Roman" w:eastAsia="Times New Roman" w:hAnsi="Times New Roman" w:cs="Times New Roman"/>
          <w:sz w:val="24"/>
          <w:szCs w:val="24"/>
          <w:lang w:eastAsia="en-GB"/>
        </w:rPr>
        <w:t xml:space="preserve">ile the </w:t>
      </w:r>
      <w:r>
        <w:rPr>
          <w:rFonts w:ascii="Times New Roman" w:eastAsia="Times New Roman" w:hAnsi="Times New Roman" w:cs="Times New Roman"/>
          <w:sz w:val="24"/>
          <w:szCs w:val="24"/>
          <w:lang w:eastAsia="en-GB"/>
        </w:rPr>
        <w:t>EDT</w:t>
      </w:r>
      <w:r w:rsidRPr="00DC3D3A">
        <w:rPr>
          <w:rFonts w:ascii="Times New Roman" w:eastAsia="Times New Roman" w:hAnsi="Times New Roman" w:cs="Times New Roman"/>
          <w:sz w:val="24"/>
          <w:szCs w:val="24"/>
          <w:lang w:eastAsia="en-GB"/>
        </w:rPr>
        <w:t xml:space="preserve"> increased from ₦328.67 billion to ₦1,618.17 billion. </w:t>
      </w:r>
    </w:p>
    <w:p w14:paraId="162044F9" w14:textId="77777777" w:rsidR="00274609" w:rsidRPr="00281008" w:rsidRDefault="00274609" w:rsidP="00274609">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2FF">
        <w:rPr>
          <w:rFonts w:ascii="Times New Roman" w:eastAsia="Times New Roman" w:hAnsi="Times New Roman" w:cs="Times New Roman"/>
          <w:b/>
          <w:sz w:val="24"/>
          <w:szCs w:val="24"/>
          <w:lang w:eastAsia="en-GB"/>
        </w:rPr>
        <w:t>Inflation as a Control Variable</w:t>
      </w:r>
    </w:p>
    <w:p w14:paraId="6F02B981" w14:textId="77777777" w:rsidR="00274609" w:rsidRDefault="00274609" w:rsidP="00274609">
      <w:pPr>
        <w:pStyle w:val="pdq2pgselectionanchorcontainer"/>
        <w:jc w:val="center"/>
      </w:pPr>
      <w:r>
        <w:rPr>
          <w:noProof/>
        </w:rPr>
        <w:drawing>
          <wp:inline distT="0" distB="0" distL="0" distR="0" wp14:anchorId="55A8628E" wp14:editId="3192AEB8">
            <wp:extent cx="5276850" cy="2295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6_Inflation_Rat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90210" cy="2301337"/>
                    </a:xfrm>
                    <a:prstGeom prst="rect">
                      <a:avLst/>
                    </a:prstGeom>
                  </pic:spPr>
                </pic:pic>
              </a:graphicData>
            </a:graphic>
          </wp:inline>
        </w:drawing>
      </w:r>
    </w:p>
    <w:p w14:paraId="13E4CD51" w14:textId="5ADEDC01" w:rsidR="00274609" w:rsidRPr="007A191F" w:rsidRDefault="00274609" w:rsidP="007A191F">
      <w:pPr>
        <w:pStyle w:val="pdq2pgselectionanchorcontainer"/>
        <w:rPr>
          <w:b/>
        </w:rPr>
      </w:pPr>
      <w:r w:rsidRPr="00355C32">
        <w:rPr>
          <w:b/>
        </w:rPr>
        <w:t xml:space="preserve">Figure </w:t>
      </w:r>
      <w:r>
        <w:rPr>
          <w:b/>
        </w:rPr>
        <w:t>3</w:t>
      </w:r>
      <w:r w:rsidRPr="00355C32">
        <w:rPr>
          <w:b/>
        </w:rPr>
        <w:t>: Inflation Rate Before and After TaxPro Max</w:t>
      </w:r>
    </w:p>
    <w:p w14:paraId="3325E9E7" w14:textId="0BBA28E8" w:rsidR="00FB4B1E" w:rsidRPr="00FB4B1E" w:rsidRDefault="00FB4B1E" w:rsidP="00FB4B1E">
      <w:pPr>
        <w:spacing w:before="100" w:beforeAutospacing="1" w:after="100" w:afterAutospacing="1" w:line="360" w:lineRule="auto"/>
        <w:jc w:val="both"/>
        <w:rPr>
          <w:rFonts w:ascii="Times New Roman" w:eastAsia="Times New Roman" w:hAnsi="Times New Roman" w:cs="Times New Roman"/>
          <w:sz w:val="24"/>
          <w:szCs w:val="24"/>
        </w:rPr>
      </w:pPr>
      <w:r w:rsidRPr="00FB4B1E">
        <w:rPr>
          <w:rFonts w:ascii="Times New Roman" w:eastAsia="Times New Roman" w:hAnsi="Times New Roman" w:cs="Times New Roman"/>
          <w:sz w:val="24"/>
          <w:szCs w:val="24"/>
        </w:rPr>
        <w:lastRenderedPageBreak/>
        <w:t>The inflation trajectory depicted in Figure 3 provides essential context for interpreting changes in tax revenue following the introduction of the TaxPro Max software. Inflation declined from 15.37% in 2017 to 11.44% in 2018, remained relatively stable at 11.98% in 2019, and subsequently rose to 15.75% in 2020. In the post</w:t>
      </w:r>
      <w:r w:rsidRPr="00FB4B1E">
        <w:rPr>
          <w:rFonts w:ascii="Times New Roman" w:eastAsia="Times New Roman" w:hAnsi="Times New Roman" w:cs="Times New Roman"/>
          <w:sz w:val="24"/>
          <w:szCs w:val="24"/>
        </w:rPr>
        <w:noBreakHyphen/>
        <w:t>TaxPro Max era, inflation was markedly higher, increasing from 18.85% in 2022 to 24.66% in 2023, and peaking at 33.24% in 2024 before declining sharply to 15.15% in 2025. The 5.81% increase in 2023 and the 8.58% increase in 2024 were largely attributable to the removal of the fuel subsidy on 29 May 2023 and the subsequent floating of the naira in the foreign exchange market.</w:t>
      </w:r>
      <w:r>
        <w:rPr>
          <w:rFonts w:ascii="Times New Roman" w:eastAsia="Times New Roman" w:hAnsi="Times New Roman" w:cs="Times New Roman"/>
          <w:sz w:val="24"/>
          <w:szCs w:val="24"/>
        </w:rPr>
        <w:t xml:space="preserve"> </w:t>
      </w:r>
      <w:r w:rsidRPr="00FB4B1E">
        <w:rPr>
          <w:rFonts w:ascii="Times New Roman" w:eastAsia="Times New Roman" w:hAnsi="Times New Roman" w:cs="Times New Roman"/>
          <w:sz w:val="24"/>
          <w:szCs w:val="24"/>
        </w:rPr>
        <w:t>Despite these fluctuations, tax revenue growth during the post</w:t>
      </w:r>
      <w:r w:rsidRPr="00FB4B1E">
        <w:rPr>
          <w:rFonts w:ascii="Times New Roman" w:eastAsia="Times New Roman" w:hAnsi="Times New Roman" w:cs="Times New Roman"/>
          <w:sz w:val="24"/>
          <w:szCs w:val="24"/>
        </w:rPr>
        <w:noBreakHyphen/>
        <w:t>reform period was substantial, suggesting enhanced effectiveness in revenue generation. Nevertheless, the elevated inflation levels must be considered, as inflation can inflate nominal tax revenues independently of improvements in tax administration. Consequently, the observed growth in corporate income tax (CIT), value</w:t>
      </w:r>
      <w:r w:rsidRPr="00FB4B1E">
        <w:rPr>
          <w:rFonts w:ascii="Times New Roman" w:eastAsia="Times New Roman" w:hAnsi="Times New Roman" w:cs="Times New Roman"/>
          <w:sz w:val="24"/>
          <w:szCs w:val="24"/>
        </w:rPr>
        <w:noBreakHyphen/>
        <w:t>added tax (VAT), and education tax (EDT) cannot be attributed solely to the implementation of TaxPro Max. To account for this, inflation is incorporated into the regression analysis as a control variable, thereby isolating the impact of general price level changes on nominal tax revenue.</w:t>
      </w:r>
    </w:p>
    <w:p w14:paraId="342FFF66" w14:textId="058329BC" w:rsidR="00FB4B1E" w:rsidRDefault="00FB4B1E" w:rsidP="00274609">
      <w:pPr>
        <w:widowControl w:val="0"/>
        <w:autoSpaceDE w:val="0"/>
        <w:autoSpaceDN w:val="0"/>
        <w:adjustRightInd w:val="0"/>
        <w:spacing w:line="360" w:lineRule="auto"/>
        <w:jc w:val="both"/>
        <w:rPr>
          <w:rFonts w:ascii="Times New Roman" w:hAnsi="Times New Roman" w:cs="Times New Roman"/>
          <w:sz w:val="24"/>
          <w:szCs w:val="24"/>
        </w:rPr>
        <w:sectPr w:rsidR="00FB4B1E" w:rsidSect="00465807">
          <w:type w:val="continuous"/>
          <w:pgSz w:w="12240" w:h="15840"/>
          <w:pgMar w:top="1440" w:right="1440" w:bottom="1440" w:left="1440" w:header="720" w:footer="720" w:gutter="0"/>
          <w:cols w:space="720"/>
          <w:docGrid w:linePitch="360"/>
        </w:sectPr>
      </w:pPr>
    </w:p>
    <w:p w14:paraId="3065B69C" w14:textId="029B96FD" w:rsidR="00274609" w:rsidRPr="002551E5" w:rsidRDefault="00465807" w:rsidP="00274609">
      <w:pPr>
        <w:widowControl w:val="0"/>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IV</w:t>
      </w:r>
      <w:r w:rsidR="00274609" w:rsidRPr="002551E5">
        <w:rPr>
          <w:rFonts w:ascii="Times New Roman" w:hAnsi="Times New Roman" w:cs="Times New Roman"/>
          <w:b/>
          <w:sz w:val="24"/>
          <w:szCs w:val="24"/>
        </w:rPr>
        <w:t>.</w:t>
      </w:r>
      <w:r>
        <w:rPr>
          <w:rFonts w:ascii="Times New Roman" w:hAnsi="Times New Roman" w:cs="Times New Roman"/>
          <w:b/>
          <w:sz w:val="24"/>
          <w:szCs w:val="24"/>
        </w:rPr>
        <w:t>I</w:t>
      </w:r>
      <w:r w:rsidR="00274609" w:rsidRPr="002551E5">
        <w:rPr>
          <w:rFonts w:ascii="Times New Roman" w:hAnsi="Times New Roman" w:cs="Times New Roman"/>
          <w:b/>
          <w:sz w:val="24"/>
          <w:szCs w:val="24"/>
        </w:rPr>
        <w:t>.</w:t>
      </w:r>
      <w:r>
        <w:rPr>
          <w:rFonts w:ascii="Times New Roman" w:hAnsi="Times New Roman" w:cs="Times New Roman"/>
          <w:b/>
          <w:sz w:val="24"/>
          <w:szCs w:val="24"/>
        </w:rPr>
        <w:t>II</w:t>
      </w:r>
      <w:r w:rsidR="00274609" w:rsidRPr="002551E5">
        <w:rPr>
          <w:rFonts w:ascii="Times New Roman" w:hAnsi="Times New Roman" w:cs="Times New Roman"/>
          <w:b/>
          <w:sz w:val="24"/>
          <w:szCs w:val="24"/>
        </w:rPr>
        <w:t xml:space="preserve"> Summary Statistics of Study Variables</w:t>
      </w:r>
    </w:p>
    <w:p w14:paraId="491B4E3F" w14:textId="77777777" w:rsidR="00274609" w:rsidRDefault="00274609" w:rsidP="00274609">
      <w:pPr>
        <w:widowControl w:val="0"/>
        <w:autoSpaceDE w:val="0"/>
        <w:autoSpaceDN w:val="0"/>
        <w:adjustRightInd w:val="0"/>
        <w:spacing w:line="276" w:lineRule="auto"/>
        <w:ind w:left="480" w:hanging="480"/>
        <w:rPr>
          <w:rFonts w:ascii="Times New Roman" w:hAnsi="Times New Roman" w:cs="Times New Roman"/>
          <w:b/>
          <w:bCs/>
          <w:sz w:val="24"/>
          <w:szCs w:val="24"/>
        </w:rPr>
      </w:pPr>
      <w:r>
        <w:rPr>
          <w:rFonts w:ascii="Times New Roman" w:hAnsi="Times New Roman" w:cs="Times New Roman"/>
          <w:b/>
          <w:bCs/>
          <w:sz w:val="24"/>
          <w:szCs w:val="24"/>
        </w:rPr>
        <w:t>Table 1: Descriptive Statistics of E-taxation 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931"/>
        <w:gridCol w:w="1041"/>
        <w:gridCol w:w="1041"/>
        <w:gridCol w:w="931"/>
        <w:gridCol w:w="843"/>
        <w:gridCol w:w="931"/>
        <w:gridCol w:w="941"/>
        <w:gridCol w:w="988"/>
      </w:tblGrid>
      <w:tr w:rsidR="00274609" w:rsidRPr="00F07243" w14:paraId="2134CEE9" w14:textId="77777777" w:rsidTr="00465807">
        <w:trPr>
          <w:trHeight w:val="300"/>
        </w:trPr>
        <w:tc>
          <w:tcPr>
            <w:tcW w:w="0" w:type="auto"/>
            <w:shd w:val="clear" w:color="auto" w:fill="auto"/>
            <w:noWrap/>
            <w:vAlign w:val="center"/>
            <w:hideMark/>
          </w:tcPr>
          <w:p w14:paraId="37959CFB" w14:textId="77777777" w:rsidR="00274609" w:rsidRPr="00F07243" w:rsidRDefault="00274609" w:rsidP="00465807">
            <w:pPr>
              <w:spacing w:after="0" w:line="240" w:lineRule="auto"/>
              <w:jc w:val="center"/>
              <w:rPr>
                <w:rFonts w:ascii="Times New Roman" w:eastAsia="Times New Roman" w:hAnsi="Times New Roman" w:cs="Times New Roman"/>
                <w:b/>
                <w:color w:val="000000"/>
                <w:lang w:eastAsia="en-GB"/>
              </w:rPr>
            </w:pPr>
            <w:r w:rsidRPr="00F07243">
              <w:rPr>
                <w:rFonts w:ascii="Times New Roman" w:eastAsia="Times New Roman" w:hAnsi="Times New Roman" w:cs="Times New Roman"/>
                <w:b/>
                <w:color w:val="000000"/>
                <w:lang w:eastAsia="en-GB"/>
              </w:rPr>
              <w:t>Statistic</w:t>
            </w:r>
          </w:p>
        </w:tc>
        <w:tc>
          <w:tcPr>
            <w:tcW w:w="0" w:type="auto"/>
            <w:shd w:val="clear" w:color="auto" w:fill="auto"/>
            <w:noWrap/>
            <w:vAlign w:val="bottom"/>
            <w:hideMark/>
          </w:tcPr>
          <w:p w14:paraId="01B417B6"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CIT</w:t>
            </w:r>
            <w:r w:rsidRPr="00F07243">
              <w:rPr>
                <w:rFonts w:ascii="Times New Roman" w:eastAsia="Times New Roman" w:hAnsi="Times New Roman" w:cs="Times New Roman"/>
                <w:b/>
                <w:i/>
                <w:iCs/>
                <w:color w:val="000000"/>
                <w:vertAlign w:val="subscript"/>
                <w:lang w:eastAsia="en-GB"/>
              </w:rPr>
              <w:t>pre</w:t>
            </w:r>
            <w:proofErr w:type="spellEnd"/>
          </w:p>
        </w:tc>
        <w:tc>
          <w:tcPr>
            <w:tcW w:w="0" w:type="auto"/>
            <w:shd w:val="clear" w:color="auto" w:fill="auto"/>
            <w:noWrap/>
            <w:vAlign w:val="bottom"/>
            <w:hideMark/>
          </w:tcPr>
          <w:p w14:paraId="74FE6260"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CIT</w:t>
            </w:r>
            <w:r w:rsidRPr="00F07243">
              <w:rPr>
                <w:rFonts w:ascii="Times New Roman" w:eastAsia="Times New Roman" w:hAnsi="Times New Roman" w:cs="Times New Roman"/>
                <w:b/>
                <w:i/>
                <w:iCs/>
                <w:color w:val="000000"/>
                <w:vertAlign w:val="subscript"/>
                <w:lang w:eastAsia="en-GB"/>
              </w:rPr>
              <w:t>post</w:t>
            </w:r>
            <w:proofErr w:type="spellEnd"/>
          </w:p>
        </w:tc>
        <w:tc>
          <w:tcPr>
            <w:tcW w:w="0" w:type="auto"/>
            <w:shd w:val="clear" w:color="auto" w:fill="auto"/>
            <w:noWrap/>
            <w:vAlign w:val="bottom"/>
            <w:hideMark/>
          </w:tcPr>
          <w:p w14:paraId="5E110518"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VAT</w:t>
            </w:r>
            <w:r w:rsidRPr="00F07243">
              <w:rPr>
                <w:rFonts w:ascii="Times New Roman" w:eastAsia="Times New Roman" w:hAnsi="Times New Roman" w:cs="Times New Roman"/>
                <w:b/>
                <w:i/>
                <w:iCs/>
                <w:color w:val="000000"/>
                <w:vertAlign w:val="subscript"/>
                <w:lang w:eastAsia="en-GB"/>
              </w:rPr>
              <w:t>pre</w:t>
            </w:r>
            <w:proofErr w:type="spellEnd"/>
          </w:p>
        </w:tc>
        <w:tc>
          <w:tcPr>
            <w:tcW w:w="0" w:type="auto"/>
            <w:shd w:val="clear" w:color="auto" w:fill="auto"/>
            <w:noWrap/>
            <w:vAlign w:val="bottom"/>
            <w:hideMark/>
          </w:tcPr>
          <w:p w14:paraId="4DFD632D"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VAT</w:t>
            </w:r>
            <w:r w:rsidRPr="00F07243">
              <w:rPr>
                <w:rFonts w:ascii="Times New Roman" w:eastAsia="Times New Roman" w:hAnsi="Times New Roman" w:cs="Times New Roman"/>
                <w:b/>
                <w:i/>
                <w:iCs/>
                <w:color w:val="000000"/>
                <w:vertAlign w:val="subscript"/>
                <w:lang w:eastAsia="en-GB"/>
              </w:rPr>
              <w:t>post</w:t>
            </w:r>
            <w:proofErr w:type="spellEnd"/>
          </w:p>
        </w:tc>
        <w:tc>
          <w:tcPr>
            <w:tcW w:w="0" w:type="auto"/>
            <w:shd w:val="clear" w:color="auto" w:fill="auto"/>
            <w:noWrap/>
            <w:vAlign w:val="bottom"/>
            <w:hideMark/>
          </w:tcPr>
          <w:p w14:paraId="0CD2A00D"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EDT</w:t>
            </w:r>
            <w:r w:rsidRPr="00F07243">
              <w:rPr>
                <w:rFonts w:ascii="Times New Roman" w:eastAsia="Times New Roman" w:hAnsi="Times New Roman" w:cs="Times New Roman"/>
                <w:b/>
                <w:i/>
                <w:iCs/>
                <w:color w:val="000000"/>
                <w:vertAlign w:val="subscript"/>
                <w:lang w:eastAsia="en-GB"/>
              </w:rPr>
              <w:t>pre</w:t>
            </w:r>
            <w:proofErr w:type="spellEnd"/>
          </w:p>
        </w:tc>
        <w:tc>
          <w:tcPr>
            <w:tcW w:w="0" w:type="auto"/>
            <w:shd w:val="clear" w:color="auto" w:fill="auto"/>
            <w:noWrap/>
            <w:vAlign w:val="bottom"/>
            <w:hideMark/>
          </w:tcPr>
          <w:p w14:paraId="0752B904"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EDT</w:t>
            </w:r>
            <w:r w:rsidRPr="00F07243">
              <w:rPr>
                <w:rFonts w:ascii="Times New Roman" w:eastAsia="Times New Roman" w:hAnsi="Times New Roman" w:cs="Times New Roman"/>
                <w:b/>
                <w:i/>
                <w:iCs/>
                <w:color w:val="000000"/>
                <w:vertAlign w:val="subscript"/>
                <w:lang w:eastAsia="en-GB"/>
              </w:rPr>
              <w:t>post</w:t>
            </w:r>
            <w:proofErr w:type="spellEnd"/>
          </w:p>
        </w:tc>
        <w:tc>
          <w:tcPr>
            <w:tcW w:w="0" w:type="auto"/>
            <w:shd w:val="clear" w:color="auto" w:fill="auto"/>
            <w:noWrap/>
            <w:vAlign w:val="bottom"/>
            <w:hideMark/>
          </w:tcPr>
          <w:p w14:paraId="0B907AF7"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INFR</w:t>
            </w:r>
            <w:r w:rsidRPr="00F07243">
              <w:rPr>
                <w:rFonts w:ascii="Times New Roman" w:eastAsia="Times New Roman" w:hAnsi="Times New Roman" w:cs="Times New Roman"/>
                <w:b/>
                <w:i/>
                <w:iCs/>
                <w:color w:val="000000"/>
                <w:vertAlign w:val="subscript"/>
                <w:lang w:eastAsia="en-GB"/>
              </w:rPr>
              <w:t>pre</w:t>
            </w:r>
            <w:proofErr w:type="spellEnd"/>
          </w:p>
        </w:tc>
        <w:tc>
          <w:tcPr>
            <w:tcW w:w="0" w:type="auto"/>
            <w:shd w:val="clear" w:color="auto" w:fill="auto"/>
            <w:noWrap/>
            <w:vAlign w:val="bottom"/>
            <w:hideMark/>
          </w:tcPr>
          <w:p w14:paraId="40CA0529" w14:textId="77777777" w:rsidR="00274609" w:rsidRPr="00F07243" w:rsidRDefault="00274609" w:rsidP="00465807">
            <w:pPr>
              <w:spacing w:after="0" w:line="240" w:lineRule="auto"/>
              <w:jc w:val="center"/>
              <w:rPr>
                <w:rFonts w:ascii="Times New Roman" w:eastAsia="Times New Roman" w:hAnsi="Times New Roman" w:cs="Times New Roman"/>
                <w:b/>
                <w:i/>
                <w:iCs/>
                <w:color w:val="000000"/>
                <w:lang w:eastAsia="en-GB"/>
              </w:rPr>
            </w:pPr>
            <w:proofErr w:type="spellStart"/>
            <w:r w:rsidRPr="00F07243">
              <w:rPr>
                <w:rFonts w:ascii="Times New Roman" w:eastAsia="Times New Roman" w:hAnsi="Times New Roman" w:cs="Times New Roman"/>
                <w:b/>
                <w:i/>
                <w:iCs/>
                <w:color w:val="000000"/>
                <w:lang w:eastAsia="en-GB"/>
              </w:rPr>
              <w:t>INFR</w:t>
            </w:r>
            <w:r w:rsidRPr="00F07243">
              <w:rPr>
                <w:rFonts w:ascii="Times New Roman" w:eastAsia="Times New Roman" w:hAnsi="Times New Roman" w:cs="Times New Roman"/>
                <w:b/>
                <w:i/>
                <w:iCs/>
                <w:color w:val="000000"/>
                <w:vertAlign w:val="subscript"/>
                <w:lang w:eastAsia="en-GB"/>
              </w:rPr>
              <w:t>post</w:t>
            </w:r>
            <w:proofErr w:type="spellEnd"/>
          </w:p>
        </w:tc>
      </w:tr>
      <w:tr w:rsidR="00274609" w:rsidRPr="00F07243" w14:paraId="42C98F4C" w14:textId="77777777" w:rsidTr="00465807">
        <w:trPr>
          <w:trHeight w:val="300"/>
        </w:trPr>
        <w:tc>
          <w:tcPr>
            <w:tcW w:w="0" w:type="auto"/>
            <w:shd w:val="clear" w:color="auto" w:fill="auto"/>
            <w:noWrap/>
            <w:vAlign w:val="bottom"/>
            <w:hideMark/>
          </w:tcPr>
          <w:p w14:paraId="01F29265"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Mean</w:t>
            </w:r>
          </w:p>
        </w:tc>
        <w:tc>
          <w:tcPr>
            <w:tcW w:w="0" w:type="auto"/>
            <w:shd w:val="clear" w:color="auto" w:fill="auto"/>
            <w:noWrap/>
            <w:vAlign w:val="bottom"/>
            <w:hideMark/>
          </w:tcPr>
          <w:p w14:paraId="51E6E6AF"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1358.87</w:t>
            </w:r>
          </w:p>
        </w:tc>
        <w:tc>
          <w:tcPr>
            <w:tcW w:w="0" w:type="auto"/>
            <w:shd w:val="clear" w:color="auto" w:fill="auto"/>
            <w:noWrap/>
            <w:vAlign w:val="bottom"/>
            <w:hideMark/>
          </w:tcPr>
          <w:p w14:paraId="222CB80C"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5751.04</w:t>
            </w:r>
          </w:p>
        </w:tc>
        <w:tc>
          <w:tcPr>
            <w:tcW w:w="0" w:type="auto"/>
            <w:shd w:val="clear" w:color="auto" w:fill="auto"/>
            <w:noWrap/>
            <w:vAlign w:val="bottom"/>
            <w:hideMark/>
          </w:tcPr>
          <w:p w14:paraId="289D6121"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1200.38</w:t>
            </w:r>
          </w:p>
        </w:tc>
        <w:tc>
          <w:tcPr>
            <w:tcW w:w="0" w:type="auto"/>
            <w:shd w:val="clear" w:color="auto" w:fill="auto"/>
            <w:noWrap/>
            <w:vAlign w:val="bottom"/>
            <w:hideMark/>
          </w:tcPr>
          <w:p w14:paraId="38A3EE61"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5368.15</w:t>
            </w:r>
          </w:p>
        </w:tc>
        <w:tc>
          <w:tcPr>
            <w:tcW w:w="0" w:type="auto"/>
            <w:shd w:val="clear" w:color="auto" w:fill="auto"/>
            <w:noWrap/>
            <w:vAlign w:val="bottom"/>
            <w:hideMark/>
          </w:tcPr>
          <w:p w14:paraId="03FCCC58"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209.72</w:t>
            </w:r>
          </w:p>
        </w:tc>
        <w:tc>
          <w:tcPr>
            <w:tcW w:w="0" w:type="auto"/>
            <w:shd w:val="clear" w:color="auto" w:fill="auto"/>
            <w:noWrap/>
            <w:vAlign w:val="bottom"/>
            <w:hideMark/>
          </w:tcPr>
          <w:p w14:paraId="1437FBE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1076.03</w:t>
            </w:r>
          </w:p>
        </w:tc>
        <w:tc>
          <w:tcPr>
            <w:tcW w:w="0" w:type="auto"/>
            <w:shd w:val="clear" w:color="auto" w:fill="auto"/>
            <w:noWrap/>
            <w:vAlign w:val="bottom"/>
            <w:hideMark/>
          </w:tcPr>
          <w:p w14:paraId="42C8702A"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0.14</w:t>
            </w:r>
          </w:p>
        </w:tc>
        <w:tc>
          <w:tcPr>
            <w:tcW w:w="0" w:type="auto"/>
            <w:shd w:val="clear" w:color="auto" w:fill="auto"/>
            <w:noWrap/>
            <w:vAlign w:val="bottom"/>
            <w:hideMark/>
          </w:tcPr>
          <w:p w14:paraId="1E83D686"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0.23</w:t>
            </w:r>
          </w:p>
        </w:tc>
      </w:tr>
      <w:tr w:rsidR="00274609" w:rsidRPr="00F07243" w14:paraId="7D46E309" w14:textId="77777777" w:rsidTr="00465807">
        <w:trPr>
          <w:trHeight w:val="300"/>
        </w:trPr>
        <w:tc>
          <w:tcPr>
            <w:tcW w:w="0" w:type="auto"/>
            <w:shd w:val="clear" w:color="auto" w:fill="auto"/>
            <w:noWrap/>
            <w:vAlign w:val="bottom"/>
            <w:hideMark/>
          </w:tcPr>
          <w:p w14:paraId="498B2E6D"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Standard Error</w:t>
            </w:r>
          </w:p>
        </w:tc>
        <w:tc>
          <w:tcPr>
            <w:tcW w:w="0" w:type="auto"/>
            <w:shd w:val="clear" w:color="auto" w:fill="auto"/>
            <w:noWrap/>
            <w:vAlign w:val="bottom"/>
            <w:hideMark/>
          </w:tcPr>
          <w:p w14:paraId="7B80E0F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85.84</w:t>
            </w:r>
          </w:p>
        </w:tc>
        <w:tc>
          <w:tcPr>
            <w:tcW w:w="0" w:type="auto"/>
            <w:shd w:val="clear" w:color="auto" w:fill="auto"/>
            <w:noWrap/>
            <w:vAlign w:val="bottom"/>
            <w:hideMark/>
          </w:tcPr>
          <w:p w14:paraId="1A42531F"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1784.56</w:t>
            </w:r>
          </w:p>
        </w:tc>
        <w:tc>
          <w:tcPr>
            <w:tcW w:w="0" w:type="auto"/>
            <w:shd w:val="clear" w:color="auto" w:fill="auto"/>
            <w:noWrap/>
            <w:vAlign w:val="bottom"/>
            <w:hideMark/>
          </w:tcPr>
          <w:p w14:paraId="7D7B9085"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119.04</w:t>
            </w:r>
          </w:p>
        </w:tc>
        <w:tc>
          <w:tcPr>
            <w:tcW w:w="0" w:type="auto"/>
            <w:shd w:val="clear" w:color="auto" w:fill="auto"/>
            <w:noWrap/>
            <w:vAlign w:val="bottom"/>
            <w:hideMark/>
          </w:tcPr>
          <w:p w14:paraId="08642A5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1397.25</w:t>
            </w:r>
          </w:p>
        </w:tc>
        <w:tc>
          <w:tcPr>
            <w:tcW w:w="0" w:type="auto"/>
            <w:shd w:val="clear" w:color="auto" w:fill="auto"/>
            <w:noWrap/>
            <w:vAlign w:val="bottom"/>
            <w:hideMark/>
          </w:tcPr>
          <w:p w14:paraId="05BA08E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21.70</w:t>
            </w:r>
          </w:p>
        </w:tc>
        <w:tc>
          <w:tcPr>
            <w:tcW w:w="0" w:type="auto"/>
            <w:shd w:val="clear" w:color="auto" w:fill="auto"/>
            <w:noWrap/>
            <w:vAlign w:val="bottom"/>
            <w:hideMark/>
          </w:tcPr>
          <w:p w14:paraId="4CF54F74"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328.54</w:t>
            </w:r>
          </w:p>
        </w:tc>
        <w:tc>
          <w:tcPr>
            <w:tcW w:w="0" w:type="auto"/>
            <w:shd w:val="clear" w:color="auto" w:fill="auto"/>
            <w:noWrap/>
            <w:vAlign w:val="bottom"/>
            <w:hideMark/>
          </w:tcPr>
          <w:p w14:paraId="79F5E96F"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0.01</w:t>
            </w:r>
          </w:p>
        </w:tc>
        <w:tc>
          <w:tcPr>
            <w:tcW w:w="0" w:type="auto"/>
            <w:shd w:val="clear" w:color="auto" w:fill="auto"/>
            <w:noWrap/>
            <w:vAlign w:val="bottom"/>
            <w:hideMark/>
          </w:tcPr>
          <w:p w14:paraId="6A092E6C"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0.04</w:t>
            </w:r>
          </w:p>
        </w:tc>
      </w:tr>
      <w:tr w:rsidR="00274609" w:rsidRPr="00F07243" w14:paraId="1F4F612D" w14:textId="77777777" w:rsidTr="00465807">
        <w:trPr>
          <w:trHeight w:val="300"/>
        </w:trPr>
        <w:tc>
          <w:tcPr>
            <w:tcW w:w="0" w:type="auto"/>
            <w:shd w:val="clear" w:color="auto" w:fill="auto"/>
            <w:noWrap/>
            <w:vAlign w:val="bottom"/>
            <w:hideMark/>
          </w:tcPr>
          <w:p w14:paraId="2380CF80"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Median</w:t>
            </w:r>
          </w:p>
        </w:tc>
        <w:tc>
          <w:tcPr>
            <w:tcW w:w="0" w:type="auto"/>
            <w:shd w:val="clear" w:color="auto" w:fill="auto"/>
            <w:noWrap/>
            <w:vAlign w:val="bottom"/>
            <w:hideMark/>
          </w:tcPr>
          <w:p w14:paraId="1FA52576"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1307.86</w:t>
            </w:r>
          </w:p>
        </w:tc>
        <w:tc>
          <w:tcPr>
            <w:tcW w:w="0" w:type="auto"/>
            <w:shd w:val="clear" w:color="auto" w:fill="auto"/>
            <w:noWrap/>
            <w:vAlign w:val="bottom"/>
            <w:hideMark/>
          </w:tcPr>
          <w:p w14:paraId="1D9AF00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4946.42</w:t>
            </w:r>
          </w:p>
        </w:tc>
        <w:tc>
          <w:tcPr>
            <w:tcW w:w="0" w:type="auto"/>
            <w:shd w:val="clear" w:color="auto" w:fill="auto"/>
            <w:noWrap/>
            <w:vAlign w:val="bottom"/>
            <w:hideMark/>
          </w:tcPr>
          <w:p w14:paraId="5BF7971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1149.01</w:t>
            </w:r>
          </w:p>
        </w:tc>
        <w:tc>
          <w:tcPr>
            <w:tcW w:w="0" w:type="auto"/>
            <w:shd w:val="clear" w:color="auto" w:fill="auto"/>
            <w:noWrap/>
            <w:vAlign w:val="bottom"/>
            <w:hideMark/>
          </w:tcPr>
          <w:p w14:paraId="446CE117"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5180.34</w:t>
            </w:r>
          </w:p>
        </w:tc>
        <w:tc>
          <w:tcPr>
            <w:tcW w:w="0" w:type="auto"/>
            <w:shd w:val="clear" w:color="auto" w:fill="auto"/>
            <w:noWrap/>
            <w:vAlign w:val="bottom"/>
            <w:hideMark/>
          </w:tcPr>
          <w:p w14:paraId="200419F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212.17</w:t>
            </w:r>
          </w:p>
        </w:tc>
        <w:tc>
          <w:tcPr>
            <w:tcW w:w="0" w:type="auto"/>
            <w:shd w:val="clear" w:color="auto" w:fill="auto"/>
            <w:noWrap/>
            <w:vAlign w:val="bottom"/>
            <w:hideMark/>
          </w:tcPr>
          <w:p w14:paraId="586577D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1168.81</w:t>
            </w:r>
          </w:p>
        </w:tc>
        <w:tc>
          <w:tcPr>
            <w:tcW w:w="0" w:type="auto"/>
            <w:shd w:val="clear" w:color="auto" w:fill="auto"/>
            <w:noWrap/>
            <w:vAlign w:val="bottom"/>
            <w:hideMark/>
          </w:tcPr>
          <w:p w14:paraId="47B456A4"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0.14</w:t>
            </w:r>
          </w:p>
        </w:tc>
        <w:tc>
          <w:tcPr>
            <w:tcW w:w="0" w:type="auto"/>
            <w:shd w:val="clear" w:color="auto" w:fill="auto"/>
            <w:noWrap/>
            <w:vAlign w:val="bottom"/>
            <w:hideMark/>
          </w:tcPr>
          <w:p w14:paraId="6C6CA6F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0.22</w:t>
            </w:r>
          </w:p>
        </w:tc>
      </w:tr>
      <w:tr w:rsidR="00274609" w:rsidRPr="00F07243" w14:paraId="006329A7" w14:textId="77777777" w:rsidTr="00465807">
        <w:trPr>
          <w:trHeight w:val="300"/>
        </w:trPr>
        <w:tc>
          <w:tcPr>
            <w:tcW w:w="0" w:type="auto"/>
            <w:shd w:val="clear" w:color="auto" w:fill="auto"/>
            <w:noWrap/>
            <w:vAlign w:val="bottom"/>
            <w:hideMark/>
          </w:tcPr>
          <w:p w14:paraId="434FBB69"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SD</w:t>
            </w:r>
          </w:p>
        </w:tc>
        <w:tc>
          <w:tcPr>
            <w:tcW w:w="0" w:type="auto"/>
            <w:shd w:val="clear" w:color="auto" w:fill="auto"/>
            <w:noWrap/>
            <w:vAlign w:val="bottom"/>
            <w:hideMark/>
          </w:tcPr>
          <w:p w14:paraId="64D59098"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171.69</w:t>
            </w:r>
          </w:p>
        </w:tc>
        <w:tc>
          <w:tcPr>
            <w:tcW w:w="0" w:type="auto"/>
            <w:shd w:val="clear" w:color="auto" w:fill="auto"/>
            <w:noWrap/>
            <w:vAlign w:val="bottom"/>
            <w:hideMark/>
          </w:tcPr>
          <w:p w14:paraId="7019152C"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3569.12</w:t>
            </w:r>
          </w:p>
        </w:tc>
        <w:tc>
          <w:tcPr>
            <w:tcW w:w="0" w:type="auto"/>
            <w:shd w:val="clear" w:color="auto" w:fill="auto"/>
            <w:noWrap/>
            <w:vAlign w:val="bottom"/>
            <w:hideMark/>
          </w:tcPr>
          <w:p w14:paraId="0D4E1FCA"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238.09</w:t>
            </w:r>
          </w:p>
        </w:tc>
        <w:tc>
          <w:tcPr>
            <w:tcW w:w="0" w:type="auto"/>
            <w:shd w:val="clear" w:color="auto" w:fill="auto"/>
            <w:noWrap/>
            <w:vAlign w:val="bottom"/>
            <w:hideMark/>
          </w:tcPr>
          <w:p w14:paraId="092643F4"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2794.51</w:t>
            </w:r>
          </w:p>
        </w:tc>
        <w:tc>
          <w:tcPr>
            <w:tcW w:w="0" w:type="auto"/>
            <w:shd w:val="clear" w:color="auto" w:fill="auto"/>
            <w:noWrap/>
            <w:vAlign w:val="bottom"/>
            <w:hideMark/>
          </w:tcPr>
          <w:p w14:paraId="1C09AAA1"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43.41</w:t>
            </w:r>
          </w:p>
        </w:tc>
        <w:tc>
          <w:tcPr>
            <w:tcW w:w="0" w:type="auto"/>
            <w:shd w:val="clear" w:color="auto" w:fill="auto"/>
            <w:noWrap/>
            <w:vAlign w:val="bottom"/>
            <w:hideMark/>
          </w:tcPr>
          <w:p w14:paraId="39E3A4C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657.08</w:t>
            </w:r>
          </w:p>
        </w:tc>
        <w:tc>
          <w:tcPr>
            <w:tcW w:w="0" w:type="auto"/>
            <w:shd w:val="clear" w:color="auto" w:fill="auto"/>
            <w:noWrap/>
            <w:vAlign w:val="bottom"/>
            <w:hideMark/>
          </w:tcPr>
          <w:p w14:paraId="6D361CC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0.02</w:t>
            </w:r>
          </w:p>
        </w:tc>
        <w:tc>
          <w:tcPr>
            <w:tcW w:w="0" w:type="auto"/>
            <w:shd w:val="clear" w:color="auto" w:fill="auto"/>
            <w:noWrap/>
            <w:vAlign w:val="bottom"/>
            <w:hideMark/>
          </w:tcPr>
          <w:p w14:paraId="4FFB8D28"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0.08</w:t>
            </w:r>
          </w:p>
        </w:tc>
      </w:tr>
      <w:tr w:rsidR="00274609" w:rsidRPr="00F07243" w14:paraId="02997353" w14:textId="77777777" w:rsidTr="00465807">
        <w:trPr>
          <w:trHeight w:val="300"/>
        </w:trPr>
        <w:tc>
          <w:tcPr>
            <w:tcW w:w="0" w:type="auto"/>
            <w:shd w:val="clear" w:color="auto" w:fill="auto"/>
            <w:noWrap/>
            <w:vAlign w:val="bottom"/>
            <w:hideMark/>
          </w:tcPr>
          <w:p w14:paraId="77419147"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Kurtosis</w:t>
            </w:r>
          </w:p>
        </w:tc>
        <w:tc>
          <w:tcPr>
            <w:tcW w:w="0" w:type="auto"/>
            <w:shd w:val="clear" w:color="auto" w:fill="auto"/>
            <w:noWrap/>
            <w:vAlign w:val="bottom"/>
            <w:hideMark/>
          </w:tcPr>
          <w:p w14:paraId="296F580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2.34</w:t>
            </w:r>
          </w:p>
        </w:tc>
        <w:tc>
          <w:tcPr>
            <w:tcW w:w="0" w:type="auto"/>
            <w:shd w:val="clear" w:color="auto" w:fill="auto"/>
            <w:noWrap/>
            <w:vAlign w:val="bottom"/>
            <w:hideMark/>
          </w:tcPr>
          <w:p w14:paraId="2F915A9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-0.79</w:t>
            </w:r>
          </w:p>
        </w:tc>
        <w:tc>
          <w:tcPr>
            <w:tcW w:w="0" w:type="auto"/>
            <w:shd w:val="clear" w:color="auto" w:fill="auto"/>
            <w:noWrap/>
            <w:vAlign w:val="bottom"/>
            <w:hideMark/>
          </w:tcPr>
          <w:p w14:paraId="764E10D9"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1.80</w:t>
            </w:r>
          </w:p>
        </w:tc>
        <w:tc>
          <w:tcPr>
            <w:tcW w:w="0" w:type="auto"/>
            <w:shd w:val="clear" w:color="auto" w:fill="auto"/>
            <w:noWrap/>
            <w:vAlign w:val="bottom"/>
            <w:hideMark/>
          </w:tcPr>
          <w:p w14:paraId="2BE9508A"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-3.22</w:t>
            </w:r>
          </w:p>
        </w:tc>
        <w:tc>
          <w:tcPr>
            <w:tcW w:w="0" w:type="auto"/>
            <w:shd w:val="clear" w:color="auto" w:fill="auto"/>
            <w:noWrap/>
            <w:vAlign w:val="bottom"/>
            <w:hideMark/>
          </w:tcPr>
          <w:p w14:paraId="30C393C7"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0.75</w:t>
            </w:r>
          </w:p>
        </w:tc>
        <w:tc>
          <w:tcPr>
            <w:tcW w:w="0" w:type="auto"/>
            <w:shd w:val="clear" w:color="auto" w:fill="auto"/>
            <w:noWrap/>
            <w:vAlign w:val="bottom"/>
            <w:hideMark/>
          </w:tcPr>
          <w:p w14:paraId="5A09045F"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-4.31</w:t>
            </w:r>
          </w:p>
        </w:tc>
        <w:tc>
          <w:tcPr>
            <w:tcW w:w="0" w:type="auto"/>
            <w:shd w:val="clear" w:color="auto" w:fill="auto"/>
            <w:noWrap/>
            <w:vAlign w:val="bottom"/>
            <w:hideMark/>
          </w:tcPr>
          <w:p w14:paraId="26F98A81"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-5.57</w:t>
            </w:r>
          </w:p>
        </w:tc>
        <w:tc>
          <w:tcPr>
            <w:tcW w:w="0" w:type="auto"/>
            <w:shd w:val="clear" w:color="auto" w:fill="auto"/>
            <w:noWrap/>
            <w:vAlign w:val="bottom"/>
            <w:hideMark/>
          </w:tcPr>
          <w:p w14:paraId="4E43301C"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-0.43</w:t>
            </w:r>
          </w:p>
        </w:tc>
      </w:tr>
      <w:tr w:rsidR="00274609" w:rsidRPr="00F07243" w14:paraId="259E0BC0" w14:textId="77777777" w:rsidTr="00465807">
        <w:trPr>
          <w:trHeight w:val="300"/>
        </w:trPr>
        <w:tc>
          <w:tcPr>
            <w:tcW w:w="0" w:type="auto"/>
            <w:shd w:val="clear" w:color="auto" w:fill="auto"/>
            <w:noWrap/>
            <w:vAlign w:val="bottom"/>
            <w:hideMark/>
          </w:tcPr>
          <w:p w14:paraId="53E9DFC3"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Skewness</w:t>
            </w:r>
          </w:p>
        </w:tc>
        <w:tc>
          <w:tcPr>
            <w:tcW w:w="0" w:type="auto"/>
            <w:shd w:val="clear" w:color="auto" w:fill="auto"/>
            <w:noWrap/>
            <w:vAlign w:val="bottom"/>
            <w:hideMark/>
          </w:tcPr>
          <w:p w14:paraId="4E3A26EA"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1.49</w:t>
            </w:r>
          </w:p>
        </w:tc>
        <w:tc>
          <w:tcPr>
            <w:tcW w:w="0" w:type="auto"/>
            <w:shd w:val="clear" w:color="auto" w:fill="auto"/>
            <w:noWrap/>
            <w:vAlign w:val="bottom"/>
            <w:hideMark/>
          </w:tcPr>
          <w:p w14:paraId="27F3BF25"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0.90</w:t>
            </w:r>
          </w:p>
        </w:tc>
        <w:tc>
          <w:tcPr>
            <w:tcW w:w="0" w:type="auto"/>
            <w:shd w:val="clear" w:color="auto" w:fill="auto"/>
            <w:noWrap/>
            <w:vAlign w:val="bottom"/>
            <w:hideMark/>
          </w:tcPr>
          <w:p w14:paraId="4CF8A3A4"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1.16</w:t>
            </w:r>
          </w:p>
        </w:tc>
        <w:tc>
          <w:tcPr>
            <w:tcW w:w="0" w:type="auto"/>
            <w:shd w:val="clear" w:color="auto" w:fill="auto"/>
            <w:noWrap/>
            <w:vAlign w:val="bottom"/>
            <w:hideMark/>
          </w:tcPr>
          <w:p w14:paraId="79AAA311"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0.24</w:t>
            </w:r>
          </w:p>
        </w:tc>
        <w:tc>
          <w:tcPr>
            <w:tcW w:w="0" w:type="auto"/>
            <w:shd w:val="clear" w:color="auto" w:fill="auto"/>
            <w:noWrap/>
            <w:vAlign w:val="bottom"/>
            <w:hideMark/>
          </w:tcPr>
          <w:p w14:paraId="223EB0DF"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-0.32</w:t>
            </w:r>
          </w:p>
        </w:tc>
        <w:tc>
          <w:tcPr>
            <w:tcW w:w="0" w:type="auto"/>
            <w:shd w:val="clear" w:color="auto" w:fill="auto"/>
            <w:noWrap/>
            <w:vAlign w:val="bottom"/>
            <w:hideMark/>
          </w:tcPr>
          <w:p w14:paraId="5A1431DA"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-0.30</w:t>
            </w:r>
          </w:p>
        </w:tc>
        <w:tc>
          <w:tcPr>
            <w:tcW w:w="0" w:type="auto"/>
            <w:shd w:val="clear" w:color="auto" w:fill="auto"/>
            <w:noWrap/>
            <w:vAlign w:val="bottom"/>
            <w:hideMark/>
          </w:tcPr>
          <w:p w14:paraId="53C9660A"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-0.03</w:t>
            </w:r>
          </w:p>
        </w:tc>
        <w:tc>
          <w:tcPr>
            <w:tcW w:w="0" w:type="auto"/>
            <w:shd w:val="clear" w:color="auto" w:fill="auto"/>
            <w:noWrap/>
            <w:vAlign w:val="bottom"/>
            <w:hideMark/>
          </w:tcPr>
          <w:p w14:paraId="705C7269"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0.73</w:t>
            </w:r>
          </w:p>
        </w:tc>
      </w:tr>
      <w:tr w:rsidR="00274609" w:rsidRPr="00F07243" w14:paraId="73FD8B74" w14:textId="77777777" w:rsidTr="00465807">
        <w:trPr>
          <w:trHeight w:val="300"/>
        </w:trPr>
        <w:tc>
          <w:tcPr>
            <w:tcW w:w="0" w:type="auto"/>
            <w:shd w:val="clear" w:color="auto" w:fill="auto"/>
            <w:noWrap/>
            <w:vAlign w:val="bottom"/>
            <w:hideMark/>
          </w:tcPr>
          <w:p w14:paraId="3B3583EA"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Range</w:t>
            </w:r>
          </w:p>
        </w:tc>
        <w:tc>
          <w:tcPr>
            <w:tcW w:w="0" w:type="auto"/>
            <w:shd w:val="clear" w:color="auto" w:fill="auto"/>
            <w:noWrap/>
            <w:vAlign w:val="bottom"/>
            <w:hideMark/>
          </w:tcPr>
          <w:p w14:paraId="0F128692"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389.64</w:t>
            </w:r>
          </w:p>
        </w:tc>
        <w:tc>
          <w:tcPr>
            <w:tcW w:w="0" w:type="auto"/>
            <w:shd w:val="clear" w:color="auto" w:fill="auto"/>
            <w:noWrap/>
            <w:vAlign w:val="bottom"/>
            <w:hideMark/>
          </w:tcPr>
          <w:p w14:paraId="54C14B5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7812.94</w:t>
            </w:r>
          </w:p>
        </w:tc>
        <w:tc>
          <w:tcPr>
            <w:tcW w:w="0" w:type="auto"/>
            <w:shd w:val="clear" w:color="auto" w:fill="auto"/>
            <w:noWrap/>
            <w:vAlign w:val="bottom"/>
            <w:hideMark/>
          </w:tcPr>
          <w:p w14:paraId="1674C45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558.822</w:t>
            </w:r>
          </w:p>
        </w:tc>
        <w:tc>
          <w:tcPr>
            <w:tcW w:w="0" w:type="auto"/>
            <w:shd w:val="clear" w:color="auto" w:fill="auto"/>
            <w:noWrap/>
            <w:vAlign w:val="bottom"/>
            <w:hideMark/>
          </w:tcPr>
          <w:p w14:paraId="189E099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6088.88</w:t>
            </w:r>
          </w:p>
        </w:tc>
        <w:tc>
          <w:tcPr>
            <w:tcW w:w="0" w:type="auto"/>
            <w:shd w:val="clear" w:color="auto" w:fill="auto"/>
            <w:noWrap/>
            <w:vAlign w:val="bottom"/>
            <w:hideMark/>
          </w:tcPr>
          <w:p w14:paraId="01E3A01C"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104.61</w:t>
            </w:r>
          </w:p>
        </w:tc>
        <w:tc>
          <w:tcPr>
            <w:tcW w:w="0" w:type="auto"/>
            <w:shd w:val="clear" w:color="auto" w:fill="auto"/>
            <w:noWrap/>
            <w:vAlign w:val="bottom"/>
            <w:hideMark/>
          </w:tcPr>
          <w:p w14:paraId="1481FE02"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1309.18</w:t>
            </w:r>
          </w:p>
        </w:tc>
        <w:tc>
          <w:tcPr>
            <w:tcW w:w="0" w:type="auto"/>
            <w:shd w:val="clear" w:color="auto" w:fill="auto"/>
            <w:noWrap/>
            <w:vAlign w:val="bottom"/>
            <w:hideMark/>
          </w:tcPr>
          <w:p w14:paraId="59FA502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0.04</w:t>
            </w:r>
          </w:p>
        </w:tc>
        <w:tc>
          <w:tcPr>
            <w:tcW w:w="0" w:type="auto"/>
            <w:shd w:val="clear" w:color="auto" w:fill="auto"/>
            <w:noWrap/>
            <w:vAlign w:val="bottom"/>
            <w:hideMark/>
          </w:tcPr>
          <w:p w14:paraId="72E2705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0.18</w:t>
            </w:r>
          </w:p>
        </w:tc>
      </w:tr>
      <w:tr w:rsidR="00274609" w:rsidRPr="00F07243" w14:paraId="5C442DEF" w14:textId="77777777" w:rsidTr="00465807">
        <w:trPr>
          <w:trHeight w:val="300"/>
        </w:trPr>
        <w:tc>
          <w:tcPr>
            <w:tcW w:w="0" w:type="auto"/>
            <w:shd w:val="clear" w:color="auto" w:fill="auto"/>
            <w:noWrap/>
            <w:vAlign w:val="bottom"/>
            <w:hideMark/>
          </w:tcPr>
          <w:p w14:paraId="60DBE217"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Minimum</w:t>
            </w:r>
          </w:p>
        </w:tc>
        <w:tc>
          <w:tcPr>
            <w:tcW w:w="0" w:type="auto"/>
            <w:shd w:val="clear" w:color="auto" w:fill="auto"/>
            <w:noWrap/>
            <w:vAlign w:val="bottom"/>
            <w:hideMark/>
          </w:tcPr>
          <w:p w14:paraId="6E7D7D6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1215.06</w:t>
            </w:r>
          </w:p>
        </w:tc>
        <w:tc>
          <w:tcPr>
            <w:tcW w:w="0" w:type="auto"/>
            <w:shd w:val="clear" w:color="auto" w:fill="auto"/>
            <w:noWrap/>
            <w:vAlign w:val="bottom"/>
            <w:hideMark/>
          </w:tcPr>
          <w:p w14:paraId="5F4175B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2649.19</w:t>
            </w:r>
          </w:p>
        </w:tc>
        <w:tc>
          <w:tcPr>
            <w:tcW w:w="0" w:type="auto"/>
            <w:shd w:val="clear" w:color="auto" w:fill="auto"/>
            <w:noWrap/>
            <w:vAlign w:val="bottom"/>
            <w:hideMark/>
          </w:tcPr>
          <w:p w14:paraId="6D4EEE3C"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972.348</w:t>
            </w:r>
          </w:p>
        </w:tc>
        <w:tc>
          <w:tcPr>
            <w:tcW w:w="0" w:type="auto"/>
            <w:shd w:val="clear" w:color="auto" w:fill="auto"/>
            <w:noWrap/>
            <w:vAlign w:val="bottom"/>
            <w:hideMark/>
          </w:tcPr>
          <w:p w14:paraId="0816697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2511.52</w:t>
            </w:r>
          </w:p>
        </w:tc>
        <w:tc>
          <w:tcPr>
            <w:tcW w:w="0" w:type="auto"/>
            <w:shd w:val="clear" w:color="auto" w:fill="auto"/>
            <w:noWrap/>
            <w:vAlign w:val="bottom"/>
            <w:hideMark/>
          </w:tcPr>
          <w:p w14:paraId="5ED7A80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154.96</w:t>
            </w:r>
          </w:p>
        </w:tc>
        <w:tc>
          <w:tcPr>
            <w:tcW w:w="0" w:type="auto"/>
            <w:shd w:val="clear" w:color="auto" w:fill="auto"/>
            <w:noWrap/>
            <w:vAlign w:val="bottom"/>
            <w:hideMark/>
          </w:tcPr>
          <w:p w14:paraId="12570E09"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328.67</w:t>
            </w:r>
          </w:p>
        </w:tc>
        <w:tc>
          <w:tcPr>
            <w:tcW w:w="0" w:type="auto"/>
            <w:shd w:val="clear" w:color="auto" w:fill="auto"/>
            <w:noWrap/>
            <w:vAlign w:val="bottom"/>
            <w:hideMark/>
          </w:tcPr>
          <w:p w14:paraId="30C226C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0.11</w:t>
            </w:r>
          </w:p>
        </w:tc>
        <w:tc>
          <w:tcPr>
            <w:tcW w:w="0" w:type="auto"/>
            <w:shd w:val="clear" w:color="auto" w:fill="auto"/>
            <w:noWrap/>
            <w:vAlign w:val="bottom"/>
            <w:hideMark/>
          </w:tcPr>
          <w:p w14:paraId="23570414"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0.15</w:t>
            </w:r>
          </w:p>
        </w:tc>
      </w:tr>
      <w:tr w:rsidR="00274609" w:rsidRPr="00F07243" w14:paraId="33D52C43" w14:textId="77777777" w:rsidTr="00465807">
        <w:trPr>
          <w:trHeight w:val="300"/>
        </w:trPr>
        <w:tc>
          <w:tcPr>
            <w:tcW w:w="0" w:type="auto"/>
            <w:shd w:val="clear" w:color="auto" w:fill="auto"/>
            <w:noWrap/>
            <w:vAlign w:val="bottom"/>
            <w:hideMark/>
          </w:tcPr>
          <w:p w14:paraId="3EA30C48"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Maximum</w:t>
            </w:r>
          </w:p>
        </w:tc>
        <w:tc>
          <w:tcPr>
            <w:tcW w:w="0" w:type="auto"/>
            <w:shd w:val="clear" w:color="auto" w:fill="auto"/>
            <w:noWrap/>
            <w:vAlign w:val="bottom"/>
            <w:hideMark/>
          </w:tcPr>
          <w:p w14:paraId="101AF38F"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1604.7</w:t>
            </w:r>
          </w:p>
        </w:tc>
        <w:tc>
          <w:tcPr>
            <w:tcW w:w="0" w:type="auto"/>
            <w:shd w:val="clear" w:color="auto" w:fill="auto"/>
            <w:noWrap/>
            <w:vAlign w:val="bottom"/>
            <w:hideMark/>
          </w:tcPr>
          <w:p w14:paraId="74FE80C6"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10462.13</w:t>
            </w:r>
          </w:p>
        </w:tc>
        <w:tc>
          <w:tcPr>
            <w:tcW w:w="0" w:type="auto"/>
            <w:shd w:val="clear" w:color="auto" w:fill="auto"/>
            <w:noWrap/>
            <w:vAlign w:val="bottom"/>
            <w:hideMark/>
          </w:tcPr>
          <w:p w14:paraId="629F253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1531.17</w:t>
            </w:r>
          </w:p>
        </w:tc>
        <w:tc>
          <w:tcPr>
            <w:tcW w:w="0" w:type="auto"/>
            <w:shd w:val="clear" w:color="auto" w:fill="auto"/>
            <w:noWrap/>
            <w:vAlign w:val="bottom"/>
            <w:hideMark/>
          </w:tcPr>
          <w:p w14:paraId="0E64720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8600.4</w:t>
            </w:r>
          </w:p>
        </w:tc>
        <w:tc>
          <w:tcPr>
            <w:tcW w:w="0" w:type="auto"/>
            <w:shd w:val="clear" w:color="auto" w:fill="auto"/>
            <w:noWrap/>
            <w:vAlign w:val="bottom"/>
            <w:hideMark/>
          </w:tcPr>
          <w:p w14:paraId="3E761F8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259.56</w:t>
            </w:r>
          </w:p>
        </w:tc>
        <w:tc>
          <w:tcPr>
            <w:tcW w:w="0" w:type="auto"/>
            <w:shd w:val="clear" w:color="auto" w:fill="auto"/>
            <w:noWrap/>
            <w:vAlign w:val="bottom"/>
            <w:hideMark/>
          </w:tcPr>
          <w:p w14:paraId="54A33F8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1637.85</w:t>
            </w:r>
          </w:p>
        </w:tc>
        <w:tc>
          <w:tcPr>
            <w:tcW w:w="0" w:type="auto"/>
            <w:shd w:val="clear" w:color="auto" w:fill="auto"/>
            <w:noWrap/>
            <w:vAlign w:val="bottom"/>
            <w:hideMark/>
          </w:tcPr>
          <w:p w14:paraId="15C7EEB7"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0.16</w:t>
            </w:r>
          </w:p>
        </w:tc>
        <w:tc>
          <w:tcPr>
            <w:tcW w:w="0" w:type="auto"/>
            <w:shd w:val="clear" w:color="auto" w:fill="auto"/>
            <w:noWrap/>
            <w:vAlign w:val="bottom"/>
            <w:hideMark/>
          </w:tcPr>
          <w:p w14:paraId="321D9475"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0.33</w:t>
            </w:r>
          </w:p>
        </w:tc>
      </w:tr>
      <w:tr w:rsidR="00274609" w:rsidRPr="00F07243" w14:paraId="3E2EDBC9" w14:textId="77777777" w:rsidTr="00465807">
        <w:trPr>
          <w:trHeight w:val="300"/>
        </w:trPr>
        <w:tc>
          <w:tcPr>
            <w:tcW w:w="0" w:type="auto"/>
            <w:shd w:val="clear" w:color="auto" w:fill="auto"/>
            <w:noWrap/>
            <w:vAlign w:val="bottom"/>
            <w:hideMark/>
          </w:tcPr>
          <w:p w14:paraId="140FE56D"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Sum</w:t>
            </w:r>
          </w:p>
        </w:tc>
        <w:tc>
          <w:tcPr>
            <w:tcW w:w="0" w:type="auto"/>
            <w:shd w:val="clear" w:color="auto" w:fill="auto"/>
            <w:noWrap/>
            <w:vAlign w:val="bottom"/>
            <w:hideMark/>
          </w:tcPr>
          <w:p w14:paraId="40E14D55"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5435.47</w:t>
            </w:r>
          </w:p>
        </w:tc>
        <w:tc>
          <w:tcPr>
            <w:tcW w:w="0" w:type="auto"/>
            <w:shd w:val="clear" w:color="auto" w:fill="auto"/>
            <w:noWrap/>
            <w:vAlign w:val="bottom"/>
            <w:hideMark/>
          </w:tcPr>
          <w:p w14:paraId="1E607B57"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23004.16</w:t>
            </w:r>
          </w:p>
        </w:tc>
        <w:tc>
          <w:tcPr>
            <w:tcW w:w="0" w:type="auto"/>
            <w:shd w:val="clear" w:color="auto" w:fill="auto"/>
            <w:noWrap/>
            <w:vAlign w:val="bottom"/>
            <w:hideMark/>
          </w:tcPr>
          <w:p w14:paraId="76687AB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4801.538</w:t>
            </w:r>
          </w:p>
        </w:tc>
        <w:tc>
          <w:tcPr>
            <w:tcW w:w="0" w:type="auto"/>
            <w:shd w:val="clear" w:color="auto" w:fill="auto"/>
            <w:noWrap/>
            <w:vAlign w:val="bottom"/>
            <w:hideMark/>
          </w:tcPr>
          <w:p w14:paraId="2137BA16"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21472.6</w:t>
            </w:r>
          </w:p>
        </w:tc>
        <w:tc>
          <w:tcPr>
            <w:tcW w:w="0" w:type="auto"/>
            <w:shd w:val="clear" w:color="auto" w:fill="auto"/>
            <w:noWrap/>
            <w:vAlign w:val="bottom"/>
            <w:hideMark/>
          </w:tcPr>
          <w:p w14:paraId="71EA931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838.86</w:t>
            </w:r>
          </w:p>
        </w:tc>
        <w:tc>
          <w:tcPr>
            <w:tcW w:w="0" w:type="auto"/>
            <w:shd w:val="clear" w:color="auto" w:fill="auto"/>
            <w:noWrap/>
            <w:vAlign w:val="bottom"/>
            <w:hideMark/>
          </w:tcPr>
          <w:p w14:paraId="4F1AB76B"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4304.13</w:t>
            </w:r>
          </w:p>
        </w:tc>
        <w:tc>
          <w:tcPr>
            <w:tcW w:w="0" w:type="auto"/>
            <w:shd w:val="clear" w:color="auto" w:fill="auto"/>
            <w:noWrap/>
            <w:vAlign w:val="bottom"/>
            <w:hideMark/>
          </w:tcPr>
          <w:p w14:paraId="4EFB75B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0.55</w:t>
            </w:r>
          </w:p>
        </w:tc>
        <w:tc>
          <w:tcPr>
            <w:tcW w:w="0" w:type="auto"/>
            <w:shd w:val="clear" w:color="auto" w:fill="auto"/>
            <w:noWrap/>
            <w:vAlign w:val="bottom"/>
            <w:hideMark/>
          </w:tcPr>
          <w:p w14:paraId="1FDEB768"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0.92</w:t>
            </w:r>
          </w:p>
        </w:tc>
      </w:tr>
      <w:tr w:rsidR="00274609" w:rsidRPr="00F07243" w14:paraId="54ADDEBE" w14:textId="77777777" w:rsidTr="00465807">
        <w:trPr>
          <w:trHeight w:val="315"/>
        </w:trPr>
        <w:tc>
          <w:tcPr>
            <w:tcW w:w="0" w:type="auto"/>
            <w:shd w:val="clear" w:color="auto" w:fill="auto"/>
            <w:noWrap/>
            <w:vAlign w:val="bottom"/>
            <w:hideMark/>
          </w:tcPr>
          <w:p w14:paraId="26B2810B" w14:textId="77777777" w:rsidR="00274609" w:rsidRPr="00F07243" w:rsidRDefault="00274609" w:rsidP="00465807">
            <w:pPr>
              <w:spacing w:after="0" w:line="240" w:lineRule="auto"/>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Count</w:t>
            </w:r>
          </w:p>
        </w:tc>
        <w:tc>
          <w:tcPr>
            <w:tcW w:w="0" w:type="auto"/>
            <w:shd w:val="clear" w:color="auto" w:fill="auto"/>
            <w:noWrap/>
            <w:vAlign w:val="bottom"/>
            <w:hideMark/>
          </w:tcPr>
          <w:p w14:paraId="290D405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c>
          <w:tcPr>
            <w:tcW w:w="0" w:type="auto"/>
            <w:shd w:val="clear" w:color="auto" w:fill="auto"/>
            <w:noWrap/>
            <w:vAlign w:val="bottom"/>
            <w:hideMark/>
          </w:tcPr>
          <w:p w14:paraId="7C6B008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c>
          <w:tcPr>
            <w:tcW w:w="0" w:type="auto"/>
            <w:shd w:val="clear" w:color="auto" w:fill="auto"/>
            <w:noWrap/>
            <w:vAlign w:val="bottom"/>
            <w:hideMark/>
          </w:tcPr>
          <w:p w14:paraId="30014072"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c>
          <w:tcPr>
            <w:tcW w:w="0" w:type="auto"/>
            <w:shd w:val="clear" w:color="auto" w:fill="auto"/>
            <w:noWrap/>
            <w:vAlign w:val="bottom"/>
            <w:hideMark/>
          </w:tcPr>
          <w:p w14:paraId="3B122ECE"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c>
          <w:tcPr>
            <w:tcW w:w="0" w:type="auto"/>
            <w:shd w:val="clear" w:color="auto" w:fill="auto"/>
            <w:noWrap/>
            <w:vAlign w:val="bottom"/>
            <w:hideMark/>
          </w:tcPr>
          <w:p w14:paraId="439A6310"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c>
          <w:tcPr>
            <w:tcW w:w="0" w:type="auto"/>
            <w:shd w:val="clear" w:color="auto" w:fill="auto"/>
            <w:noWrap/>
            <w:vAlign w:val="bottom"/>
            <w:hideMark/>
          </w:tcPr>
          <w:p w14:paraId="14D72891"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c>
          <w:tcPr>
            <w:tcW w:w="0" w:type="auto"/>
            <w:shd w:val="clear" w:color="auto" w:fill="auto"/>
            <w:noWrap/>
            <w:vAlign w:val="bottom"/>
            <w:hideMark/>
          </w:tcPr>
          <w:p w14:paraId="1D3C0EA8"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c>
          <w:tcPr>
            <w:tcW w:w="0" w:type="auto"/>
            <w:shd w:val="clear" w:color="auto" w:fill="auto"/>
            <w:noWrap/>
            <w:vAlign w:val="bottom"/>
            <w:hideMark/>
          </w:tcPr>
          <w:p w14:paraId="240AFD8D" w14:textId="77777777" w:rsidR="00274609" w:rsidRPr="00F07243" w:rsidRDefault="00274609" w:rsidP="00465807">
            <w:pPr>
              <w:spacing w:after="0" w:line="240" w:lineRule="auto"/>
              <w:jc w:val="right"/>
              <w:rPr>
                <w:rFonts w:ascii="Times New Roman" w:eastAsia="Times New Roman" w:hAnsi="Times New Roman" w:cs="Times New Roman"/>
                <w:color w:val="000000"/>
                <w:lang w:eastAsia="en-GB"/>
              </w:rPr>
            </w:pPr>
            <w:r w:rsidRPr="00F07243">
              <w:rPr>
                <w:rFonts w:ascii="Times New Roman" w:eastAsia="Times New Roman" w:hAnsi="Times New Roman" w:cs="Times New Roman"/>
                <w:color w:val="000000"/>
                <w:lang w:eastAsia="en-GB"/>
              </w:rPr>
              <w:t>4</w:t>
            </w:r>
          </w:p>
        </w:tc>
      </w:tr>
    </w:tbl>
    <w:p w14:paraId="2D46F4AB" w14:textId="424C26CC" w:rsidR="00274609" w:rsidRPr="00F07243" w:rsidRDefault="00274609" w:rsidP="00274609">
      <w:pPr>
        <w:widowControl w:val="0"/>
        <w:autoSpaceDE w:val="0"/>
        <w:autoSpaceDN w:val="0"/>
        <w:adjustRightInd w:val="0"/>
        <w:spacing w:line="240" w:lineRule="auto"/>
        <w:ind w:left="480" w:hanging="480"/>
        <w:rPr>
          <w:rFonts w:ascii="Times New Roman" w:hAnsi="Times New Roman" w:cs="Times New Roman"/>
          <w:sz w:val="24"/>
          <w:szCs w:val="24"/>
        </w:rPr>
      </w:pPr>
      <w:r w:rsidRPr="00F07243">
        <w:rPr>
          <w:rFonts w:ascii="Times New Roman" w:hAnsi="Times New Roman" w:cs="Times New Roman"/>
          <w:sz w:val="24"/>
          <w:szCs w:val="24"/>
        </w:rPr>
        <w:t xml:space="preserve">All figures are in </w:t>
      </w:r>
      <w:r w:rsidRPr="00F07243">
        <w:rPr>
          <w:rFonts w:ascii="Times New Roman" w:eastAsia="Times New Roman" w:hAnsi="Times New Roman" w:cs="Times New Roman"/>
          <w:b/>
          <w:color w:val="000000"/>
          <w:sz w:val="24"/>
          <w:szCs w:val="24"/>
          <w:lang w:eastAsia="en-GB"/>
        </w:rPr>
        <w:t xml:space="preserve">₦ billions </w:t>
      </w:r>
      <w:r w:rsidRPr="00F07243">
        <w:rPr>
          <w:rFonts w:ascii="Times New Roman" w:hAnsi="Times New Roman" w:cs="Times New Roman"/>
          <w:sz w:val="24"/>
          <w:szCs w:val="24"/>
        </w:rPr>
        <w:t>except the inflation rate</w:t>
      </w:r>
      <w:r w:rsidR="001002A7">
        <w:rPr>
          <w:rFonts w:ascii="Times New Roman" w:hAnsi="Times New Roman" w:cs="Times New Roman"/>
          <w:sz w:val="24"/>
          <w:szCs w:val="24"/>
        </w:rPr>
        <w:t>, which is in Percentage</w:t>
      </w:r>
      <w:r w:rsidR="006F08C9">
        <w:rPr>
          <w:rFonts w:ascii="Times New Roman" w:hAnsi="Times New Roman" w:cs="Times New Roman"/>
          <w:sz w:val="24"/>
          <w:szCs w:val="24"/>
        </w:rPr>
        <w:t>.</w:t>
      </w:r>
    </w:p>
    <w:p w14:paraId="16250F34" w14:textId="2EE8037D" w:rsidR="00274609" w:rsidRDefault="00274609" w:rsidP="00274609">
      <w:pPr>
        <w:widowControl w:val="0"/>
        <w:autoSpaceDE w:val="0"/>
        <w:autoSpaceDN w:val="0"/>
        <w:adjustRightInd w:val="0"/>
        <w:spacing w:line="276" w:lineRule="auto"/>
        <w:ind w:left="480" w:hanging="480"/>
        <w:rPr>
          <w:rFonts w:ascii="Times New Roman" w:hAnsi="Times New Roman" w:cs="Times New Roman"/>
          <w:b/>
          <w:i/>
          <w:sz w:val="24"/>
          <w:szCs w:val="24"/>
        </w:rPr>
      </w:pPr>
      <w:r w:rsidRPr="00A75108">
        <w:rPr>
          <w:rFonts w:ascii="Times New Roman" w:hAnsi="Times New Roman" w:cs="Times New Roman"/>
          <w:b/>
          <w:i/>
          <w:sz w:val="24"/>
          <w:szCs w:val="24"/>
        </w:rPr>
        <w:t>Source</w:t>
      </w:r>
      <w:r w:rsidRPr="00A75108">
        <w:rPr>
          <w:rFonts w:ascii="Times New Roman" w:hAnsi="Times New Roman" w:cs="Times New Roman"/>
          <w:i/>
          <w:sz w:val="24"/>
          <w:szCs w:val="24"/>
        </w:rPr>
        <w:t>: Researchers’ Self-Computation</w:t>
      </w:r>
      <w:r>
        <w:rPr>
          <w:rFonts w:ascii="Times New Roman" w:hAnsi="Times New Roman" w:cs="Times New Roman"/>
          <w:i/>
          <w:sz w:val="24"/>
          <w:szCs w:val="24"/>
        </w:rPr>
        <w:t xml:space="preserve"> (2026)</w:t>
      </w:r>
    </w:p>
    <w:p w14:paraId="15DA8E48" w14:textId="77777777" w:rsidR="00F91AF5" w:rsidRPr="00F91AF5" w:rsidRDefault="00F91AF5" w:rsidP="00F91AF5">
      <w:pPr>
        <w:rPr>
          <w:rFonts w:ascii="Times New Roman" w:hAnsi="Times New Roman" w:cs="Times New Roman"/>
          <w:sz w:val="24"/>
          <w:szCs w:val="24"/>
        </w:rPr>
      </w:pPr>
    </w:p>
    <w:p w14:paraId="6C72348F" w14:textId="1DEA9953" w:rsidR="00274609" w:rsidRDefault="00274609" w:rsidP="00274609">
      <w:pPr>
        <w:pStyle w:val="NormalWeb"/>
        <w:spacing w:line="360" w:lineRule="auto"/>
        <w:jc w:val="both"/>
      </w:pPr>
      <w:r>
        <w:lastRenderedPageBreak/>
        <w:t>Descriptive statistics for the three taxes CIT, VAT, and EDT, as well as the inflation rate INFR, in four-year periods prior to and following the introduction of TaxPro Max are shown in Table 1. From the statistics above, it is apparent that there is a significant increase in the means of all three taxes after the introduction of the new tax administration software. The mean CIT revenue increased from ₦1,358.87 billion in the period before TaxPro Max to ₦5,751.04 billion after its implementation, which amounts to a 323.3% increase in the average CIT revenue. The median increased from ₦1,307.86 billion to ₦4,946.42 billion, and the increase cannot be attributed to an outlier since the difference between the mean and median is not very large. The standard deviation, however, increased from ₦171.69 billion to ₦3,569.12 billion, meaning that the dispersion of CIT revenue is relatively greater after the implementation of TaxPro Max. Positive skewness decreased from 1.49 to 0.90, meaning that the post-implementation CIT distribution is less positively skewed than the pre-implementation CIT distribution.</w:t>
      </w:r>
      <w:r w:rsidR="00E24E21">
        <w:t xml:space="preserve"> </w:t>
      </w:r>
      <w:r>
        <w:t>Similar to CIT, the mean VAT revenue increased from ₦1,200.38 billion prior to the implementation of TaxPro Max to ₦5,368.15 billion after its implementation, which is a 347.2% increase. The median increased from ₦1,149.01 billion to ₦5,180.34 billion after the implementation of TaxPro Max. The standard deviation increased from ₦238.09 billion to ₦2,794.51 billion, and the range increased from ₦558.82 billion to ₦6,088.88 billion. There was a decrease in skewness from 1.16 to 0.24, showing a relatively symmetrical distribution.</w:t>
      </w:r>
    </w:p>
    <w:p w14:paraId="74574975" w14:textId="77777777" w:rsidR="00274609" w:rsidRDefault="00274609" w:rsidP="00274609">
      <w:pPr>
        <w:pStyle w:val="NormalWeb"/>
        <w:spacing w:line="360" w:lineRule="auto"/>
        <w:jc w:val="both"/>
      </w:pPr>
      <w:r>
        <w:t>In relation to Tertiary Education Tax, there is a similar trend. The mean value of EDT income rose from ₦209.72 billion during the pre-implementation period to ₦1,076.03 billion in the post-implementation period, an approximate 413.2% increase, which is the highest percentage increase of all three tax revenue measures. The median increased from ₦212.17 billion to ₦1,168.81 billion, while the standard deviation increased from ₦43.41 billion to ₦657.08 billion. The range also increased from ₦104.61 billion to ₦1,309.18 billion. Even though the increase in dispersion implies variability, the decrease in skewness from −0.32 to −0.30 indicates that the data are relatively evenly distributed over the two periods.</w:t>
      </w:r>
    </w:p>
    <w:p w14:paraId="53AA02EA" w14:textId="77777777" w:rsidR="00274609" w:rsidRDefault="00274609" w:rsidP="00274609">
      <w:pPr>
        <w:pStyle w:val="NormalWeb"/>
        <w:spacing w:line="360" w:lineRule="auto"/>
        <w:jc w:val="both"/>
      </w:pPr>
      <w:r>
        <w:t xml:space="preserve">In terms of the description of the inflation rates, the statistics are useful in determining how the change in tax revenues should be interpreted. The mean inflation rate rose from approximately 14% (0.14) before the TaxPro Max software to 23% (0.23) during the post-implementation period. The median also rose from 0.14 to 0.22, while the standard deviation rose from 0.02 to 0.08. This </w:t>
      </w:r>
      <w:r>
        <w:lastRenderedPageBreak/>
        <w:t>implies that inflation was higher and more variable during the post-implementation period. Since inflation affects the money income from taxes without necessarily affecting the efficiency in generating taxes, it is important to use it as a control variable in the study.</w:t>
      </w:r>
    </w:p>
    <w:p w14:paraId="3C3EBD20" w14:textId="77777777" w:rsidR="00274609" w:rsidRDefault="00274609" w:rsidP="00274609">
      <w:pPr>
        <w:pStyle w:val="NormalWeb"/>
        <w:spacing w:line="360" w:lineRule="auto"/>
        <w:jc w:val="both"/>
      </w:pPr>
      <w:r>
        <w:t xml:space="preserve">Overall, </w:t>
      </w:r>
      <w:r w:rsidRPr="009709CC">
        <w:t>results from the descriptive analysis reveal an observable increase in CIT, VAT, and EDT after the implementation of TaxPro Max. The magnitude of the increase in revenues in mean and median values in all three types of taxes serves as preliminary evidence of better revenue performance after the implementation of the software. However, in conjunction with the increase in the value of the inflation rate and higher dispersion of revenues post-implementation, it cannot be said that the increase is solely caused by the digital tax reform based on the results of the descriptive analysis. Thus, it becomes essential to conduct an inferential analysis to determine the statistical significance of the difference between pre- and post-implementation data.</w:t>
      </w:r>
    </w:p>
    <w:p w14:paraId="4DEA409A" w14:textId="77777777" w:rsidR="00274609" w:rsidRDefault="00274609" w:rsidP="00274609">
      <w:pPr>
        <w:widowControl w:val="0"/>
        <w:autoSpaceDE w:val="0"/>
        <w:autoSpaceDN w:val="0"/>
        <w:adjustRightInd w:val="0"/>
        <w:spacing w:line="360" w:lineRule="auto"/>
        <w:jc w:val="both"/>
        <w:rPr>
          <w:rFonts w:ascii="Times New Roman" w:hAnsi="Times New Roman" w:cs="Times New Roman"/>
          <w:sz w:val="24"/>
          <w:szCs w:val="24"/>
        </w:rPr>
      </w:pPr>
      <w:r w:rsidRPr="00BF7332">
        <w:rPr>
          <w:rFonts w:ascii="Times New Roman" w:hAnsi="Times New Roman" w:cs="Times New Roman"/>
          <w:sz w:val="24"/>
          <w:szCs w:val="24"/>
        </w:rPr>
        <w:t>Therefore, in line with the descriptive statistics, even though it offers preliminary evidence in favo</w:t>
      </w:r>
      <w:r>
        <w:rPr>
          <w:rFonts w:ascii="Times New Roman" w:hAnsi="Times New Roman" w:cs="Times New Roman"/>
          <w:sz w:val="24"/>
          <w:szCs w:val="24"/>
        </w:rPr>
        <w:t>u</w:t>
      </w:r>
      <w:r w:rsidRPr="00BF7332">
        <w:rPr>
          <w:rFonts w:ascii="Times New Roman" w:hAnsi="Times New Roman" w:cs="Times New Roman"/>
          <w:sz w:val="24"/>
          <w:szCs w:val="24"/>
        </w:rPr>
        <w:t xml:space="preserve">r of the positive association between E-Taxation and revenue generation, it is necessary to subject it to statistical inference via the application of the paired sample t-test </w:t>
      </w:r>
      <w:r>
        <w:rPr>
          <w:rFonts w:ascii="Times New Roman" w:hAnsi="Times New Roman" w:cs="Times New Roman"/>
          <w:sz w:val="24"/>
          <w:szCs w:val="24"/>
        </w:rPr>
        <w:t>to</w:t>
      </w:r>
      <w:r w:rsidRPr="00BF7332">
        <w:rPr>
          <w:rFonts w:ascii="Times New Roman" w:hAnsi="Times New Roman" w:cs="Times New Roman"/>
          <w:sz w:val="24"/>
          <w:szCs w:val="24"/>
        </w:rPr>
        <w:t xml:space="preserve"> assess whether the differences are statistically significant and not due to any random fluctuations in the economy.</w:t>
      </w:r>
    </w:p>
    <w:p w14:paraId="2EBD34D4" w14:textId="70056699" w:rsidR="00274609" w:rsidRPr="00BF7332" w:rsidRDefault="00465807" w:rsidP="00274609">
      <w:pPr>
        <w:widowControl w:val="0"/>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IV</w:t>
      </w:r>
      <w:r w:rsidR="00274609">
        <w:rPr>
          <w:rFonts w:ascii="Times New Roman" w:hAnsi="Times New Roman" w:cs="Times New Roman"/>
          <w:b/>
          <w:sz w:val="24"/>
          <w:szCs w:val="24"/>
        </w:rPr>
        <w:t>.</w:t>
      </w:r>
      <w:r>
        <w:rPr>
          <w:rFonts w:ascii="Times New Roman" w:hAnsi="Times New Roman" w:cs="Times New Roman"/>
          <w:b/>
          <w:sz w:val="24"/>
          <w:szCs w:val="24"/>
        </w:rPr>
        <w:t>I.III.</w:t>
      </w:r>
      <w:r w:rsidR="00274609">
        <w:rPr>
          <w:rFonts w:ascii="Times New Roman" w:hAnsi="Times New Roman" w:cs="Times New Roman"/>
          <w:b/>
          <w:sz w:val="24"/>
          <w:szCs w:val="24"/>
        </w:rPr>
        <w:t xml:space="preserve"> </w:t>
      </w:r>
      <w:r w:rsidR="00274609" w:rsidRPr="00BF7332">
        <w:rPr>
          <w:rFonts w:ascii="Times New Roman" w:hAnsi="Times New Roman" w:cs="Times New Roman"/>
          <w:b/>
          <w:sz w:val="24"/>
          <w:szCs w:val="24"/>
        </w:rPr>
        <w:t xml:space="preserve">Hypotheses Testing </w:t>
      </w:r>
    </w:p>
    <w:p w14:paraId="2BA07D89" w14:textId="77777777" w:rsidR="00274609" w:rsidRDefault="00274609" w:rsidP="00274609">
      <w:pPr>
        <w:widowControl w:val="0"/>
        <w:autoSpaceDE w:val="0"/>
        <w:autoSpaceDN w:val="0"/>
        <w:adjustRightInd w:val="0"/>
        <w:spacing w:after="0" w:line="276" w:lineRule="auto"/>
        <w:ind w:left="480" w:hanging="480"/>
        <w:rPr>
          <w:rFonts w:ascii="Times New Roman" w:hAnsi="Times New Roman" w:cs="Times New Roman"/>
          <w:sz w:val="24"/>
          <w:szCs w:val="24"/>
        </w:rPr>
      </w:pPr>
      <w:r w:rsidRPr="00356BE4">
        <w:rPr>
          <w:rFonts w:ascii="Times New Roman" w:hAnsi="Times New Roman" w:cs="Times New Roman"/>
          <w:b/>
          <w:sz w:val="24"/>
          <w:szCs w:val="24"/>
        </w:rPr>
        <w:t>Table 2:</w:t>
      </w:r>
      <w:r>
        <w:rPr>
          <w:rFonts w:ascii="Times New Roman" w:hAnsi="Times New Roman" w:cs="Times New Roman"/>
          <w:sz w:val="24"/>
          <w:szCs w:val="24"/>
        </w:rPr>
        <w:t xml:space="preserve"> T-test of Significant Mean Difference (Paired Two Sample for Means)</w:t>
      </w:r>
    </w:p>
    <w:tbl>
      <w:tblPr>
        <w:tblStyle w:val="TableGrid"/>
        <w:tblW w:w="5000" w:type="pct"/>
        <w:tblLayout w:type="fixed"/>
        <w:tblLook w:val="04A0" w:firstRow="1" w:lastRow="0" w:firstColumn="1" w:lastColumn="0" w:noHBand="0" w:noVBand="1"/>
      </w:tblPr>
      <w:tblGrid>
        <w:gridCol w:w="1760"/>
        <w:gridCol w:w="2646"/>
        <w:gridCol w:w="735"/>
        <w:gridCol w:w="1322"/>
        <w:gridCol w:w="1763"/>
        <w:gridCol w:w="1124"/>
      </w:tblGrid>
      <w:tr w:rsidR="00274609" w14:paraId="25A388D5" w14:textId="77777777" w:rsidTr="00465807">
        <w:tc>
          <w:tcPr>
            <w:tcW w:w="941" w:type="pct"/>
          </w:tcPr>
          <w:p w14:paraId="46FCC66A" w14:textId="77777777" w:rsidR="00274609" w:rsidRPr="00A13F31" w:rsidRDefault="00274609" w:rsidP="00465807">
            <w:pPr>
              <w:widowControl w:val="0"/>
              <w:autoSpaceDE w:val="0"/>
              <w:autoSpaceDN w:val="0"/>
              <w:adjustRightInd w:val="0"/>
              <w:spacing w:line="276" w:lineRule="auto"/>
              <w:rPr>
                <w:rFonts w:ascii="Times New Roman" w:hAnsi="Times New Roman" w:cs="Times New Roman"/>
                <w:b/>
                <w:sz w:val="24"/>
                <w:szCs w:val="24"/>
              </w:rPr>
            </w:pPr>
            <w:r w:rsidRPr="00A13F31">
              <w:rPr>
                <w:rFonts w:ascii="Times New Roman" w:hAnsi="Times New Roman" w:cs="Times New Roman"/>
                <w:b/>
                <w:sz w:val="24"/>
                <w:szCs w:val="24"/>
              </w:rPr>
              <w:t>Hypothesis</w:t>
            </w:r>
          </w:p>
        </w:tc>
        <w:tc>
          <w:tcPr>
            <w:tcW w:w="1415" w:type="pct"/>
          </w:tcPr>
          <w:p w14:paraId="6A549B95" w14:textId="77777777" w:rsidR="00274609" w:rsidRPr="00A13F31" w:rsidRDefault="00274609" w:rsidP="00465807">
            <w:pPr>
              <w:widowControl w:val="0"/>
              <w:autoSpaceDE w:val="0"/>
              <w:autoSpaceDN w:val="0"/>
              <w:adjustRightInd w:val="0"/>
              <w:spacing w:line="276" w:lineRule="auto"/>
              <w:jc w:val="center"/>
              <w:rPr>
                <w:rFonts w:ascii="Times New Roman" w:hAnsi="Times New Roman" w:cs="Times New Roman"/>
                <w:b/>
                <w:sz w:val="24"/>
                <w:szCs w:val="24"/>
              </w:rPr>
            </w:pPr>
            <w:r>
              <w:rPr>
                <w:rFonts w:ascii="Times New Roman" w:hAnsi="Times New Roman" w:cs="Times New Roman"/>
                <w:b/>
                <w:sz w:val="24"/>
                <w:szCs w:val="24"/>
              </w:rPr>
              <w:t>Variables</w:t>
            </w:r>
          </w:p>
        </w:tc>
        <w:tc>
          <w:tcPr>
            <w:tcW w:w="393" w:type="pct"/>
          </w:tcPr>
          <w:p w14:paraId="4AE1A37B" w14:textId="77777777" w:rsidR="00274609" w:rsidRPr="00A13F31" w:rsidRDefault="00274609" w:rsidP="00465807">
            <w:pPr>
              <w:widowControl w:val="0"/>
              <w:autoSpaceDE w:val="0"/>
              <w:autoSpaceDN w:val="0"/>
              <w:adjustRightInd w:val="0"/>
              <w:spacing w:line="276" w:lineRule="auto"/>
              <w:jc w:val="center"/>
              <w:rPr>
                <w:rFonts w:ascii="Times New Roman" w:hAnsi="Times New Roman" w:cs="Times New Roman"/>
                <w:b/>
                <w:sz w:val="24"/>
                <w:szCs w:val="24"/>
              </w:rPr>
            </w:pPr>
            <w:r w:rsidRPr="00A13F31">
              <w:rPr>
                <w:rFonts w:ascii="Times New Roman" w:hAnsi="Times New Roman" w:cs="Times New Roman"/>
                <w:b/>
                <w:sz w:val="24"/>
                <w:szCs w:val="24"/>
              </w:rPr>
              <w:t>d.f</w:t>
            </w:r>
          </w:p>
        </w:tc>
        <w:tc>
          <w:tcPr>
            <w:tcW w:w="707" w:type="pct"/>
          </w:tcPr>
          <w:p w14:paraId="4D49854B" w14:textId="77777777" w:rsidR="00274609" w:rsidRPr="00A13F31" w:rsidRDefault="00274609" w:rsidP="00465807">
            <w:pPr>
              <w:widowControl w:val="0"/>
              <w:autoSpaceDE w:val="0"/>
              <w:autoSpaceDN w:val="0"/>
              <w:adjustRightInd w:val="0"/>
              <w:spacing w:line="276" w:lineRule="auto"/>
              <w:jc w:val="center"/>
              <w:rPr>
                <w:rFonts w:ascii="Times New Roman" w:hAnsi="Times New Roman" w:cs="Times New Roman"/>
                <w:b/>
                <w:sz w:val="24"/>
                <w:szCs w:val="24"/>
              </w:rPr>
            </w:pPr>
            <w:r w:rsidRPr="00A13F31">
              <w:rPr>
                <w:rFonts w:ascii="Times New Roman" w:hAnsi="Times New Roman" w:cs="Times New Roman"/>
                <w:b/>
                <w:sz w:val="24"/>
                <w:szCs w:val="24"/>
              </w:rPr>
              <w:t>t-statistic</w:t>
            </w:r>
          </w:p>
        </w:tc>
        <w:tc>
          <w:tcPr>
            <w:tcW w:w="943" w:type="pct"/>
          </w:tcPr>
          <w:p w14:paraId="188B5F65" w14:textId="77777777" w:rsidR="00274609" w:rsidRDefault="00A67EC2" w:rsidP="00465807">
            <w:pPr>
              <w:widowControl w:val="0"/>
              <w:autoSpaceDE w:val="0"/>
              <w:autoSpaceDN w:val="0"/>
              <w:adjustRightInd w:val="0"/>
              <w:spacing w:line="276" w:lineRule="auto"/>
              <w:jc w:val="center"/>
              <w:rPr>
                <w:rFonts w:ascii="Times New Roman" w:hAnsi="Times New Roman" w:cs="Times New Roman"/>
                <w:b/>
                <w:sz w:val="24"/>
                <w:szCs w:val="24"/>
              </w:rPr>
            </w:pPr>
            <m:oMathPara>
              <m:oMath>
                <m:d>
                  <m:dPr>
                    <m:begChr m:val="|"/>
                    <m:endChr m:val="|"/>
                    <m:ctrlPr>
                      <w:rPr>
                        <w:rFonts w:eastAsiaTheme="minorHAnsi" w:cs="Times New Roman"/>
                        <w:b/>
                        <w:i/>
                        <w:sz w:val="24"/>
                        <w:szCs w:val="24"/>
                        <w:lang w:eastAsia="en-US"/>
                      </w:rPr>
                    </m:ctrlPr>
                  </m:dPr>
                  <m:e>
                    <m:r>
                      <m:rPr>
                        <m:sty m:val="b"/>
                      </m:rPr>
                      <w:rPr>
                        <w:rFonts w:cs="Times New Roman"/>
                        <w:sz w:val="24"/>
                        <w:szCs w:val="24"/>
                      </w:rPr>
                      <m:t>t-statistic</m:t>
                    </m:r>
                  </m:e>
                </m:d>
              </m:oMath>
            </m:oMathPara>
          </w:p>
        </w:tc>
        <w:tc>
          <w:tcPr>
            <w:tcW w:w="601" w:type="pct"/>
          </w:tcPr>
          <w:p w14:paraId="35D774AB" w14:textId="77777777" w:rsidR="00274609" w:rsidRPr="00A13F31" w:rsidRDefault="00274609" w:rsidP="00465807">
            <w:pPr>
              <w:widowControl w:val="0"/>
              <w:autoSpaceDE w:val="0"/>
              <w:autoSpaceDN w:val="0"/>
              <w:adjustRightInd w:val="0"/>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p-value </w:t>
            </w:r>
          </w:p>
        </w:tc>
      </w:tr>
      <w:tr w:rsidR="00274609" w14:paraId="0E1CFA2A" w14:textId="77777777" w:rsidTr="00465807">
        <w:tc>
          <w:tcPr>
            <w:tcW w:w="941" w:type="pct"/>
          </w:tcPr>
          <w:p w14:paraId="0DC51C83" w14:textId="77777777" w:rsidR="00274609" w:rsidRDefault="00274609" w:rsidP="00465807">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H</w:t>
            </w:r>
            <w:r w:rsidRPr="00162566">
              <w:rPr>
                <w:rFonts w:ascii="Times New Roman" w:hAnsi="Times New Roman" w:cs="Times New Roman"/>
                <w:sz w:val="24"/>
                <w:szCs w:val="24"/>
                <w:vertAlign w:val="subscript"/>
              </w:rPr>
              <w:t>01</w:t>
            </w:r>
          </w:p>
        </w:tc>
        <w:tc>
          <w:tcPr>
            <w:tcW w:w="1415" w:type="pct"/>
          </w:tcPr>
          <w:p w14:paraId="5DE38BDB" w14:textId="77777777" w:rsidR="00274609" w:rsidRPr="005014C1" w:rsidRDefault="00274609" w:rsidP="00465807">
            <w:pPr>
              <w:widowControl w:val="0"/>
              <w:autoSpaceDE w:val="0"/>
              <w:autoSpaceDN w:val="0"/>
              <w:adjustRightInd w:val="0"/>
              <w:spacing w:line="276" w:lineRule="auto"/>
              <w:rPr>
                <w:rFonts w:ascii="Times New Roman" w:hAnsi="Times New Roman" w:cs="Times New Roman"/>
                <w:sz w:val="24"/>
                <w:szCs w:val="24"/>
                <w:vertAlign w:val="subscript"/>
              </w:rPr>
            </w:pPr>
            <w:proofErr w:type="spellStart"/>
            <w:r>
              <w:rPr>
                <w:rFonts w:ascii="Times New Roman" w:hAnsi="Times New Roman" w:cs="Times New Roman"/>
                <w:sz w:val="24"/>
                <w:szCs w:val="24"/>
              </w:rPr>
              <w:t>CIT</w:t>
            </w:r>
            <w:r>
              <w:rPr>
                <w:rFonts w:ascii="Times New Roman" w:hAnsi="Times New Roman" w:cs="Times New Roman"/>
                <w:sz w:val="24"/>
                <w:szCs w:val="24"/>
                <w:vertAlign w:val="subscript"/>
              </w:rPr>
              <w:t>pre</w:t>
            </w:r>
            <w:proofErr w:type="spellEnd"/>
            <w:r>
              <w:rPr>
                <w:rFonts w:ascii="Times New Roman" w:hAnsi="Times New Roman" w:cs="Times New Roman"/>
                <w:sz w:val="24"/>
                <w:szCs w:val="24"/>
                <w:vertAlign w:val="subscript"/>
              </w:rPr>
              <w:t xml:space="preserve"> </w:t>
            </w:r>
            <w:r w:rsidRPr="005014C1">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r>
              <w:rPr>
                <w:rFonts w:ascii="Times New Roman" w:hAnsi="Times New Roman" w:cs="Times New Roman"/>
                <w:sz w:val="24"/>
                <w:szCs w:val="24"/>
                <w:vertAlign w:val="subscript"/>
              </w:rPr>
              <w:t>post</w:t>
            </w:r>
            <w:proofErr w:type="spellEnd"/>
          </w:p>
        </w:tc>
        <w:tc>
          <w:tcPr>
            <w:tcW w:w="393" w:type="pct"/>
          </w:tcPr>
          <w:p w14:paraId="7D792839"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pct"/>
          </w:tcPr>
          <w:p w14:paraId="2C09007B"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-2.477</w:t>
            </w:r>
          </w:p>
        </w:tc>
        <w:tc>
          <w:tcPr>
            <w:tcW w:w="943" w:type="pct"/>
          </w:tcPr>
          <w:p w14:paraId="70642634"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2.477</w:t>
            </w:r>
          </w:p>
        </w:tc>
        <w:tc>
          <w:tcPr>
            <w:tcW w:w="601" w:type="pct"/>
          </w:tcPr>
          <w:p w14:paraId="4D1A8995"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0.0447</w:t>
            </w:r>
          </w:p>
        </w:tc>
      </w:tr>
      <w:tr w:rsidR="00274609" w14:paraId="4B2B7C71" w14:textId="77777777" w:rsidTr="00465807">
        <w:tc>
          <w:tcPr>
            <w:tcW w:w="941" w:type="pct"/>
          </w:tcPr>
          <w:p w14:paraId="08B5D95B" w14:textId="77777777" w:rsidR="00274609" w:rsidRDefault="00274609" w:rsidP="00465807">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H</w:t>
            </w:r>
            <w:r w:rsidRPr="00162566">
              <w:rPr>
                <w:rFonts w:ascii="Times New Roman" w:hAnsi="Times New Roman" w:cs="Times New Roman"/>
                <w:sz w:val="24"/>
                <w:szCs w:val="24"/>
                <w:vertAlign w:val="subscript"/>
              </w:rPr>
              <w:t>02</w:t>
            </w:r>
          </w:p>
        </w:tc>
        <w:tc>
          <w:tcPr>
            <w:tcW w:w="1415" w:type="pct"/>
          </w:tcPr>
          <w:p w14:paraId="43601F19" w14:textId="77777777" w:rsidR="00274609" w:rsidRPr="005014C1" w:rsidRDefault="00274609" w:rsidP="00465807">
            <w:pPr>
              <w:widowControl w:val="0"/>
              <w:autoSpaceDE w:val="0"/>
              <w:autoSpaceDN w:val="0"/>
              <w:adjustRightInd w:val="0"/>
              <w:spacing w:line="276" w:lineRule="auto"/>
              <w:rPr>
                <w:rFonts w:ascii="Times New Roman" w:hAnsi="Times New Roman" w:cs="Times New Roman"/>
                <w:sz w:val="24"/>
                <w:szCs w:val="24"/>
                <w:vertAlign w:val="subscript"/>
              </w:rPr>
            </w:pPr>
            <w:proofErr w:type="spellStart"/>
            <w:r>
              <w:rPr>
                <w:rFonts w:ascii="Times New Roman" w:hAnsi="Times New Roman" w:cs="Times New Roman"/>
                <w:sz w:val="24"/>
                <w:szCs w:val="24"/>
              </w:rPr>
              <w:t>VAT</w:t>
            </w:r>
            <w:r>
              <w:rPr>
                <w:rFonts w:ascii="Times New Roman" w:hAnsi="Times New Roman" w:cs="Times New Roman"/>
                <w:sz w:val="24"/>
                <w:szCs w:val="24"/>
                <w:vertAlign w:val="subscript"/>
              </w:rPr>
              <w:t>pre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VAT</w:t>
            </w:r>
            <w:r>
              <w:rPr>
                <w:rFonts w:ascii="Times New Roman" w:hAnsi="Times New Roman" w:cs="Times New Roman"/>
                <w:sz w:val="24"/>
                <w:szCs w:val="24"/>
                <w:vertAlign w:val="subscript"/>
              </w:rPr>
              <w:t>post</w:t>
            </w:r>
            <w:proofErr w:type="spellEnd"/>
          </w:p>
        </w:tc>
        <w:tc>
          <w:tcPr>
            <w:tcW w:w="393" w:type="pct"/>
          </w:tcPr>
          <w:p w14:paraId="5995CDE9"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pct"/>
          </w:tcPr>
          <w:p w14:paraId="63093697"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-3.239</w:t>
            </w:r>
          </w:p>
        </w:tc>
        <w:tc>
          <w:tcPr>
            <w:tcW w:w="943" w:type="pct"/>
          </w:tcPr>
          <w:p w14:paraId="73801B9D"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3.239</w:t>
            </w:r>
          </w:p>
        </w:tc>
        <w:tc>
          <w:tcPr>
            <w:tcW w:w="601" w:type="pct"/>
          </w:tcPr>
          <w:p w14:paraId="14B0514C"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0.0239</w:t>
            </w:r>
          </w:p>
        </w:tc>
      </w:tr>
      <w:tr w:rsidR="00274609" w14:paraId="1B05E722" w14:textId="77777777" w:rsidTr="00465807">
        <w:tc>
          <w:tcPr>
            <w:tcW w:w="941" w:type="pct"/>
          </w:tcPr>
          <w:p w14:paraId="5E51DEDB" w14:textId="77777777" w:rsidR="00274609" w:rsidRDefault="00274609" w:rsidP="00465807">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H</w:t>
            </w:r>
            <w:r w:rsidRPr="00162566">
              <w:rPr>
                <w:rFonts w:ascii="Times New Roman" w:hAnsi="Times New Roman" w:cs="Times New Roman"/>
                <w:sz w:val="24"/>
                <w:szCs w:val="24"/>
                <w:vertAlign w:val="subscript"/>
              </w:rPr>
              <w:t>03</w:t>
            </w:r>
          </w:p>
        </w:tc>
        <w:tc>
          <w:tcPr>
            <w:tcW w:w="1415" w:type="pct"/>
          </w:tcPr>
          <w:p w14:paraId="05DF4F4E" w14:textId="77777777" w:rsidR="00274609" w:rsidRPr="005014C1" w:rsidRDefault="00274609" w:rsidP="00465807">
            <w:pPr>
              <w:widowControl w:val="0"/>
              <w:autoSpaceDE w:val="0"/>
              <w:autoSpaceDN w:val="0"/>
              <w:adjustRightInd w:val="0"/>
              <w:spacing w:line="276" w:lineRule="auto"/>
              <w:rPr>
                <w:rFonts w:ascii="Times New Roman" w:hAnsi="Times New Roman" w:cs="Times New Roman"/>
                <w:sz w:val="24"/>
                <w:szCs w:val="24"/>
                <w:vertAlign w:val="subscript"/>
              </w:rPr>
            </w:pPr>
            <w:proofErr w:type="spellStart"/>
            <w:r>
              <w:rPr>
                <w:rFonts w:ascii="Times New Roman" w:hAnsi="Times New Roman" w:cs="Times New Roman"/>
                <w:sz w:val="24"/>
                <w:szCs w:val="24"/>
              </w:rPr>
              <w:t>EDT</w:t>
            </w:r>
            <w:r>
              <w:rPr>
                <w:rFonts w:ascii="Times New Roman" w:hAnsi="Times New Roman" w:cs="Times New Roman"/>
                <w:sz w:val="24"/>
                <w:szCs w:val="24"/>
                <w:vertAlign w:val="subscript"/>
              </w:rPr>
              <w:t>pre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EDT</w:t>
            </w:r>
            <w:r>
              <w:rPr>
                <w:rFonts w:ascii="Times New Roman" w:hAnsi="Times New Roman" w:cs="Times New Roman"/>
                <w:sz w:val="24"/>
                <w:szCs w:val="24"/>
                <w:vertAlign w:val="subscript"/>
              </w:rPr>
              <w:t>post</w:t>
            </w:r>
            <w:proofErr w:type="spellEnd"/>
          </w:p>
        </w:tc>
        <w:tc>
          <w:tcPr>
            <w:tcW w:w="393" w:type="pct"/>
          </w:tcPr>
          <w:p w14:paraId="62F20B59"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pct"/>
          </w:tcPr>
          <w:p w14:paraId="7AAA2F05"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-2.801</w:t>
            </w:r>
          </w:p>
        </w:tc>
        <w:tc>
          <w:tcPr>
            <w:tcW w:w="943" w:type="pct"/>
          </w:tcPr>
          <w:p w14:paraId="6DDABCEA"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2.801</w:t>
            </w:r>
          </w:p>
        </w:tc>
        <w:tc>
          <w:tcPr>
            <w:tcW w:w="601" w:type="pct"/>
          </w:tcPr>
          <w:p w14:paraId="7B8E3EA3" w14:textId="77777777" w:rsidR="00274609" w:rsidRDefault="00274609" w:rsidP="0046580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0.0339</w:t>
            </w:r>
          </w:p>
        </w:tc>
      </w:tr>
    </w:tbl>
    <w:p w14:paraId="4C80B6D4" w14:textId="77777777" w:rsidR="00274609" w:rsidRPr="000408F4" w:rsidRDefault="00274609" w:rsidP="00274609">
      <w:pPr>
        <w:widowControl w:val="0"/>
        <w:autoSpaceDE w:val="0"/>
        <w:autoSpaceDN w:val="0"/>
        <w:adjustRightInd w:val="0"/>
        <w:spacing w:line="276" w:lineRule="auto"/>
        <w:ind w:left="480" w:hanging="480"/>
        <w:rPr>
          <w:rFonts w:ascii="Times New Roman" w:hAnsi="Times New Roman" w:cs="Times New Roman"/>
          <w:sz w:val="24"/>
          <w:szCs w:val="24"/>
        </w:rPr>
      </w:pPr>
      <w:r w:rsidRPr="00BF7332">
        <w:rPr>
          <w:rFonts w:ascii="Times New Roman" w:hAnsi="Times New Roman" w:cs="Times New Roman"/>
          <w:b/>
          <w:sz w:val="24"/>
          <w:szCs w:val="24"/>
        </w:rPr>
        <w:t>Source</w:t>
      </w:r>
      <w:r>
        <w:rPr>
          <w:rFonts w:ascii="Times New Roman" w:hAnsi="Times New Roman" w:cs="Times New Roman"/>
          <w:sz w:val="24"/>
          <w:szCs w:val="24"/>
        </w:rPr>
        <w:t xml:space="preserve">: </w:t>
      </w:r>
      <w:r w:rsidRPr="00BF7332">
        <w:rPr>
          <w:rFonts w:ascii="Times New Roman" w:hAnsi="Times New Roman" w:cs="Times New Roman"/>
          <w:i/>
          <w:sz w:val="24"/>
          <w:szCs w:val="24"/>
        </w:rPr>
        <w:t>Researchers’ Self-Computation</w:t>
      </w:r>
      <w:r>
        <w:rPr>
          <w:rFonts w:ascii="Times New Roman" w:hAnsi="Times New Roman" w:cs="Times New Roman"/>
          <w:i/>
          <w:sz w:val="24"/>
          <w:szCs w:val="24"/>
        </w:rPr>
        <w:t xml:space="preserve"> (2026)</w:t>
      </w:r>
    </w:p>
    <w:p w14:paraId="2C25A735" w14:textId="77777777" w:rsidR="00111F0D" w:rsidRDefault="00274609" w:rsidP="00274609">
      <w:pPr>
        <w:pStyle w:val="NormalWeb"/>
        <w:spacing w:line="360" w:lineRule="auto"/>
        <w:jc w:val="both"/>
      </w:pPr>
      <w:r>
        <w:t xml:space="preserve">Table 2 presents the results of the paired-sample t-tests that were run to establish whether there are any statistically significant differences in tax revenues pre- and post-implementation of TaxPro Max. </w:t>
      </w:r>
    </w:p>
    <w:p w14:paraId="00F2B4B1" w14:textId="2A94DE6C" w:rsidR="00274609" w:rsidRDefault="00274609" w:rsidP="00274609">
      <w:pPr>
        <w:pStyle w:val="NormalWeb"/>
        <w:spacing w:line="360" w:lineRule="auto"/>
        <w:jc w:val="both"/>
      </w:pPr>
      <w:r>
        <w:t>In the case of Corporate Income Tax (CIT), the paired-sample t-test produced a t-statistic of −2.477 and 3 degrees of freedom, with a p-value of 0.0447. As the p-value is lower than the significance level of 0.05, H</w:t>
      </w:r>
      <w:r w:rsidRPr="00A66C55">
        <w:rPr>
          <w:vertAlign w:val="subscript"/>
        </w:rPr>
        <w:t>0</w:t>
      </w:r>
      <w:r>
        <w:t xml:space="preserve">1, which states that there is no difference in CIT revenue between the pre- and post-implementation period, is rejected. Therefore, the difference in CIT revenue between the pre- </w:t>
      </w:r>
      <w:r>
        <w:lastRenderedPageBreak/>
        <w:t>and post-implementation period is statistically significant. Considering the significantly higher post-implementation mean CIT revenue compared to the pre-implementation one, it can be concluded that there was a positive change in CIT revenue post-introduction of E-Taxation.</w:t>
      </w:r>
    </w:p>
    <w:p w14:paraId="04426DBF" w14:textId="7C64262B" w:rsidR="00274609" w:rsidRDefault="00274609" w:rsidP="00274609">
      <w:pPr>
        <w:pStyle w:val="NormalWeb"/>
        <w:spacing w:line="360" w:lineRule="auto"/>
        <w:jc w:val="both"/>
      </w:pPr>
      <w:r>
        <w:t>Regarding Value Added Tax (VAT), the paired sample t-test resulted in a t-statistic of −3.239 and 3 degrees of freedom, with a p-value of 0.0239. The p-value is lower than the significance level of 5%; therefore, H</w:t>
      </w:r>
      <w:r w:rsidRPr="00A53A8E">
        <w:rPr>
          <w:vertAlign w:val="subscript"/>
        </w:rPr>
        <w:t>02</w:t>
      </w:r>
      <w:r>
        <w:t xml:space="preserve"> is rejected. Thus, there is a statistically significant difference in VAT revenue between the pre- and post-implementation periods. It should be noted that the negative t-statistic is explained by the fact that the calculated paired difference is calculated from pre-implementation revenue </w:t>
      </w:r>
      <w:r w:rsidR="00180D34">
        <w:t>minus</w:t>
      </w:r>
      <w:r>
        <w:t xml:space="preserve"> post-implementation revenue. Given the higher mean of VAT revenue post-implementation, it can be said that there was a positive change in VAT revenue post-implementation of E-Taxation.</w:t>
      </w:r>
      <w:r w:rsidR="00180D34">
        <w:t xml:space="preserve"> </w:t>
      </w:r>
      <w:r>
        <w:t>Similarly, the test statistic for Tertiary Education Tax (EDT) also shows a statistically significant difference between the two periods. The computed t-statistic value is −2.801, with 3 degrees of freedom and a p-value of 0.0339. Since the p-value is below 0.05, H</w:t>
      </w:r>
      <w:r w:rsidRPr="00CE56E6">
        <w:rPr>
          <w:vertAlign w:val="subscript"/>
        </w:rPr>
        <w:t>0</w:t>
      </w:r>
      <w:r>
        <w:t>3 is rejected. Hence, there is a significant difference in EDT revenue between the two periods. The significantly higher post-implementation mean is indicative of the fact that the difference in values represents an increase in EDT revenue due to the use of TaxPro Max.</w:t>
      </w:r>
    </w:p>
    <w:p w14:paraId="4A5E07C1" w14:textId="599E6EDE" w:rsidR="00180D34" w:rsidRDefault="00180D34" w:rsidP="00180D34">
      <w:pPr>
        <w:widowControl w:val="0"/>
        <w:autoSpaceDE w:val="0"/>
        <w:autoSpaceDN w:val="0"/>
        <w:adjustRightInd w:val="0"/>
        <w:spacing w:line="360" w:lineRule="auto"/>
        <w:rPr>
          <w:rFonts w:ascii="Times New Roman" w:hAnsi="Times New Roman" w:cs="Times New Roman"/>
          <w:b/>
          <w:sz w:val="24"/>
          <w:szCs w:val="24"/>
        </w:rPr>
      </w:pPr>
      <w:r w:rsidRPr="002513AE">
        <w:rPr>
          <w:rFonts w:ascii="Times New Roman" w:hAnsi="Times New Roman" w:cs="Times New Roman"/>
          <w:b/>
          <w:sz w:val="24"/>
          <w:szCs w:val="24"/>
        </w:rPr>
        <w:t>CONCLUSION AND RECOMMENDATION</w:t>
      </w:r>
      <w:r w:rsidR="00FE1E46">
        <w:rPr>
          <w:rFonts w:ascii="Times New Roman" w:hAnsi="Times New Roman" w:cs="Times New Roman"/>
          <w:b/>
          <w:sz w:val="24"/>
          <w:szCs w:val="24"/>
        </w:rPr>
        <w:t>S</w:t>
      </w:r>
      <w:bookmarkStart w:id="18" w:name="_GoBack"/>
      <w:bookmarkEnd w:id="18"/>
    </w:p>
    <w:p w14:paraId="6C1F5A5D" w14:textId="77777777" w:rsidR="006F08C9" w:rsidRDefault="00274609" w:rsidP="006F08C9">
      <w:pPr>
        <w:widowControl w:val="0"/>
        <w:autoSpaceDE w:val="0"/>
        <w:autoSpaceDN w:val="0"/>
        <w:adjustRightInd w:val="0"/>
        <w:spacing w:line="360" w:lineRule="auto"/>
        <w:jc w:val="both"/>
        <w:rPr>
          <w:rFonts w:ascii="Times New Roman" w:hAnsi="Times New Roman" w:cs="Times New Roman"/>
          <w:sz w:val="24"/>
          <w:szCs w:val="24"/>
        </w:rPr>
      </w:pPr>
      <w:r w:rsidRPr="00180D34">
        <w:rPr>
          <w:rFonts w:ascii="Times New Roman" w:hAnsi="Times New Roman" w:cs="Times New Roman"/>
          <w:sz w:val="24"/>
          <w:szCs w:val="24"/>
        </w:rPr>
        <w:t>In conclusion, the paired-samples t-test results indicate that there is a statistically significant difference in CIT, VAT, and EDT revenues between the two periods under review. All three p-values are below 0.05, leading to rejection of the null hypotheses for all three categories. This consistency across the three tax categories implies that there has been a significant improvement in tax revenues due to the implementation of TaxPro Max. Additionally, as shown in the descriptive analysis above, the inflation rate was significantly higher in the post-implementation period. Thus, the paired t-test has demonstrated a significant pre–post difference but does not show that the entire growth in nominal tax revenues was solely caused by TaxPro Max.</w:t>
      </w:r>
      <w:r w:rsidR="00180D34">
        <w:rPr>
          <w:rFonts w:ascii="Times New Roman" w:hAnsi="Times New Roman" w:cs="Times New Roman"/>
          <w:b/>
          <w:sz w:val="24"/>
          <w:szCs w:val="24"/>
        </w:rPr>
        <w:t xml:space="preserve"> </w:t>
      </w:r>
      <w:r>
        <w:rPr>
          <w:rFonts w:ascii="Times New Roman" w:hAnsi="Times New Roman" w:cs="Times New Roman"/>
          <w:sz w:val="24"/>
          <w:szCs w:val="24"/>
        </w:rPr>
        <w:t xml:space="preserve">The findings in this study agree with the findings in </w:t>
      </w:r>
      <w:r>
        <w:rPr>
          <w:rFonts w:ascii="Times New Roman" w:hAnsi="Times New Roman" w:cs="Times New Roman"/>
          <w:sz w:val="24"/>
          <w:szCs w:val="24"/>
        </w:rPr>
        <w:fldChar w:fldCharType="begin" w:fldLock="1"/>
      </w:r>
      <w:r w:rsidR="007A7D42">
        <w:rPr>
          <w:rFonts w:ascii="Times New Roman" w:hAnsi="Times New Roman" w:cs="Times New Roman"/>
          <w:sz w:val="24"/>
          <w:szCs w:val="24"/>
        </w:rPr>
        <w:instrText>ADDIN CSL_CITATION {"citationItems":[{"id":"ITEM-1","itemData":{"DOI":"https://mediterraneanpublications.com/mejhlar/article/view/260","abstract":"he purpose of governance is to make life conducive for the citizens through the provision of basic social amenities including the security of life and property. To accomplish these objectives, the government needs to raise revenue through taxation. However, the twin problems of tax evasion and tax avoidance often affect the ability of the government to generate revenue. In a determined effort to increase tax compliance such that it can raise enough revenue to execute its projects, the government adopted e-taxation as a component of its e-governance initiative in line with global best practices. This paper adopted a qualitative research method, making use of ex-post facto secondary data which involves an extensive literature review of articles, journals, periodicals, reports, and relevant tax laws. The study revealed that e-taxation is convenient and has helped reduce calculation errors on the tax returns filed by taxpayers, minimize revenue leakages and fraud, eliminate reconciliation challenges, increase the amount of revenue generated, and save time and cost for taxpayers. The study therefore recommends that tax administrators at all levels of governance should shift towards e-taxation, and embark on more citizens' enlightenment on the importance of shifting from manual taxation to electronic taxation. With increased knowledge by taxpayers, the level of tax compliance will continuously increase with a positive impact on tax revenue generated.","author":[{"dropping-particle":"","family":"E. Oloyede","given":"Funmilayo","non-dropping-particle":"","parse-names":false,"suffix":""},{"dropping-particle":"","family":"Osundina","given":"Olasunkanmi","non-dropping-particle":"","parse-names":false,"suffix":""},{"dropping-particle":"","family":"Odewusi","given":"Olorunfemi","non-dropping-particle":"","parse-names":false,"suffix":""}],"container-title":"International Journal of Humanities, Literature and Art Research","id":"ITEM-1","issue":"1","issued":{"date-parts":[["2023"]]},"page":"33-40","title":"The Impact of E-Governance on Tax Revenue Generation in Nigeria","type":"article-journal","volume":"2"},"uris":["http://www.mendeley.com/documents/?uuid=59ee8faa-c875-4528-a731-f1108241882a"]}],"mendeley":{"formattedCitation":"(E. Oloyede et al., 2023)","manualFormatting":"(Oloyede et al., 2023)","plainTextFormattedCitation":"(E. Oloyede et al., 2023)","previouslyFormattedCitation":"(E. Oloyede et al., 2023)"},"properties":{"noteIndex":0},"schema":"https://github.com/citation-style-language/schema/raw/master/csl-citation.json"}</w:instrText>
      </w:r>
      <w:r>
        <w:rPr>
          <w:rFonts w:ascii="Times New Roman" w:hAnsi="Times New Roman" w:cs="Times New Roman"/>
          <w:sz w:val="24"/>
          <w:szCs w:val="24"/>
        </w:rPr>
        <w:fldChar w:fldCharType="separate"/>
      </w:r>
      <w:r w:rsidRPr="00814481">
        <w:rPr>
          <w:rFonts w:ascii="Times New Roman" w:hAnsi="Times New Roman" w:cs="Times New Roman"/>
          <w:noProof/>
          <w:sz w:val="24"/>
          <w:szCs w:val="24"/>
        </w:rPr>
        <w:t>(Oloyede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 2635-2966","abstract":"The impact of electronic tax administration on tax compliance and the resultant effect on tax revenue has been examined. The quantitative research design was employed using existing data sourced from the Federal Inland Revenue Service (FIRS). Data were tax revenue posted seven years before and after the adoption of e-tax administration by the FIRS in 2013. Data so sourced were analyzed using descriptive statistics and pairwise t-test to ascertain if a difference exists and or relationship between pre-and post-e-tax revenue. The study found a strong connection between the electronic tax system and tax compliance (tax revenue) as shown by the pairwise test (p-value of 0.012&lt;0.05). Also, the mean tax revenue during post\u0002and pre-e-tax of (4466828.5714&gt;3051200.0000); and an average annual variation in overall tax revenue of N1.4trillion compared with pre-electronic tax period demonstrated a significant difference. With these, the study affirmed that a strong association exists between electronic taxation and tax compliance. Therefore, the service should always further work on its Information Communication Technology (ICT) architecture/infrastructure for easy access and flexibility to encourage taxpayers as well as enhancing robust tax administration. In all, security measures should be put in place regularly to prevent hackers, malicious attacks and other disasters inherent in ICT based environment.","author":[{"dropping-particle":"","family":"Oladele","given":"Rotimi","non-dropping-particle":"","parse-names":false,"suffix":""},{"dropping-particle":"","family":"Aribaba","given":"Foluso Olugbenga","non-dropping-particle":"","parse-names":false,"suffix":""},{"dropping-particle":"","family":"Adekunle","given":"Adediran Rasheed","non-dropping-particle":"","parse-names":false,"suffix":""},{"dropping-particle":"","family":"Babatunde","given":"Adebola D.","non-dropping-particle":"","parse-names":false,"suffix":""}],"container-title":"Accounting &amp; Taxation Review","id":"ITEM-1","issue":"3","issued":{"date-parts":[["2020"]]},"page":"93-101","title":"E-tax administration and tax compliance among corporate taxpayers in Nigeria","type":"article-journal","volume":"4"},"uris":["http://www.mendeley.com/documents/?uuid=ca9a39d4-9d32-401f-bab8-4cf8a99dffbf"]}],"mendeley":{"formattedCitation":"(Oladele et al., 2020)","plainTextFormattedCitation":"(Oladele et al., 2020)","previouslyFormattedCitation":"(Oladele et al., 2020)"},"properties":{"noteIndex":0},"schema":"https://github.com/citation-style-language/schema/raw/master/csl-citation.json"}</w:instrText>
      </w:r>
      <w:r>
        <w:rPr>
          <w:rFonts w:ascii="Times New Roman" w:hAnsi="Times New Roman" w:cs="Times New Roman"/>
          <w:sz w:val="24"/>
          <w:szCs w:val="24"/>
        </w:rPr>
        <w:fldChar w:fldCharType="separate"/>
      </w:r>
      <w:r w:rsidRPr="00154097">
        <w:rPr>
          <w:rFonts w:ascii="Times New Roman" w:hAnsi="Times New Roman" w:cs="Times New Roman"/>
          <w:noProof/>
          <w:sz w:val="24"/>
          <w:szCs w:val="24"/>
        </w:rPr>
        <w:t>(Oladele et al., 2020)</w:t>
      </w:r>
      <w:r>
        <w:rPr>
          <w:rFonts w:ascii="Times New Roman" w:hAnsi="Times New Roman" w:cs="Times New Roman"/>
          <w:sz w:val="24"/>
          <w:szCs w:val="24"/>
        </w:rPr>
        <w:fldChar w:fldCharType="end"/>
      </w:r>
      <w:r>
        <w:rPr>
          <w:rFonts w:ascii="Times New Roman" w:hAnsi="Times New Roman" w:cs="Times New Roman"/>
          <w:sz w:val="24"/>
          <w:szCs w:val="24"/>
        </w:rPr>
        <w:t>. The theory of innovation translation explains the adoption of the tax ProMax by the tax authority and taxpayers</w:t>
      </w:r>
      <w:r w:rsidR="007A7D42">
        <w:rPr>
          <w:rFonts w:ascii="Times New Roman" w:hAnsi="Times New Roman" w:cs="Times New Roman"/>
          <w:sz w:val="24"/>
          <w:szCs w:val="24"/>
        </w:rPr>
        <w:t xml:space="preserve">. </w:t>
      </w:r>
      <w:r w:rsidR="007A7D42" w:rsidRPr="007A7D42">
        <w:rPr>
          <w:rFonts w:ascii="Times New Roman" w:hAnsi="Times New Roman" w:cs="Times New Roman"/>
          <w:sz w:val="24"/>
          <w:szCs w:val="24"/>
        </w:rPr>
        <w:t>Innovation translation theory suggests that tailoring e</w:t>
      </w:r>
      <w:r w:rsidR="007A7D42" w:rsidRPr="007A7D42">
        <w:rPr>
          <w:rFonts w:ascii="Times New Roman" w:hAnsi="Times New Roman" w:cs="Times New Roman"/>
          <w:sz w:val="24"/>
          <w:szCs w:val="24"/>
        </w:rPr>
        <w:noBreakHyphen/>
        <w:t xml:space="preserve">tax systems to local contexts strengthens taxpayer compliance. Based on this principle, the study’s first hypothesis (H1) is: </w:t>
      </w:r>
      <w:r w:rsidR="007A7D42" w:rsidRPr="007A7D42">
        <w:rPr>
          <w:rStyle w:val="Strong"/>
          <w:rFonts w:ascii="Times New Roman" w:hAnsi="Times New Roman" w:cs="Times New Roman"/>
          <w:b w:val="0"/>
          <w:sz w:val="24"/>
          <w:szCs w:val="24"/>
        </w:rPr>
        <w:lastRenderedPageBreak/>
        <w:t>Corporate income tax (CIT) collections after the introduction of TaxPro Max are higher than collections before its implementation</w:t>
      </w:r>
      <w:r w:rsidR="007A7D42" w:rsidRPr="007A7D42">
        <w:rPr>
          <w:rStyle w:val="Strong"/>
          <w:rFonts w:ascii="Times New Roman" w:hAnsi="Times New Roman" w:cs="Times New Roman"/>
          <w:sz w:val="24"/>
          <w:szCs w:val="24"/>
        </w:rPr>
        <w:t>.</w:t>
      </w:r>
      <w:r w:rsidR="006F08C9">
        <w:rPr>
          <w:rStyle w:val="Strong"/>
          <w:rFonts w:ascii="Times New Roman" w:hAnsi="Times New Roman" w:cs="Times New Roman"/>
          <w:sz w:val="24"/>
          <w:szCs w:val="24"/>
        </w:rPr>
        <w:t xml:space="preserve"> </w:t>
      </w:r>
      <w:r w:rsidRPr="007A7D42">
        <w:rPr>
          <w:rFonts w:ascii="Times New Roman" w:hAnsi="Times New Roman" w:cs="Times New Roman"/>
          <w:sz w:val="24"/>
          <w:szCs w:val="24"/>
        </w:rPr>
        <w:t xml:space="preserve">Notwithstanding the positive and significant results recorded in terms of revenue realised, the manner of adoption </w:t>
      </w:r>
      <w:r w:rsidR="006F08C9">
        <w:t>meets</w:t>
      </w:r>
      <w:r w:rsidRPr="007A7D42">
        <w:rPr>
          <w:rFonts w:ascii="Times New Roman" w:hAnsi="Times New Roman" w:cs="Times New Roman"/>
          <w:sz w:val="24"/>
          <w:szCs w:val="24"/>
        </w:rPr>
        <w:t xml:space="preserve"> the needs of the users. </w:t>
      </w:r>
    </w:p>
    <w:p w14:paraId="059CED21" w14:textId="5E59102B" w:rsidR="006F08C9" w:rsidRPr="006F08C9" w:rsidRDefault="00274609" w:rsidP="006F08C9">
      <w:pPr>
        <w:widowControl w:val="0"/>
        <w:autoSpaceDE w:val="0"/>
        <w:autoSpaceDN w:val="0"/>
        <w:adjustRightInd w:val="0"/>
        <w:spacing w:line="360" w:lineRule="auto"/>
        <w:jc w:val="both"/>
        <w:rPr>
          <w:rFonts w:ascii="Times New Roman" w:hAnsi="Times New Roman" w:cs="Times New Roman"/>
          <w:b/>
          <w:bCs/>
          <w:sz w:val="24"/>
          <w:szCs w:val="24"/>
        </w:rPr>
      </w:pPr>
      <w:r w:rsidRPr="007A7D42">
        <w:rPr>
          <w:rFonts w:ascii="Times New Roman" w:hAnsi="Times New Roman" w:cs="Times New Roman"/>
          <w:sz w:val="24"/>
          <w:szCs w:val="24"/>
        </w:rPr>
        <w:t xml:space="preserve">The actor-Network theory corroborates the domestication of the technology </w:t>
      </w:r>
      <w:r w:rsidRPr="007A7D42">
        <w:rPr>
          <w:rFonts w:ascii="Times New Roman" w:hAnsi="Times New Roman" w:cs="Times New Roman"/>
          <w:sz w:val="24"/>
          <w:szCs w:val="24"/>
        </w:rPr>
        <w:fldChar w:fldCharType="begin" w:fldLock="1"/>
      </w:r>
      <w:r w:rsidRPr="007A7D42">
        <w:rPr>
          <w:rFonts w:ascii="Times New Roman" w:hAnsi="Times New Roman" w:cs="Times New Roman"/>
          <w:sz w:val="24"/>
          <w:szCs w:val="24"/>
        </w:rPr>
        <w:instrText>ADDIN CSL_CITATION {"citationItems":[{"id":"ITEM-1","itemData":{"author":[{"dropping-particle":"","family":"Syahadiyanti","given":"Litafira","non-dropping-particle":"","parse-names":false,"suffix":""},{"dropping-particle":"","family":"Subriadi","given":"Apol Pribadi","non-dropping-particle":"","parse-names":false,"suffix":""}],"container-title":"International Journal of Economics and Financial Issues","id":"ITEM-1","issue":"3","issued":{"date-parts":[["2018"]]},"page":"219-226","title":"Diffusion of Innovation Theory Utilization Online Financial Transaction : Literature Review","type":"article-journal","volume":"8"},"uris":["http://www.mendeley.com/documents/?uuid=be495837-f89a-46a9-b774-a9b82e33208b"]}],"mendeley":{"formattedCitation":"(Syahadiyanti &amp; Subriadi, 2018)","plainTextFormattedCitation":"(Syahadiyanti &amp; Subriadi, 2018)","previouslyFormattedCitation":"(Syahadiyanti &amp; Subriadi, 2018)"},"properties":{"noteIndex":0},"schema":"https://github.com/citation-style-language/schema/raw/master/csl-citation.json"}</w:instrText>
      </w:r>
      <w:r w:rsidRPr="007A7D42">
        <w:rPr>
          <w:rFonts w:ascii="Times New Roman" w:hAnsi="Times New Roman" w:cs="Times New Roman"/>
          <w:sz w:val="24"/>
          <w:szCs w:val="24"/>
        </w:rPr>
        <w:fldChar w:fldCharType="separate"/>
      </w:r>
      <w:r w:rsidRPr="007A7D42">
        <w:rPr>
          <w:rFonts w:ascii="Times New Roman" w:hAnsi="Times New Roman" w:cs="Times New Roman"/>
          <w:noProof/>
          <w:sz w:val="24"/>
          <w:szCs w:val="24"/>
        </w:rPr>
        <w:t>(Syahadiyanti &amp; Subriadi, 2018)</w:t>
      </w:r>
      <w:r w:rsidRPr="007A7D42">
        <w:rPr>
          <w:rFonts w:ascii="Times New Roman" w:hAnsi="Times New Roman" w:cs="Times New Roman"/>
          <w:sz w:val="24"/>
          <w:szCs w:val="24"/>
        </w:rPr>
        <w:fldChar w:fldCharType="end"/>
      </w:r>
      <w:r w:rsidRPr="007A7D42">
        <w:rPr>
          <w:rFonts w:ascii="Times New Roman" w:hAnsi="Times New Roman" w:cs="Times New Roman"/>
          <w:sz w:val="24"/>
          <w:szCs w:val="24"/>
        </w:rPr>
        <w:t>.</w:t>
      </w:r>
      <w:r w:rsidR="006F08C9">
        <w:rPr>
          <w:rFonts w:ascii="Times New Roman" w:hAnsi="Times New Roman" w:cs="Times New Roman"/>
          <w:sz w:val="24"/>
          <w:szCs w:val="24"/>
        </w:rPr>
        <w:t xml:space="preserve"> </w:t>
      </w:r>
      <w:r>
        <w:rPr>
          <w:rFonts w:ascii="Times New Roman" w:hAnsi="Times New Roman" w:cs="Times New Roman"/>
          <w:sz w:val="24"/>
          <w:szCs w:val="24"/>
        </w:rPr>
        <w:t xml:space="preserve">The outcome provides an average increase in revenue of 321% across the three taxes under this study. The result of this study is also in agreement with the findings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{"citationItems":[{"id":"ITEM-1","itemData":{"DOI":"10.63817/jmagp.05.2025.007","abstract":"Purpose/Objectives: This study aims to examine the global integration of artificial intelligence (AI) in e-tax filing and assessment systems. It assesses how AI technologies are transforming tax administration by enhancing efficiency, accuracy, and compliance across various economic and regulatory contexts. Methodology/Approach: A qualitative comparative research design was employed, involving the content analysis of policy documents, governmental reports, and academic literature from over 20 countries across five continents. Supplementary data were collected through semi-structured interviews with tax professionals and AI specialists to gain contextual insights into country-specific implementations and challenges. Results/Findings: The study found that high-income countries, such as the United States, Australia, and the United Kingdom, have successfully integrated AI into fraud detection, automated filing, and real-time assessment. In contrast, developing nations are constrained by gaps in digital infrastructure, low digital literacy, and limited legal frameworks. Across all regions, concerns about algorithmic transparency, bias, and data security persist, highlighting the urgent need for explainable AI and human oversight mechanisms. Novelty/Originality: This study offers one of the first comprehensive global analyses of AI-based tax systems from both technological and governance perspectives. It introduces a cross-regional framework for evaluating AI readiness and accountability in tax administration, contributing original insights to digital governance and public finance scholarship. Implications: The research underscores the significance of global AI standards, ethical governance, and inclusive design in tax technology. Policymakers should focus on equitable AI implementation that enhances public trust, ensures regulatory compliance, and supports sustainable revenue generation.","author":[{"dropping-particle":"","family":"Abdul Mannan","given":"Kazi","non-dropping-particle":"","parse-names":false,"suffix":""},{"dropping-particle":"","family":"Mursheda Farhana","given":"Khandaker","non-dropping-particle":"","parse-names":false,"suffix":""},{"dropping-particle":"","family":"Faruque Chowdhury","given":"G. M. Omar","non-dropping-particle":"","parse-names":false,"suffix":""}],"container-title":"Journal of Management Accounting, Governance and Performance","id":"ITEM-1","issue":"01","issued":{"date-parts":[["2025"]]},"page":"01-24","title":"e-Tax Filing and Assessment in the Age of Artificial Intelligence: A Global Perspective","type":"article-journal","volume":"02"},"uris":["http://www.mendeley.com/documents/?uuid=2c60853c-03b8-4452-baa7-1328d71d1d1a"]}],"mendeley":{"formattedCitation":"(Abdul Mannan et al., 2025)","plainTextFormattedCitation":"(Abdul Mannan et al., 2025)","previouslyFormattedCitation":"(Abdul Mannan et al., 2025)"},"properties":{"noteIndex":0},"schema":"https://github.com/citation-style-language/schema/raw/master/csl-citation.json"}</w:instrText>
      </w:r>
      <w:r>
        <w:rPr>
          <w:rFonts w:ascii="Times New Roman" w:hAnsi="Times New Roman" w:cs="Times New Roman"/>
          <w:sz w:val="24"/>
          <w:szCs w:val="24"/>
        </w:rPr>
        <w:fldChar w:fldCharType="separate"/>
      </w:r>
      <w:r w:rsidRPr="00154097">
        <w:rPr>
          <w:rFonts w:ascii="Times New Roman" w:hAnsi="Times New Roman" w:cs="Times New Roman"/>
          <w:noProof/>
          <w:sz w:val="24"/>
          <w:szCs w:val="24"/>
        </w:rPr>
        <w:t>(Abdul Mannan et al., 2025)</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{"citationItems":[{"id":"ITEM-1","itemData":{"abstract":"Customer retention has become a strategic imperative for e‑ commerce firms competing in emerging markets characterized by accelerated digital adoption, infrastructural constraints, and heightened price sensitivity. While acquisition is visible and often rewarded, sustainable profitability derives disproportionately from retaining customers who repurchase, engage, and advocate. This paper synthesizes multidisciplinary literature—relationship marketing, service quality, customer experience management, and technology adoption—to explain why retention in emerging markets is uniquely challenging and how firms can overcome the frictions of trust deficits, delivery uncertainty, and heterogeneous consumer needs. We present an integrative framework that aligns six pillars of retention—trust building, value and pricing discipline, personalized engagement, logistics and service reliability, loyalty and community, and financial inclusion/technology enablement. Drawing on case vignettes from South Asia, Africa, and Latin America, we illustrate how platforms such as Daraz, Jumia, Mercado Libre, and Flipkart localize global playbooks to fit institutional realities (e.g., cash‑ on‑ delivery, agent networks, mobile wallets, and festival‑ based campaigns). The paper concludes with managerial implications, a research agenda highlighting measurement, inclusivity, and ethics, and policy recommendations for enabling secure payments and last‑ mile infrastructure in emerging economies.","author":[{"dropping-particle":"","family":"Khan, M.A., Ullah, K., Khattak, A.A., Akhter, M., &amp; Haider","given":"A.","non-dropping-particle":"","parse-names":false,"suffix":""}],"container-title":"Journal of Political Stability Archive","id":"ITEM-1","issue":"1","issued":{"date-parts":[["2025"]]},"page":"436-458","title":"The effect of e-taxation on revenue generation in Pakistan","type":"article-journal","volume":"3"},"uris":["http://www.mendeley.com/documents/?uuid=844cbd66-8e24-4ce7-bc38-f2f01896f6cb"]}],"mendeley":{"formattedCitation":"(Khan, M.A., Ullah, K., Khattak, A.A., Akhter, M., &amp; Haider, 2025)","manualFormatting":"(Khan et al, 2025)","plainTextFormattedCitation":"(Khan, M.A., Ullah, K., Khattak, A.A., Akhter, M., &amp; Haider, 2025)","previouslyFormattedCitation":"(Khan, M.A., Ullah, K., Khattak, A.A., Akhter, M., &amp; Haider, 2025)"},"properties":{"noteIndex":0},"schema":"https://github.com/citation-style-language/schema/raw/master/csl-citation.json"}</w:instrText>
      </w:r>
      <w:r>
        <w:rPr>
          <w:rFonts w:ascii="Times New Roman" w:hAnsi="Times New Roman" w:cs="Times New Roman"/>
          <w:sz w:val="24"/>
          <w:szCs w:val="24"/>
        </w:rPr>
        <w:fldChar w:fldCharType="separate"/>
      </w:r>
      <w:r w:rsidRPr="00154097">
        <w:rPr>
          <w:rFonts w:ascii="Times New Roman" w:hAnsi="Times New Roman" w:cs="Times New Roman"/>
          <w:noProof/>
          <w:sz w:val="24"/>
          <w:szCs w:val="24"/>
        </w:rPr>
        <w:t>(Khan</w:t>
      </w:r>
      <w:r>
        <w:rPr>
          <w:rFonts w:ascii="Times New Roman" w:hAnsi="Times New Roman" w:cs="Times New Roman"/>
          <w:noProof/>
          <w:sz w:val="24"/>
          <w:szCs w:val="24"/>
        </w:rPr>
        <w:t xml:space="preserve"> et al</w:t>
      </w:r>
      <w:r w:rsidRPr="00154097">
        <w:rPr>
          <w:rFonts w:ascii="Times New Roman" w:hAnsi="Times New Roman" w:cs="Times New Roman"/>
          <w:noProof/>
          <w:sz w:val="24"/>
          <w:szCs w:val="24"/>
        </w:rPr>
        <w:t>, 2025)</w:t>
      </w:r>
      <w:r>
        <w:rPr>
          <w:rFonts w:ascii="Times New Roman" w:hAnsi="Times New Roman" w:cs="Times New Roman"/>
          <w:sz w:val="24"/>
          <w:szCs w:val="24"/>
        </w:rPr>
        <w:fldChar w:fldCharType="end"/>
      </w:r>
      <w:r>
        <w:rPr>
          <w:rFonts w:ascii="Times New Roman" w:hAnsi="Times New Roman" w:cs="Times New Roman"/>
          <w:sz w:val="24"/>
          <w:szCs w:val="24"/>
        </w:rPr>
        <w:t xml:space="preserve">.  Furthermore, the findings in this study </w:t>
      </w:r>
      <w:r w:rsidR="00E24E21">
        <w:rPr>
          <w:rFonts w:ascii="Times New Roman" w:hAnsi="Times New Roman" w:cs="Times New Roman"/>
          <w:sz w:val="24"/>
          <w:szCs w:val="24"/>
        </w:rPr>
        <w:t>are</w:t>
      </w:r>
      <w:r>
        <w:rPr>
          <w:rFonts w:ascii="Times New Roman" w:hAnsi="Times New Roman" w:cs="Times New Roman"/>
          <w:sz w:val="24"/>
          <w:szCs w:val="24"/>
        </w:rPr>
        <w:t xml:space="preserve"> an improvement on the study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 2635-2966","abstract":"The impact of electronic tax administration on tax compliance and the resultant effect on tax revenue has been examined. The quantitative research design was employed using existing data sourced from the Federal Inland Revenue Service (FIRS). Data were tax revenue posted seven years before and after the adoption of e-tax administration by the FIRS in 2013. Data so sourced were analyzed using descriptive statistics and pairwise t-test to ascertain if a difference exists and or relationship between pre-and post-e-tax revenue. The study found a strong connection between the electronic tax system and tax compliance (tax revenue) as shown by the pairwise test (p-value of 0.012&lt;0.05). Also, the mean tax revenue during post\u0002and pre-e-tax of (4466828.5714&gt;3051200.0000); and an average annual variation in overall tax revenue of N1.4trillion compared with pre-electronic tax period demonstrated a significant difference. With these, the study affirmed that a strong association exists between electronic taxation and tax compliance. Therefore, the service should always further work on its Information Communication Technology (ICT) architecture/infrastructure for easy access and flexibility to encourage taxpayers as well as enhancing robust tax administration. In all, security measures should be put in place regularly to prevent hackers, malicious attacks and other disasters inherent in ICT based environment.","author":[{"dropping-particle":"","family":"Oladele","given":"Rotimi","non-dropping-particle":"","parse-names":false,"suffix":""},{"dropping-particle":"","family":"Aribaba","given":"Foluso Olugbenga","non-dropping-particle":"","parse-names":false,"suffix":""},{"dropping-particle":"","family":"Adekunle","given":"Adediran Rasheed","non-dropping-particle":"","parse-names":false,"suffix":""},{"dropping-particle":"","family":"Babatunde","given":"Adebola D.","non-dropping-particle":"","parse-names":false,"suffix":""}],"container-title":"Accounting &amp; Taxation Review","id":"ITEM-1","issue":"3","issued":{"date-parts":[["2020"]]},"page":"93-101","title":"E-tax administration and tax compliance among corporate taxpayers in Nigeria","type":"article-journal","volume":"4"},"uris":["http://www.mendeley.com/documents/?uuid=ca9a39d4-9d32-401f-bab8-4cf8a99dffbf"]}],"mendeley":{"formattedCitation":"(Oladele et al., 2020)","manualFormatting":"Oladele et al. (2020)","plainTextFormattedCitation":"(Oladele et al., 2020)","previouslyFormattedCitation":"(Oladele et al., 2020)"},"properties":{"noteIndex":0},"schema":"https://github.com/citation-style-language/schema/raw/master/csl-citation.json"}</w:instrText>
      </w:r>
      <w:r>
        <w:rPr>
          <w:rFonts w:ascii="Times New Roman" w:hAnsi="Times New Roman" w:cs="Times New Roman"/>
          <w:sz w:val="24"/>
          <w:szCs w:val="24"/>
        </w:rPr>
        <w:fldChar w:fldCharType="separate"/>
      </w:r>
      <w:r w:rsidRPr="00154097">
        <w:rPr>
          <w:rFonts w:ascii="Times New Roman" w:hAnsi="Times New Roman" w:cs="Times New Roman"/>
          <w:noProof/>
          <w:sz w:val="24"/>
          <w:szCs w:val="24"/>
        </w:rPr>
        <w:t>Oladele et al.</w:t>
      </w:r>
      <w:r>
        <w:rPr>
          <w:rFonts w:ascii="Times New Roman" w:hAnsi="Times New Roman" w:cs="Times New Roman"/>
          <w:noProof/>
          <w:sz w:val="24"/>
          <w:szCs w:val="24"/>
        </w:rPr>
        <w:t xml:space="preserve"> (</w:t>
      </w:r>
      <w:r w:rsidRPr="00154097">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Th</w:t>
      </w:r>
      <w:r w:rsidR="00E24E21">
        <w:rPr>
          <w:rFonts w:ascii="Times New Roman" w:hAnsi="Times New Roman" w:cs="Times New Roman"/>
          <w:sz w:val="24"/>
          <w:szCs w:val="24"/>
        </w:rPr>
        <w:t>is</w:t>
      </w:r>
      <w:r>
        <w:rPr>
          <w:rFonts w:ascii="Times New Roman" w:hAnsi="Times New Roman" w:cs="Times New Roman"/>
          <w:sz w:val="24"/>
          <w:szCs w:val="24"/>
        </w:rPr>
        <w:t xml:space="preserve"> study examines the effect of the innovation that was not in existence during the period covered by </w:t>
      </w:r>
      <w:r>
        <w:rPr>
          <w:rFonts w:ascii="Times New Roman" w:hAnsi="Times New Roman" w:cs="Times New Roman"/>
          <w:sz w:val="24"/>
          <w:szCs w:val="24"/>
        </w:rPr>
        <w:fldChar w:fldCharType="begin" w:fldLock="1"/>
      </w:r>
      <w:r w:rsidR="007A7D42">
        <w:rPr>
          <w:rFonts w:ascii="Times New Roman" w:hAnsi="Times New Roman" w:cs="Times New Roman"/>
          <w:sz w:val="24"/>
          <w:szCs w:val="24"/>
        </w:rPr>
        <w:instrText>ADDIN CSL_CITATION {"citationItems":[{"id":"ITEM-1","itemData":{"ISSN":": 2635-2966","abstract":"The impact of electronic tax administration on tax compliance and the resultant effect on tax revenue has been examined. The quantitative research design was employed using existing data sourced from the Federal Inland Revenue Service (FIRS). Data were tax revenue posted seven years before and after the adoption of e-tax administration by the FIRS in 2013. Data so sourced were analyzed using descriptive statistics and pairwise t-test to ascertain if a difference exists and or relationship between pre-and post-e-tax revenue. The study found a strong connection between the electronic tax system and tax compliance (tax revenue) as shown by the pairwise test (p-value of 0.012&lt;0.05). Also, the mean tax revenue during post\u0002and pre-e-tax of (4466828.5714&gt;3051200.0000); and an average annual variation in overall tax revenue of N1.4trillion compared with pre-electronic tax period demonstrated a significant difference. With these, the study affirmed that a strong association exists between electronic taxation and tax compliance. Therefore, the service should always further work on its Information Communication Technology (ICT) architecture/infrastructure for easy access and flexibility to encourage taxpayers as well as enhancing robust tax administration. In all, security measures should be put in place regularly to prevent hackers, malicious attacks and other disasters inherent in ICT based environment.","author":[{"dropping-particle":"","family":"Oladele","given":"Rotimi","non-dropping-particle":"","parse-names":false,"suffix":""},{"dropping-particle":"","family":"Aribaba","given":"Foluso Olugbenga","non-dropping-particle":"","parse-names":false,"suffix":""},{"dropping-particle":"","family":"Adekunle","given":"Adediran Rasheed","non-dropping-particle":"","parse-names":false,"suffix":""},{"dropping-particle":"","family":"Babatunde","given":"Adebola D.","non-dropping-particle":"","parse-names":false,"suffix":""}],"container-title":"Accounting &amp; Taxation Review","id":"ITEM-1","issue":"3","issued":{"date-parts":[["2020"]]},"page":"93-101","title":"E-tax administration and tax compliance among corporate taxpayers in Nigeria","type":"article-journal","volume":"4"},"uris":["http://www.mendeley.com/documents/?uuid=ca9a39d4-9d32-401f-bab8-4cf8a99dffbf"]}],"mendeley":{"formattedCitation":"(Oladele et al., 2020)","manualFormatting":"Oladele et al. (2020)","plainTextFormattedCitation":"(Oladele et al., 2020)","previouslyFormattedCitation":"(Oladele et al., 2020)"},"properties":{"noteIndex":0},"schema":"https://github.com/citation-style-language/schema/raw/master/csl-citation.json"}</w:instrText>
      </w:r>
      <w:r>
        <w:rPr>
          <w:rFonts w:ascii="Times New Roman" w:hAnsi="Times New Roman" w:cs="Times New Roman"/>
          <w:sz w:val="24"/>
          <w:szCs w:val="24"/>
        </w:rPr>
        <w:fldChar w:fldCharType="separate"/>
      </w:r>
      <w:r w:rsidRPr="00154097">
        <w:rPr>
          <w:rFonts w:ascii="Times New Roman" w:hAnsi="Times New Roman" w:cs="Times New Roman"/>
          <w:noProof/>
          <w:sz w:val="24"/>
          <w:szCs w:val="24"/>
        </w:rPr>
        <w:t>Oladele et al.</w:t>
      </w:r>
      <w:r>
        <w:rPr>
          <w:rFonts w:ascii="Times New Roman" w:hAnsi="Times New Roman" w:cs="Times New Roman"/>
          <w:noProof/>
          <w:sz w:val="24"/>
          <w:szCs w:val="24"/>
        </w:rPr>
        <w:t xml:space="preserve"> </w:t>
      </w:r>
      <w:r w:rsidR="007A7D42">
        <w:rPr>
          <w:rFonts w:ascii="Times New Roman" w:hAnsi="Times New Roman" w:cs="Times New Roman"/>
          <w:noProof/>
          <w:sz w:val="24"/>
          <w:szCs w:val="24"/>
        </w:rPr>
        <w:t>(</w:t>
      </w:r>
      <w:r w:rsidRPr="00154097">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513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{"citationItems":[{"id":"ITEM-1","itemData":{"DOI":"https://doi.org/10.1108/JFRA-09-2023-0567","author":[{"dropping-particle":"","family":"Al-Okaily","given":"Manaf","non-dropping-particle":"","parse-names":false,"suffix":""}],"container-title":"Journal of Financial Reporting and Accounting","id":"ITEM-1","issued":{"date-parts":[["2024"]]},"title":"Advancements and forecasts of digital taxation information systems usage and its impact on tax compliance: does trust and awareness make difference?","type":"article-journal"},"uris":["http://www.mendeley.com/documents/?uuid=b4179519-d87b-4113-b418-f49e6a37cc01"]}],"mendeley":{"formattedCitation":"(Al-Okaily, 2024)","manualFormatting":"Al-Okaily (2024)","plainTextFormattedCitation":"(Al-Okaily, 2024)","previouslyFormattedCitation":"(Al-Okaily, 2024)"},"properties":{"noteIndex":0},"schema":"https://github.com/citation-style-language/schema/raw/master/csl-citation.json"}</w:instrText>
      </w:r>
      <w:r w:rsidRPr="002513AE">
        <w:rPr>
          <w:rFonts w:ascii="Times New Roman" w:hAnsi="Times New Roman" w:cs="Times New Roman"/>
          <w:sz w:val="24"/>
          <w:szCs w:val="24"/>
        </w:rPr>
        <w:fldChar w:fldCharType="separate"/>
      </w:r>
      <w:r w:rsidRPr="00154097">
        <w:rPr>
          <w:rFonts w:ascii="Times New Roman" w:hAnsi="Times New Roman" w:cs="Times New Roman"/>
          <w:noProof/>
          <w:sz w:val="24"/>
          <w:szCs w:val="24"/>
        </w:rPr>
        <w:t>Al-Okaily</w:t>
      </w:r>
      <w:r>
        <w:rPr>
          <w:rFonts w:ascii="Times New Roman" w:hAnsi="Times New Roman" w:cs="Times New Roman"/>
          <w:noProof/>
          <w:sz w:val="24"/>
          <w:szCs w:val="24"/>
        </w:rPr>
        <w:t xml:space="preserve"> (</w:t>
      </w:r>
      <w:r w:rsidRPr="00154097">
        <w:rPr>
          <w:rFonts w:ascii="Times New Roman" w:hAnsi="Times New Roman" w:cs="Times New Roman"/>
          <w:noProof/>
          <w:sz w:val="24"/>
          <w:szCs w:val="24"/>
        </w:rPr>
        <w:t>2024)</w:t>
      </w:r>
      <w:r w:rsidRPr="002513AE">
        <w:rPr>
          <w:rFonts w:ascii="Times New Roman" w:hAnsi="Times New Roman" w:cs="Times New Roman"/>
          <w:sz w:val="24"/>
          <w:szCs w:val="24"/>
        </w:rPr>
        <w:fldChar w:fldCharType="end"/>
      </w:r>
      <w:r>
        <w:rPr>
          <w:rFonts w:ascii="Times New Roman" w:hAnsi="Times New Roman" w:cs="Times New Roman"/>
          <w:sz w:val="24"/>
          <w:szCs w:val="24"/>
        </w:rPr>
        <w:t xml:space="preserve"> advocates for increasing awareness of the advantages of the e-tax system to help taxpayers understand the flexibility in the software application that is being adopted by the tax authority. </w:t>
      </w:r>
      <w:bookmarkEnd w:id="0"/>
      <w:r w:rsidR="006F08C9" w:rsidRPr="006F08C9">
        <w:rPr>
          <w:rFonts w:ascii="Times New Roman" w:hAnsi="Times New Roman" w:cs="Times New Roman"/>
          <w:sz w:val="24"/>
          <w:szCs w:val="24"/>
        </w:rPr>
        <w:t>The government should prioritize increased investment in artificial intelligence (AI) to enhance the efficiency of tax administration, assessment, and collection processes. In parallel, robust infrastructure must be established to safeguard against cybercrime and fraud, thereby ensuring the integrity and security of digital tax systems.</w:t>
      </w:r>
    </w:p>
    <w:p w14:paraId="689977EE" w14:textId="398BE5F9" w:rsidR="00C56DE1" w:rsidRDefault="00C56DE1" w:rsidP="006F08C9">
      <w:pPr>
        <w:widowControl w:val="0"/>
        <w:autoSpaceDE w:val="0"/>
        <w:autoSpaceDN w:val="0"/>
        <w:adjustRightInd w:val="0"/>
        <w:spacing w:line="360" w:lineRule="auto"/>
        <w:jc w:val="both"/>
        <w:rPr>
          <w:rFonts w:ascii="Times New Roman" w:hAnsi="Times New Roman" w:cs="Times New Roman"/>
          <w:b/>
          <w:sz w:val="24"/>
          <w:szCs w:val="24"/>
        </w:rPr>
      </w:pPr>
      <w:r w:rsidRPr="00D22DE8">
        <w:rPr>
          <w:rFonts w:ascii="Times New Roman" w:hAnsi="Times New Roman" w:cs="Times New Roman"/>
          <w:b/>
          <w:sz w:val="24"/>
          <w:szCs w:val="24"/>
        </w:rPr>
        <w:t>Reference</w:t>
      </w:r>
    </w:p>
    <w:p w14:paraId="7EF20D9E" w14:textId="77777777" w:rsidR="00274609" w:rsidRPr="00D22DE8" w:rsidRDefault="00274609" w:rsidP="00C56DE1">
      <w:pPr>
        <w:widowControl w:val="0"/>
        <w:autoSpaceDE w:val="0"/>
        <w:autoSpaceDN w:val="0"/>
        <w:adjustRightInd w:val="0"/>
        <w:spacing w:after="0" w:line="240" w:lineRule="auto"/>
        <w:rPr>
          <w:rFonts w:ascii="Times New Roman" w:hAnsi="Times New Roman" w:cs="Times New Roman"/>
          <w:b/>
          <w:sz w:val="24"/>
          <w:szCs w:val="24"/>
        </w:rPr>
      </w:pPr>
    </w:p>
    <w:p w14:paraId="629AD0D5"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513AE">
        <w:rPr>
          <w:rFonts w:ascii="Times New Roman" w:hAnsi="Times New Roman" w:cs="Times New Roman"/>
          <w:sz w:val="24"/>
          <w:szCs w:val="24"/>
        </w:rPr>
        <w:fldChar w:fldCharType="begin" w:fldLock="1"/>
      </w:r>
      <w:r w:rsidRPr="002513AE">
        <w:rPr>
          <w:rFonts w:ascii="Times New Roman" w:hAnsi="Times New Roman" w:cs="Times New Roman"/>
          <w:sz w:val="24"/>
          <w:szCs w:val="24"/>
        </w:rPr>
        <w:instrText xml:space="preserve">ADDIN Mendeley Bibliography CSL_BIBLIOGRAPHY </w:instrText>
      </w:r>
      <w:r w:rsidRPr="002513AE">
        <w:rPr>
          <w:rFonts w:ascii="Times New Roman" w:hAnsi="Times New Roman" w:cs="Times New Roman"/>
          <w:sz w:val="24"/>
          <w:szCs w:val="24"/>
        </w:rPr>
        <w:fldChar w:fldCharType="separate"/>
      </w:r>
      <w:r w:rsidRPr="006978E9">
        <w:rPr>
          <w:rFonts w:ascii="Times New Roman" w:hAnsi="Times New Roman" w:cs="Times New Roman"/>
          <w:noProof/>
          <w:sz w:val="24"/>
          <w:szCs w:val="24"/>
        </w:rPr>
        <w:t xml:space="preserve">Abdul Mannan, K., Mursheda Farhana, K., &amp; Faruque Chowdhury, G. M. O. (2025). e-Tax Filing and Assessment in the Age of Artificial Intelligence: A Global Perspective. </w:t>
      </w:r>
      <w:r w:rsidRPr="006978E9">
        <w:rPr>
          <w:rFonts w:ascii="Times New Roman" w:hAnsi="Times New Roman" w:cs="Times New Roman"/>
          <w:i/>
          <w:iCs/>
          <w:noProof/>
          <w:sz w:val="24"/>
          <w:szCs w:val="24"/>
        </w:rPr>
        <w:t>Journal of Management Accounting, Governance and Performance</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02</w:t>
      </w:r>
      <w:r w:rsidRPr="006978E9">
        <w:rPr>
          <w:rFonts w:ascii="Times New Roman" w:hAnsi="Times New Roman" w:cs="Times New Roman"/>
          <w:noProof/>
          <w:sz w:val="24"/>
          <w:szCs w:val="24"/>
        </w:rPr>
        <w:t>(01), 01–24. https://doi.org/10.63817/jmagp.05.2025.007</w:t>
      </w:r>
    </w:p>
    <w:p w14:paraId="684A6061"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Adelusi</w:t>
      </w:r>
      <w:r>
        <w:rPr>
          <w:rFonts w:ascii="Times New Roman" w:hAnsi="Times New Roman" w:cs="Times New Roman"/>
          <w:noProof/>
          <w:sz w:val="24"/>
          <w:szCs w:val="24"/>
        </w:rPr>
        <w:t xml:space="preserve">, A.I., Adelusi, A. O., Akintoye, I. R., Akinde, M.A. </w:t>
      </w:r>
      <w:r w:rsidRPr="006978E9">
        <w:rPr>
          <w:rFonts w:ascii="Times New Roman" w:hAnsi="Times New Roman" w:cs="Times New Roman"/>
          <w:noProof/>
          <w:sz w:val="24"/>
          <w:szCs w:val="24"/>
        </w:rPr>
        <w:t xml:space="preserve">(2025). Tax Revenue, Cost of Governance, and Sustainable Development Goals (SDGS) in Nigeria. </w:t>
      </w:r>
      <w:r w:rsidRPr="006978E9">
        <w:rPr>
          <w:rFonts w:ascii="Times New Roman" w:hAnsi="Times New Roman" w:cs="Times New Roman"/>
          <w:i/>
          <w:iCs/>
          <w:noProof/>
          <w:sz w:val="24"/>
          <w:szCs w:val="24"/>
        </w:rPr>
        <w:t>Journal of Information Systems Engineering and Management</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10</w:t>
      </w:r>
      <w:r w:rsidRPr="006978E9">
        <w:rPr>
          <w:rFonts w:ascii="Times New Roman" w:hAnsi="Times New Roman" w:cs="Times New Roman"/>
          <w:noProof/>
          <w:sz w:val="24"/>
          <w:szCs w:val="24"/>
        </w:rPr>
        <w:t>(6s), 517–527. https://doi.org/10.52783/jisem.v10i6s.750</w:t>
      </w:r>
    </w:p>
    <w:p w14:paraId="086063C0" w14:textId="6EEC83FE" w:rsidR="00C56DE1" w:rsidRPr="006978E9" w:rsidRDefault="00274609"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Nigeria Tax Act</w:t>
      </w:r>
      <w:r w:rsidR="00C56DE1" w:rsidRPr="006978E9">
        <w:rPr>
          <w:rFonts w:ascii="Times New Roman" w:hAnsi="Times New Roman" w:cs="Times New Roman"/>
          <w:noProof/>
          <w:sz w:val="24"/>
          <w:szCs w:val="24"/>
        </w:rPr>
        <w:t>, 2025, 1 (2025).</w:t>
      </w:r>
    </w:p>
    <w:p w14:paraId="74DF6F8C"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Adefunke, A. B. (2024). Effect of </w:t>
      </w:r>
      <w:r>
        <w:rPr>
          <w:rFonts w:ascii="Times New Roman" w:hAnsi="Times New Roman" w:cs="Times New Roman"/>
          <w:noProof/>
          <w:sz w:val="24"/>
          <w:szCs w:val="24"/>
        </w:rPr>
        <w:t xml:space="preserve">the </w:t>
      </w:r>
      <w:r w:rsidRPr="006978E9">
        <w:rPr>
          <w:rFonts w:ascii="Times New Roman" w:hAnsi="Times New Roman" w:cs="Times New Roman"/>
          <w:noProof/>
          <w:sz w:val="24"/>
          <w:szCs w:val="24"/>
        </w:rPr>
        <w:t xml:space="preserve">e-taxation system on government tax revenue in Nigeria. </w:t>
      </w:r>
      <w:r>
        <w:rPr>
          <w:rFonts w:ascii="Times New Roman" w:hAnsi="Times New Roman" w:cs="Times New Roman"/>
          <w:i/>
          <w:iCs/>
          <w:noProof/>
          <w:sz w:val="24"/>
          <w:szCs w:val="24"/>
        </w:rPr>
        <w:t>Journal</w:t>
      </w:r>
      <w:r w:rsidRPr="006978E9">
        <w:rPr>
          <w:rFonts w:ascii="Times New Roman" w:hAnsi="Times New Roman" w:cs="Times New Roman"/>
          <w:i/>
          <w:iCs/>
          <w:noProof/>
          <w:sz w:val="24"/>
          <w:szCs w:val="24"/>
        </w:rPr>
        <w:t xml:space="preserve"> of Academic Research in Economics</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16</w:t>
      </w:r>
      <w:r w:rsidRPr="006978E9">
        <w:rPr>
          <w:rFonts w:ascii="Times New Roman" w:hAnsi="Times New Roman" w:cs="Times New Roman"/>
          <w:noProof/>
          <w:sz w:val="24"/>
          <w:szCs w:val="24"/>
        </w:rPr>
        <w:t>(2), 221–238.</w:t>
      </w:r>
    </w:p>
    <w:p w14:paraId="3AC753E8"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Al-Okaily, M. (2024). Advancements and forecasts of digital taxation information systems usage and its impact on tax compliance: </w:t>
      </w:r>
      <w:r>
        <w:rPr>
          <w:rFonts w:ascii="Times New Roman" w:hAnsi="Times New Roman" w:cs="Times New Roman"/>
          <w:noProof/>
          <w:sz w:val="24"/>
          <w:szCs w:val="24"/>
        </w:rPr>
        <w:t>Does</w:t>
      </w:r>
      <w:r w:rsidRPr="006978E9">
        <w:rPr>
          <w:rFonts w:ascii="Times New Roman" w:hAnsi="Times New Roman" w:cs="Times New Roman"/>
          <w:noProof/>
          <w:sz w:val="24"/>
          <w:szCs w:val="24"/>
        </w:rPr>
        <w:t xml:space="preserve"> trust and awareness make </w:t>
      </w:r>
      <w:r>
        <w:rPr>
          <w:rFonts w:ascii="Times New Roman" w:hAnsi="Times New Roman" w:cs="Times New Roman"/>
          <w:noProof/>
          <w:sz w:val="24"/>
          <w:szCs w:val="24"/>
        </w:rPr>
        <w:t xml:space="preserve">a </w:t>
      </w:r>
      <w:r w:rsidRPr="006978E9">
        <w:rPr>
          <w:rFonts w:ascii="Times New Roman" w:hAnsi="Times New Roman" w:cs="Times New Roman"/>
          <w:noProof/>
          <w:sz w:val="24"/>
          <w:szCs w:val="24"/>
        </w:rPr>
        <w:t xml:space="preserve">difference? </w:t>
      </w:r>
      <w:r w:rsidRPr="006978E9">
        <w:rPr>
          <w:rFonts w:ascii="Times New Roman" w:hAnsi="Times New Roman" w:cs="Times New Roman"/>
          <w:i/>
          <w:iCs/>
          <w:noProof/>
          <w:sz w:val="24"/>
          <w:szCs w:val="24"/>
        </w:rPr>
        <w:t>Journal of Financial Reporting and Accounting</w:t>
      </w:r>
      <w:r w:rsidRPr="006978E9">
        <w:rPr>
          <w:rFonts w:ascii="Times New Roman" w:hAnsi="Times New Roman" w:cs="Times New Roman"/>
          <w:noProof/>
          <w:sz w:val="24"/>
          <w:szCs w:val="24"/>
        </w:rPr>
        <w:t>. https://doi.org/https://doi.org/10.1108/JFRA-09-2023-0567</w:t>
      </w:r>
    </w:p>
    <w:p w14:paraId="0BEAC37A"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Alt, J., Kabinga, M., &amp; Tendet-Kiprotich, E. (2018). An Argument Regarding “Tax Justice.” </w:t>
      </w:r>
      <w:r w:rsidRPr="006978E9">
        <w:rPr>
          <w:rFonts w:ascii="Times New Roman" w:hAnsi="Times New Roman" w:cs="Times New Roman"/>
          <w:i/>
          <w:iCs/>
          <w:noProof/>
          <w:sz w:val="24"/>
          <w:szCs w:val="24"/>
        </w:rPr>
        <w:t>SSRN Electronic Journal</w:t>
      </w:r>
      <w:r w:rsidRPr="006978E9">
        <w:rPr>
          <w:rFonts w:ascii="Times New Roman" w:hAnsi="Times New Roman" w:cs="Times New Roman"/>
          <w:noProof/>
          <w:sz w:val="24"/>
          <w:szCs w:val="24"/>
        </w:rPr>
        <w:t>. https://doi.org/10.2139/ssrn.3277528</w:t>
      </w:r>
    </w:p>
    <w:p w14:paraId="7775C560" w14:textId="3AA69728" w:rsidR="00274609" w:rsidRDefault="00274609" w:rsidP="0027460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41B">
        <w:rPr>
          <w:rFonts w:ascii="Times New Roman" w:hAnsi="Times New Roman" w:cs="Times New Roman"/>
          <w:noProof/>
          <w:sz w:val="24"/>
          <w:szCs w:val="24"/>
        </w:rPr>
        <w:t>Arendsen, R., &amp; Green, P. (2020). Tax Administration 3 . 0 : The Digital Transformation of Tax Administration</w:t>
      </w:r>
      <w:r>
        <w:rPr>
          <w:rFonts w:ascii="Times New Roman" w:hAnsi="Times New Roman" w:cs="Times New Roman"/>
          <w:noProof/>
          <w:sz w:val="24"/>
          <w:szCs w:val="24"/>
        </w:rPr>
        <w:t>.</w:t>
      </w:r>
      <w:r w:rsidRPr="0099641B">
        <w:rPr>
          <w:rFonts w:ascii="Times New Roman" w:hAnsi="Times New Roman" w:cs="Times New Roman"/>
          <w:noProof/>
          <w:sz w:val="24"/>
          <w:szCs w:val="24"/>
        </w:rPr>
        <w:t xml:space="preserve"> Tax Retail Welfare Business Other. </w:t>
      </w:r>
      <w:r w:rsidRPr="0099641B">
        <w:rPr>
          <w:rFonts w:ascii="Times New Roman" w:hAnsi="Times New Roman" w:cs="Times New Roman"/>
          <w:i/>
          <w:iCs/>
          <w:noProof/>
          <w:sz w:val="24"/>
          <w:szCs w:val="24"/>
        </w:rPr>
        <w:t>OECD Publishing</w:t>
      </w:r>
      <w:r w:rsidRPr="0099641B">
        <w:rPr>
          <w:rFonts w:ascii="Times New Roman" w:hAnsi="Times New Roman" w:cs="Times New Roman"/>
          <w:noProof/>
          <w:sz w:val="24"/>
          <w:szCs w:val="24"/>
        </w:rPr>
        <w:t xml:space="preserve">, </w:t>
      </w:r>
      <w:r w:rsidRPr="0099641B">
        <w:rPr>
          <w:rFonts w:ascii="Times New Roman" w:hAnsi="Times New Roman" w:cs="Times New Roman"/>
          <w:i/>
          <w:iCs/>
          <w:noProof/>
          <w:sz w:val="24"/>
          <w:szCs w:val="24"/>
        </w:rPr>
        <w:t>1</w:t>
      </w:r>
      <w:r w:rsidRPr="0099641B">
        <w:rPr>
          <w:rFonts w:ascii="Times New Roman" w:hAnsi="Times New Roman" w:cs="Times New Roman"/>
          <w:noProof/>
          <w:sz w:val="24"/>
          <w:szCs w:val="24"/>
        </w:rPr>
        <w:t xml:space="preserve">(3), 10–74. </w:t>
      </w:r>
      <w:r w:rsidRPr="0099641B">
        <w:rPr>
          <w:rFonts w:ascii="Times New Roman" w:hAnsi="Times New Roman" w:cs="Times New Roman"/>
          <w:noProof/>
          <w:sz w:val="24"/>
          <w:szCs w:val="24"/>
        </w:rPr>
        <w:lastRenderedPageBreak/>
        <w:t>https://www.oecd.org/en/publications/tax-administration-3-0-the-digital-transformation-of-tax-administration_ca274cc5-en.html</w:t>
      </w:r>
    </w:p>
    <w:p w14:paraId="4859CAC7" w14:textId="7BA4AC5F"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Dom, R., Custers, A., Davenport, S., &amp; Prichard, W. (2022). Innovations in Tax Compliance. </w:t>
      </w:r>
      <w:r w:rsidRPr="006978E9">
        <w:rPr>
          <w:rFonts w:ascii="Times New Roman" w:hAnsi="Times New Roman" w:cs="Times New Roman"/>
          <w:i/>
          <w:iCs/>
          <w:noProof/>
          <w:sz w:val="24"/>
          <w:szCs w:val="24"/>
        </w:rPr>
        <w:t>Innovations in Tax Compliance</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October</w:t>
      </w:r>
      <w:r w:rsidRPr="006978E9">
        <w:rPr>
          <w:rFonts w:ascii="Times New Roman" w:hAnsi="Times New Roman" w:cs="Times New Roman"/>
          <w:noProof/>
          <w:sz w:val="24"/>
          <w:szCs w:val="24"/>
        </w:rPr>
        <w:t>. https://doi.org/10.1596/978-1-4648-1755-7</w:t>
      </w:r>
    </w:p>
    <w:p w14:paraId="37C51B9F"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Oloyede, </w:t>
      </w:r>
      <w:r>
        <w:rPr>
          <w:rFonts w:ascii="Times New Roman" w:hAnsi="Times New Roman" w:cs="Times New Roman"/>
          <w:noProof/>
          <w:sz w:val="24"/>
          <w:szCs w:val="24"/>
        </w:rPr>
        <w:t>E.</w:t>
      </w:r>
      <w:r w:rsidRPr="006978E9">
        <w:rPr>
          <w:rFonts w:ascii="Times New Roman" w:hAnsi="Times New Roman" w:cs="Times New Roman"/>
          <w:noProof/>
          <w:sz w:val="24"/>
          <w:szCs w:val="24"/>
        </w:rPr>
        <w:t xml:space="preserve">F., Osundina, O., &amp; Odewusi, O. (2023). The Impact of E-Governance on Tax Revenue Generation in Nigeria. </w:t>
      </w:r>
      <w:r w:rsidRPr="006978E9">
        <w:rPr>
          <w:rFonts w:ascii="Times New Roman" w:hAnsi="Times New Roman" w:cs="Times New Roman"/>
          <w:i/>
          <w:iCs/>
          <w:noProof/>
          <w:sz w:val="24"/>
          <w:szCs w:val="24"/>
        </w:rPr>
        <w:t>International Journal of Humanities, Literature and Art Research</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2</w:t>
      </w:r>
      <w:r w:rsidRPr="006978E9">
        <w:rPr>
          <w:rFonts w:ascii="Times New Roman" w:hAnsi="Times New Roman" w:cs="Times New Roman"/>
          <w:noProof/>
          <w:sz w:val="24"/>
          <w:szCs w:val="24"/>
        </w:rPr>
        <w:t>(1), 33–40. https://doi.org/https://mediterraneanpublications.com/mejhlar/article/view/260</w:t>
      </w:r>
    </w:p>
    <w:p w14:paraId="1FC168BF" w14:textId="77777777" w:rsidR="00C56DE1"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Em, S. (2025). Exploring experimental research: Methodologies, designs, and applications across disciplines. </w:t>
      </w:r>
      <w:r w:rsidRPr="006978E9">
        <w:rPr>
          <w:rFonts w:ascii="Times New Roman" w:hAnsi="Times New Roman" w:cs="Times New Roman"/>
          <w:i/>
          <w:iCs/>
          <w:noProof/>
          <w:sz w:val="24"/>
          <w:szCs w:val="24"/>
        </w:rPr>
        <w:t>Cambodian Journal of Educational and Social Sciences (CJESS)</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2</w:t>
      </w:r>
      <w:r w:rsidRPr="006978E9">
        <w:rPr>
          <w:rFonts w:ascii="Times New Roman" w:hAnsi="Times New Roman" w:cs="Times New Roman"/>
          <w:noProof/>
          <w:sz w:val="24"/>
          <w:szCs w:val="24"/>
        </w:rPr>
        <w:t>(2), 1–8. https://doi.org/10.69496/cjess.v2i2.78</w:t>
      </w:r>
    </w:p>
    <w:p w14:paraId="59DC33E3"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43C96">
        <w:rPr>
          <w:rFonts w:ascii="Times New Roman" w:hAnsi="Times New Roman" w:cs="Times New Roman"/>
          <w:noProof/>
          <w:sz w:val="24"/>
          <w:szCs w:val="24"/>
        </w:rPr>
        <w:t xml:space="preserve">Faniran, A., Jeje, L., Fashae, O.A., Olusola, A. O. (2023). </w:t>
      </w:r>
      <w:r w:rsidRPr="00E43C96">
        <w:rPr>
          <w:rFonts w:ascii="Times New Roman" w:hAnsi="Times New Roman" w:cs="Times New Roman"/>
          <w:i/>
          <w:iCs/>
          <w:noProof/>
          <w:sz w:val="24"/>
          <w:szCs w:val="24"/>
        </w:rPr>
        <w:t>Landscapes and Landforms of Nigeria</w:t>
      </w:r>
      <w:r w:rsidRPr="00E43C96">
        <w:rPr>
          <w:rFonts w:ascii="Times New Roman" w:hAnsi="Times New Roman" w:cs="Times New Roman"/>
          <w:noProof/>
          <w:sz w:val="24"/>
          <w:szCs w:val="24"/>
        </w:rPr>
        <w:t xml:space="preserve"> (O. A. F. and A. O. Adetoye Faniran, Lawrence Jeje (ed.)). Springer. https://doi.org/• 10.1007/978-3-031-17972-3</w:t>
      </w:r>
    </w:p>
    <w:p w14:paraId="6FBF76C2"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FIRS. (2025). </w:t>
      </w:r>
      <w:r w:rsidRPr="006978E9">
        <w:rPr>
          <w:rFonts w:ascii="Times New Roman" w:hAnsi="Times New Roman" w:cs="Times New Roman"/>
          <w:i/>
          <w:iCs/>
          <w:noProof/>
          <w:sz w:val="24"/>
          <w:szCs w:val="24"/>
        </w:rPr>
        <w:t xml:space="preserve">e-tax and </w:t>
      </w:r>
      <w:r>
        <w:rPr>
          <w:rFonts w:ascii="Times New Roman" w:hAnsi="Times New Roman" w:cs="Times New Roman"/>
          <w:i/>
          <w:iCs/>
          <w:noProof/>
          <w:sz w:val="24"/>
          <w:szCs w:val="24"/>
        </w:rPr>
        <w:t>FIRS</w:t>
      </w:r>
      <w:r w:rsidRPr="006978E9">
        <w:rPr>
          <w:rFonts w:ascii="Times New Roman" w:hAnsi="Times New Roman" w:cs="Times New Roman"/>
          <w:noProof/>
          <w:sz w:val="24"/>
          <w:szCs w:val="24"/>
        </w:rPr>
        <w:t xml:space="preserve"> (p. 1). Federal Inland Revenue Service. www.taxpromax.firs.gov.ng</w:t>
      </w:r>
    </w:p>
    <w:p w14:paraId="1F3BF4E1"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Philip D. R. G. J. S. (jamie. speirs06@imperial. ac. uk. (2012). </w:t>
      </w:r>
      <w:r w:rsidRPr="006978E9">
        <w:rPr>
          <w:rFonts w:ascii="Times New Roman" w:hAnsi="Times New Roman" w:cs="Times New Roman"/>
          <w:i/>
          <w:iCs/>
          <w:noProof/>
          <w:sz w:val="24"/>
          <w:szCs w:val="24"/>
        </w:rPr>
        <w:t>Innovation Theory : A review of the literature</w:t>
      </w:r>
      <w:r w:rsidRPr="006978E9">
        <w:rPr>
          <w:rFonts w:ascii="Times New Roman" w:hAnsi="Times New Roman" w:cs="Times New Roman"/>
          <w:noProof/>
          <w:sz w:val="24"/>
          <w:szCs w:val="24"/>
        </w:rPr>
        <w:t xml:space="preserve"> (Ref: ICEPT/WP/2012/011; Issue May).</w:t>
      </w:r>
    </w:p>
    <w:p w14:paraId="5A2E0DB7"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Hansen, B. E. (2021). </w:t>
      </w:r>
      <w:r w:rsidRPr="006978E9">
        <w:rPr>
          <w:rFonts w:ascii="Times New Roman" w:hAnsi="Times New Roman" w:cs="Times New Roman"/>
          <w:i/>
          <w:iCs/>
          <w:noProof/>
          <w:sz w:val="24"/>
          <w:szCs w:val="24"/>
        </w:rPr>
        <w:t>Econometrics</w:t>
      </w:r>
      <w:r w:rsidRPr="006978E9">
        <w:rPr>
          <w:rFonts w:ascii="Times New Roman" w:hAnsi="Times New Roman" w:cs="Times New Roman"/>
          <w:noProof/>
          <w:sz w:val="24"/>
          <w:szCs w:val="24"/>
        </w:rPr>
        <w:t>.</w:t>
      </w:r>
    </w:p>
    <w:p w14:paraId="33D1053D" w14:textId="77777777" w:rsidR="00C56DE1"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Högberg, B., &amp; Lindgren, J. (2021). Outcome-based accountability regimes in OECD countries: a global policy model? </w:t>
      </w:r>
      <w:r w:rsidRPr="006978E9">
        <w:rPr>
          <w:rFonts w:ascii="Times New Roman" w:hAnsi="Times New Roman" w:cs="Times New Roman"/>
          <w:i/>
          <w:iCs/>
          <w:noProof/>
          <w:sz w:val="24"/>
          <w:szCs w:val="24"/>
        </w:rPr>
        <w:t>Comparative Education</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57</w:t>
      </w:r>
      <w:r w:rsidRPr="006978E9">
        <w:rPr>
          <w:rFonts w:ascii="Times New Roman" w:hAnsi="Times New Roman" w:cs="Times New Roman"/>
          <w:noProof/>
          <w:sz w:val="24"/>
          <w:szCs w:val="24"/>
        </w:rPr>
        <w:t>(3), 301–321. https://doi.org/10.1080/03050068.2020.1849614</w:t>
      </w:r>
    </w:p>
    <w:p w14:paraId="74C2D43E" w14:textId="15EDE7A9" w:rsidR="00C56DE1"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43C96">
        <w:rPr>
          <w:rFonts w:ascii="Times New Roman" w:hAnsi="Times New Roman" w:cs="Times New Roman"/>
          <w:noProof/>
          <w:sz w:val="24"/>
          <w:szCs w:val="24"/>
        </w:rPr>
        <w:t xml:space="preserve">Ike, E. R., &amp; Bright, A. O. (2022). Annual International Academic Conference on Accounting and Finance Disruptive Technology: Accounting Practices, Financial and Sustainability Reporting. </w:t>
      </w:r>
      <w:r w:rsidRPr="00E43C96">
        <w:rPr>
          <w:rFonts w:ascii="Times New Roman" w:hAnsi="Times New Roman" w:cs="Times New Roman"/>
          <w:i/>
          <w:iCs/>
          <w:noProof/>
          <w:sz w:val="24"/>
          <w:szCs w:val="24"/>
        </w:rPr>
        <w:t>Proceedings of the 7th Annual International Academic Conference on Accounting and Finance Disruptive Technology: Accounting Practices, Financial and Sustainability Reporting</w:t>
      </w:r>
      <w:r w:rsidRPr="00E43C96">
        <w:rPr>
          <w:rFonts w:ascii="Times New Roman" w:hAnsi="Times New Roman" w:cs="Times New Roman"/>
          <w:noProof/>
          <w:sz w:val="24"/>
          <w:szCs w:val="24"/>
        </w:rPr>
        <w:t xml:space="preserve">, </w:t>
      </w:r>
      <w:r w:rsidRPr="00E43C96">
        <w:rPr>
          <w:rFonts w:ascii="Times New Roman" w:hAnsi="Times New Roman" w:cs="Times New Roman"/>
          <w:i/>
          <w:iCs/>
          <w:noProof/>
          <w:sz w:val="24"/>
          <w:szCs w:val="24"/>
        </w:rPr>
        <w:t>2016</w:t>
      </w:r>
      <w:r w:rsidRPr="00E43C96">
        <w:rPr>
          <w:rFonts w:ascii="Times New Roman" w:hAnsi="Times New Roman" w:cs="Times New Roman"/>
          <w:noProof/>
          <w:sz w:val="24"/>
          <w:szCs w:val="24"/>
        </w:rPr>
        <w:t>, 20. https://doi.org/•</w:t>
      </w:r>
    </w:p>
    <w:p w14:paraId="62DCFA86" w14:textId="2505DE4D" w:rsidR="007B0AA2" w:rsidRPr="006978E9" w:rsidRDefault="007B0AA2" w:rsidP="007B0AA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41B">
        <w:rPr>
          <w:rFonts w:ascii="Times New Roman" w:hAnsi="Times New Roman" w:cs="Times New Roman"/>
          <w:noProof/>
          <w:sz w:val="24"/>
          <w:szCs w:val="24"/>
        </w:rPr>
        <w:t xml:space="preserve">Inc, A. G. (2021). </w:t>
      </w:r>
      <w:r w:rsidRPr="0099641B">
        <w:rPr>
          <w:rFonts w:ascii="Times New Roman" w:hAnsi="Times New Roman" w:cs="Times New Roman"/>
          <w:i/>
          <w:iCs/>
          <w:noProof/>
          <w:sz w:val="24"/>
          <w:szCs w:val="24"/>
        </w:rPr>
        <w:t>FIRS Introduces New Online Tax Administration Solution</w:t>
      </w:r>
      <w:r w:rsidRPr="0099641B">
        <w:rPr>
          <w:rFonts w:ascii="Times New Roman" w:hAnsi="Times New Roman" w:cs="Times New Roman"/>
          <w:noProof/>
          <w:sz w:val="24"/>
          <w:szCs w:val="24"/>
        </w:rPr>
        <w:t xml:space="preserve"> (pp. 1–2). Andersen Tax LLC and Andersen Nigeria Limited. https://ng.andersen.com/firs-introduces-new-online-tax-administration-solution/</w:t>
      </w:r>
    </w:p>
    <w:p w14:paraId="71553B9E"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Jung, I. (2023). Nigeria’s Tax Revenue Mobilization: Lessons from Successful Revenue Reform Episodes. </w:t>
      </w:r>
      <w:r w:rsidRPr="006978E9">
        <w:rPr>
          <w:rFonts w:ascii="Times New Roman" w:hAnsi="Times New Roman" w:cs="Times New Roman"/>
          <w:i/>
          <w:iCs/>
          <w:noProof/>
          <w:sz w:val="24"/>
          <w:szCs w:val="24"/>
        </w:rPr>
        <w:t>Selected Issues Papers</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2023</w:t>
      </w:r>
      <w:r w:rsidRPr="006978E9">
        <w:rPr>
          <w:rFonts w:ascii="Times New Roman" w:hAnsi="Times New Roman" w:cs="Times New Roman"/>
          <w:noProof/>
          <w:sz w:val="24"/>
          <w:szCs w:val="24"/>
        </w:rPr>
        <w:t>(019), 1. https://doi.org/10.5089/9798400234989.018</w:t>
      </w:r>
    </w:p>
    <w:p w14:paraId="6DDD0838"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Kamil, I. (2022). Influence </w:t>
      </w:r>
      <w:r>
        <w:rPr>
          <w:rFonts w:ascii="Times New Roman" w:hAnsi="Times New Roman" w:cs="Times New Roman"/>
          <w:noProof/>
          <w:sz w:val="24"/>
          <w:szCs w:val="24"/>
        </w:rPr>
        <w:t xml:space="preserve">of </w:t>
      </w:r>
      <w:r w:rsidRPr="006978E9">
        <w:rPr>
          <w:rFonts w:ascii="Times New Roman" w:hAnsi="Times New Roman" w:cs="Times New Roman"/>
          <w:noProof/>
          <w:sz w:val="24"/>
          <w:szCs w:val="24"/>
        </w:rPr>
        <w:t xml:space="preserve">Artificial Intelligence Technology For E-filling and Digital Service Tax (DST) in </w:t>
      </w:r>
      <w:r>
        <w:rPr>
          <w:rFonts w:ascii="Times New Roman" w:hAnsi="Times New Roman" w:cs="Times New Roman"/>
          <w:noProof/>
          <w:sz w:val="24"/>
          <w:szCs w:val="24"/>
        </w:rPr>
        <w:t>Tax Administration</w:t>
      </w:r>
      <w:r w:rsidRPr="006978E9">
        <w:rPr>
          <w:rFonts w:ascii="Times New Roman" w:hAnsi="Times New Roman" w:cs="Times New Roman"/>
          <w:noProof/>
          <w:sz w:val="24"/>
          <w:szCs w:val="24"/>
        </w:rPr>
        <w:t xml:space="preserve"> on Tax Compliance. </w:t>
      </w:r>
      <w:r w:rsidRPr="006978E9">
        <w:rPr>
          <w:rFonts w:ascii="Times New Roman" w:hAnsi="Times New Roman" w:cs="Times New Roman"/>
          <w:i/>
          <w:iCs/>
          <w:noProof/>
          <w:sz w:val="24"/>
          <w:szCs w:val="24"/>
        </w:rPr>
        <w:t>International Journal of Management Studies and Social Science Research</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4</w:t>
      </w:r>
      <w:r w:rsidRPr="006978E9">
        <w:rPr>
          <w:rFonts w:ascii="Times New Roman" w:hAnsi="Times New Roman" w:cs="Times New Roman"/>
          <w:noProof/>
          <w:sz w:val="24"/>
          <w:szCs w:val="24"/>
        </w:rPr>
        <w:t>(1), 144–156. https://ijmsssr.org/paper/IJMSSSR00616.pdf</w:t>
      </w:r>
    </w:p>
    <w:p w14:paraId="539134DE"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Khan, M.A., Ullah, K., Khattak, A.A., Akhter, M., &amp; Haider, A. (2025). The effect of e-taxation on revenue generation in Pakistan. </w:t>
      </w:r>
      <w:r w:rsidRPr="006978E9">
        <w:rPr>
          <w:rFonts w:ascii="Times New Roman" w:hAnsi="Times New Roman" w:cs="Times New Roman"/>
          <w:i/>
          <w:iCs/>
          <w:noProof/>
          <w:sz w:val="24"/>
          <w:szCs w:val="24"/>
        </w:rPr>
        <w:t>Journal of Political Stability Archive</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3</w:t>
      </w:r>
      <w:r w:rsidRPr="006978E9">
        <w:rPr>
          <w:rFonts w:ascii="Times New Roman" w:hAnsi="Times New Roman" w:cs="Times New Roman"/>
          <w:noProof/>
          <w:sz w:val="24"/>
          <w:szCs w:val="24"/>
        </w:rPr>
        <w:t>(1), 436–458. https://journalpsa.com/index.php/JPSA/about%0ARecognized</w:t>
      </w:r>
    </w:p>
    <w:p w14:paraId="04A6117A" w14:textId="737CB155" w:rsidR="00C56DE1"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Martin, T. (2022). A Literature Review on The Technology Acceptance Model. </w:t>
      </w:r>
      <w:r w:rsidRPr="006978E9">
        <w:rPr>
          <w:rFonts w:ascii="Times New Roman" w:hAnsi="Times New Roman" w:cs="Times New Roman"/>
          <w:i/>
          <w:iCs/>
          <w:noProof/>
          <w:sz w:val="24"/>
          <w:szCs w:val="24"/>
        </w:rPr>
        <w:t>International Journal of Academic Research in Business &amp; Social Sciences</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12</w:t>
      </w:r>
      <w:r w:rsidRPr="006978E9">
        <w:rPr>
          <w:rFonts w:ascii="Times New Roman" w:hAnsi="Times New Roman" w:cs="Times New Roman"/>
          <w:noProof/>
          <w:sz w:val="24"/>
          <w:szCs w:val="24"/>
        </w:rPr>
        <w:t>(11), 2688–2713. https://doi.org/10.6007/IJARBSS/</w:t>
      </w:r>
    </w:p>
    <w:p w14:paraId="11ABF062" w14:textId="67AD17DD" w:rsidR="000159A9" w:rsidRPr="006978E9" w:rsidRDefault="000159A9" w:rsidP="000159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5556B">
        <w:rPr>
          <w:rFonts w:ascii="Times New Roman" w:hAnsi="Times New Roman" w:cs="Times New Roman"/>
          <w:noProof/>
          <w:sz w:val="24"/>
          <w:szCs w:val="24"/>
        </w:rPr>
        <w:t>Nigeria Revenue Service (Establishment)Act, 1 (2025). https://www.city.kawasaki.jp/500/page/0000174493.html</w:t>
      </w:r>
    </w:p>
    <w:p w14:paraId="71F92D37"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Odunayo Adewunmi Adelekan, Olawale Adisa, Bamidele Segun Ilugbusi, Ogugua Chimezie </w:t>
      </w:r>
      <w:r w:rsidRPr="006978E9">
        <w:rPr>
          <w:rFonts w:ascii="Times New Roman" w:hAnsi="Times New Roman" w:cs="Times New Roman"/>
          <w:noProof/>
          <w:sz w:val="24"/>
          <w:szCs w:val="24"/>
        </w:rPr>
        <w:lastRenderedPageBreak/>
        <w:t xml:space="preserve">Obi, Kehinde Feranmi Awonuga, Onyeka Franca Asuzu, &amp; Ndubuisi Leonard Ndubuisi. (2024). Evolving Tax Compliance in the Digital Era: </w:t>
      </w:r>
      <w:r>
        <w:rPr>
          <w:rFonts w:ascii="Times New Roman" w:hAnsi="Times New Roman" w:cs="Times New Roman"/>
          <w:noProof/>
          <w:sz w:val="24"/>
          <w:szCs w:val="24"/>
        </w:rPr>
        <w:t>A</w:t>
      </w:r>
      <w:r w:rsidRPr="006978E9">
        <w:rPr>
          <w:rFonts w:ascii="Times New Roman" w:hAnsi="Times New Roman" w:cs="Times New Roman"/>
          <w:noProof/>
          <w:sz w:val="24"/>
          <w:szCs w:val="24"/>
        </w:rPr>
        <w:t xml:space="preserve"> Comparative Analysis of </w:t>
      </w:r>
      <w:r>
        <w:rPr>
          <w:rFonts w:ascii="Times New Roman" w:hAnsi="Times New Roman" w:cs="Times New Roman"/>
          <w:noProof/>
          <w:sz w:val="24"/>
          <w:szCs w:val="24"/>
        </w:rPr>
        <w:t>AI-Driven</w:t>
      </w:r>
      <w:r w:rsidRPr="006978E9">
        <w:rPr>
          <w:rFonts w:ascii="Times New Roman" w:hAnsi="Times New Roman" w:cs="Times New Roman"/>
          <w:noProof/>
          <w:sz w:val="24"/>
          <w:szCs w:val="24"/>
        </w:rPr>
        <w:t xml:space="preserve"> Models and Blockchain Technology in U.S. Tax Administration. </w:t>
      </w:r>
      <w:r w:rsidRPr="006978E9">
        <w:rPr>
          <w:rFonts w:ascii="Times New Roman" w:hAnsi="Times New Roman" w:cs="Times New Roman"/>
          <w:i/>
          <w:iCs/>
          <w:noProof/>
          <w:sz w:val="24"/>
          <w:szCs w:val="24"/>
        </w:rPr>
        <w:t>Computer Science &amp; IT Research Journal</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5</w:t>
      </w:r>
      <w:r w:rsidRPr="006978E9">
        <w:rPr>
          <w:rFonts w:ascii="Times New Roman" w:hAnsi="Times New Roman" w:cs="Times New Roman"/>
          <w:noProof/>
          <w:sz w:val="24"/>
          <w:szCs w:val="24"/>
        </w:rPr>
        <w:t>(2), 311–335. https://doi.org/10.51594/csitrj.v5i2.759</w:t>
      </w:r>
    </w:p>
    <w:p w14:paraId="7F488426"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OECD. (2019). </w:t>
      </w:r>
      <w:r w:rsidRPr="006978E9">
        <w:rPr>
          <w:rFonts w:ascii="Times New Roman" w:hAnsi="Times New Roman" w:cs="Times New Roman"/>
          <w:i/>
          <w:iCs/>
          <w:noProof/>
          <w:sz w:val="24"/>
          <w:szCs w:val="24"/>
        </w:rPr>
        <w:t>Tax Administration 2019</w:t>
      </w:r>
      <w:r w:rsidRPr="006978E9">
        <w:rPr>
          <w:rFonts w:ascii="Times New Roman" w:hAnsi="Times New Roman" w:cs="Times New Roman"/>
          <w:noProof/>
          <w:sz w:val="24"/>
          <w:szCs w:val="24"/>
        </w:rPr>
        <w:t>. OECD Publishing, Paris. https://read.oecd-ilibrary.org/taxation/tax-administration-2019_74d162b6-en#page3</w:t>
      </w:r>
    </w:p>
    <w:p w14:paraId="1C0298AC"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OECD. (2025). </w:t>
      </w:r>
      <w:r w:rsidRPr="006978E9">
        <w:rPr>
          <w:rFonts w:ascii="Times New Roman" w:hAnsi="Times New Roman" w:cs="Times New Roman"/>
          <w:i/>
          <w:iCs/>
          <w:noProof/>
          <w:sz w:val="24"/>
          <w:szCs w:val="24"/>
        </w:rPr>
        <w:t>Tax Administration 2025</w:t>
      </w:r>
      <w:r w:rsidRPr="006978E9">
        <w:rPr>
          <w:rFonts w:ascii="Times New Roman" w:hAnsi="Times New Roman" w:cs="Times New Roman"/>
          <w:noProof/>
          <w:sz w:val="24"/>
          <w:szCs w:val="24"/>
        </w:rPr>
        <w:t>. OECD Publishing, Paris. https://www.oecd.org/en/publications/tax-administration-2025_cc015ce8-en.html</w:t>
      </w:r>
    </w:p>
    <w:p w14:paraId="2AA7C37F"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Okunogbe, O., &amp; Pouliquen, V. (2022). Technology, Taxation, and Corruption: Evidence from the Introduction of Electronic Tax Filing. </w:t>
      </w:r>
      <w:r w:rsidRPr="006978E9">
        <w:rPr>
          <w:rFonts w:ascii="Times New Roman" w:hAnsi="Times New Roman" w:cs="Times New Roman"/>
          <w:i/>
          <w:iCs/>
          <w:noProof/>
          <w:sz w:val="24"/>
          <w:szCs w:val="24"/>
        </w:rPr>
        <w:t>American Economic Journal: Economic Policy</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14</w:t>
      </w:r>
      <w:r w:rsidRPr="006978E9">
        <w:rPr>
          <w:rFonts w:ascii="Times New Roman" w:hAnsi="Times New Roman" w:cs="Times New Roman"/>
          <w:noProof/>
          <w:sz w:val="24"/>
          <w:szCs w:val="24"/>
        </w:rPr>
        <w:t>(1), 341–372. https://doi.org/10.1257/pol.20200123</w:t>
      </w:r>
    </w:p>
    <w:p w14:paraId="01039DC8"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Okunogbe, O., &amp; Tourek, G. (2024). How Can Lower-Income Countries Collect More Taxes? The Role of Technology, Tax Agents, and Politics. </w:t>
      </w:r>
      <w:r w:rsidRPr="006978E9">
        <w:rPr>
          <w:rFonts w:ascii="Times New Roman" w:hAnsi="Times New Roman" w:cs="Times New Roman"/>
          <w:i/>
          <w:iCs/>
          <w:noProof/>
          <w:sz w:val="24"/>
          <w:szCs w:val="24"/>
        </w:rPr>
        <w:t>Journal of Economic Perspectives</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38</w:t>
      </w:r>
      <w:r w:rsidRPr="006978E9">
        <w:rPr>
          <w:rFonts w:ascii="Times New Roman" w:hAnsi="Times New Roman" w:cs="Times New Roman"/>
          <w:noProof/>
          <w:sz w:val="24"/>
          <w:szCs w:val="24"/>
        </w:rPr>
        <w:t>(1), 81–106. https://doi.org/10.1257/jep.38.1.81</w:t>
      </w:r>
    </w:p>
    <w:p w14:paraId="02C8AF71"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Oladele, R., Aribaba, F. O., Adekunle, A. R., &amp; Babatunde, A. D. (2020). E-tax administration and tax compliance among corporate taxpayers in Nigeria. </w:t>
      </w:r>
      <w:r w:rsidRPr="006978E9">
        <w:rPr>
          <w:rFonts w:ascii="Times New Roman" w:hAnsi="Times New Roman" w:cs="Times New Roman"/>
          <w:i/>
          <w:iCs/>
          <w:noProof/>
          <w:sz w:val="24"/>
          <w:szCs w:val="24"/>
        </w:rPr>
        <w:t>Accounting &amp; Taxation Review</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4</w:t>
      </w:r>
      <w:r w:rsidRPr="006978E9">
        <w:rPr>
          <w:rFonts w:ascii="Times New Roman" w:hAnsi="Times New Roman" w:cs="Times New Roman"/>
          <w:noProof/>
          <w:sz w:val="24"/>
          <w:szCs w:val="24"/>
        </w:rPr>
        <w:t>(3), 93–101.</w:t>
      </w:r>
    </w:p>
    <w:p w14:paraId="67FF34DA"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Organização das Nações Unidas. (2023). The Sustainable Development Goals Report 2023: Special edition- Towards a Rescue Plan for People and Planet. In </w:t>
      </w:r>
      <w:r w:rsidRPr="006978E9">
        <w:rPr>
          <w:rFonts w:ascii="Times New Roman" w:hAnsi="Times New Roman" w:cs="Times New Roman"/>
          <w:i/>
          <w:iCs/>
          <w:noProof/>
          <w:sz w:val="24"/>
          <w:szCs w:val="24"/>
        </w:rPr>
        <w:t xml:space="preserve">The Sustainable </w:t>
      </w:r>
      <w:r>
        <w:rPr>
          <w:rFonts w:ascii="Times New Roman" w:hAnsi="Times New Roman" w:cs="Times New Roman"/>
          <w:i/>
          <w:iCs/>
          <w:noProof/>
          <w:sz w:val="24"/>
          <w:szCs w:val="24"/>
        </w:rPr>
        <w:t>Development</w:t>
      </w:r>
      <w:r w:rsidRPr="006978E9">
        <w:rPr>
          <w:rFonts w:ascii="Times New Roman" w:hAnsi="Times New Roman" w:cs="Times New Roman"/>
          <w:i/>
          <w:iCs/>
          <w:noProof/>
          <w:sz w:val="24"/>
          <w:szCs w:val="24"/>
        </w:rPr>
        <w:t xml:space="preserve"> Goals Report 2023: Special Edition</w:t>
      </w:r>
      <w:r w:rsidRPr="006978E9">
        <w:rPr>
          <w:rFonts w:ascii="Times New Roman" w:hAnsi="Times New Roman" w:cs="Times New Roman"/>
          <w:noProof/>
          <w:sz w:val="24"/>
          <w:szCs w:val="24"/>
        </w:rPr>
        <w:t xml:space="preserve"> (pp. 16–19). chrome-extension://efaidnbmnnnibpcajpcglclefindmkaj/https://unstats.un.org/sdgs/report/2023/The-Sustainable-Development-Goals-Report-2023.pdf</w:t>
      </w:r>
    </w:p>
    <w:p w14:paraId="449B7A61" w14:textId="1F5AA51B" w:rsidR="00C56DE1" w:rsidRPr="006978E9" w:rsidRDefault="00C56DE1" w:rsidP="000159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Ottosson</w:t>
      </w:r>
      <w:r w:rsidR="000159A9">
        <w:rPr>
          <w:rFonts w:ascii="Times New Roman" w:hAnsi="Times New Roman" w:cs="Times New Roman"/>
          <w:noProof/>
          <w:sz w:val="24"/>
          <w:szCs w:val="24"/>
        </w:rPr>
        <w:t>, S.</w:t>
      </w:r>
      <w:r w:rsidRPr="006978E9">
        <w:rPr>
          <w:rFonts w:ascii="Times New Roman" w:hAnsi="Times New Roman" w:cs="Times New Roman"/>
          <w:noProof/>
          <w:sz w:val="24"/>
          <w:szCs w:val="24"/>
        </w:rPr>
        <w:t xml:space="preserve"> (2019). Innovation Theory. In S. Ottosson (Ed.), </w:t>
      </w:r>
      <w:r w:rsidRPr="006978E9">
        <w:rPr>
          <w:rFonts w:ascii="Times New Roman" w:hAnsi="Times New Roman" w:cs="Times New Roman"/>
          <w:i/>
          <w:iCs/>
          <w:noProof/>
          <w:sz w:val="24"/>
          <w:szCs w:val="24"/>
        </w:rPr>
        <w:t>Developing and Managing Innovation in a Fast Changing and Complex World</w:t>
      </w:r>
      <w:r w:rsidRPr="006978E9">
        <w:rPr>
          <w:rFonts w:ascii="Times New Roman" w:hAnsi="Times New Roman" w:cs="Times New Roman"/>
          <w:noProof/>
          <w:sz w:val="24"/>
          <w:szCs w:val="24"/>
        </w:rPr>
        <w:t xml:space="preserve"> (pp. 11–39). Springer International Publishing AG, part of Springer Nature</w:t>
      </w:r>
      <w:r>
        <w:rPr>
          <w:rFonts w:ascii="Times New Roman" w:hAnsi="Times New Roman" w:cs="Times New Roman"/>
          <w:noProof/>
          <w:sz w:val="24"/>
          <w:szCs w:val="24"/>
        </w:rPr>
        <w:t>,</w:t>
      </w:r>
      <w:r w:rsidRPr="006978E9">
        <w:rPr>
          <w:rFonts w:ascii="Times New Roman" w:hAnsi="Times New Roman" w:cs="Times New Roman"/>
          <w:noProof/>
          <w:sz w:val="24"/>
          <w:szCs w:val="24"/>
        </w:rPr>
        <w:t xml:space="preserve"> 2019. https://doi.org/https://doi.org/10.1007/978-3-319-94045-8_2</w:t>
      </w:r>
    </w:p>
    <w:p w14:paraId="1BB2AB0A"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Shulla, K., Voigt, B. F., Lardjane, S., Fischer, K., Kędzierski, P., Scandone, G., &amp; Süße, T. (2024). People-environment relations following COVID-19 pandemic lifestyle restrictions: a multinational, </w:t>
      </w:r>
      <w:r>
        <w:rPr>
          <w:rFonts w:ascii="Times New Roman" w:hAnsi="Times New Roman" w:cs="Times New Roman"/>
          <w:noProof/>
          <w:sz w:val="24"/>
          <w:szCs w:val="24"/>
        </w:rPr>
        <w:t>exploratory</w:t>
      </w:r>
      <w:r w:rsidRPr="006978E9">
        <w:rPr>
          <w:rFonts w:ascii="Times New Roman" w:hAnsi="Times New Roman" w:cs="Times New Roman"/>
          <w:noProof/>
          <w:sz w:val="24"/>
          <w:szCs w:val="24"/>
        </w:rPr>
        <w:t xml:space="preserve"> analysis of intended biophilic design changes. </w:t>
      </w:r>
      <w:r w:rsidRPr="006978E9">
        <w:rPr>
          <w:rFonts w:ascii="Times New Roman" w:hAnsi="Times New Roman" w:cs="Times New Roman"/>
          <w:i/>
          <w:iCs/>
          <w:noProof/>
          <w:sz w:val="24"/>
          <w:szCs w:val="24"/>
        </w:rPr>
        <w:t>Discover Sustainability</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5</w:t>
      </w:r>
      <w:r w:rsidRPr="006978E9">
        <w:rPr>
          <w:rFonts w:ascii="Times New Roman" w:hAnsi="Times New Roman" w:cs="Times New Roman"/>
          <w:noProof/>
          <w:sz w:val="24"/>
          <w:szCs w:val="24"/>
        </w:rPr>
        <w:t>(1). https://doi.org/10.1007/s43621-024-00423-y</w:t>
      </w:r>
    </w:p>
    <w:p w14:paraId="30586345"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Syafriel, M., Roziq, M., &amp; Taufiq, M. (2025). Core-Tax System Implementation and Tax Revenue in Indonesia and OECD Countries: A Systematic Literature Review. </w:t>
      </w:r>
      <w:r w:rsidRPr="006978E9">
        <w:rPr>
          <w:rFonts w:ascii="Times New Roman" w:hAnsi="Times New Roman" w:cs="Times New Roman"/>
          <w:i/>
          <w:iCs/>
          <w:noProof/>
          <w:sz w:val="24"/>
          <w:szCs w:val="24"/>
        </w:rPr>
        <w:t>International Journal of Current Science Research and Review</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08</w:t>
      </w:r>
      <w:r w:rsidRPr="006978E9">
        <w:rPr>
          <w:rFonts w:ascii="Times New Roman" w:hAnsi="Times New Roman" w:cs="Times New Roman"/>
          <w:noProof/>
          <w:sz w:val="24"/>
          <w:szCs w:val="24"/>
        </w:rPr>
        <w:t>(11), 5426–5434. https://doi.org/10.47191/ijcsrr/v8-i11-04</w:t>
      </w:r>
    </w:p>
    <w:p w14:paraId="49E5103A"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Syahadiyanti, L., &amp; Subriadi, A. P. (2018). Diffusion of Innovation Theory Utilization Online Financial Transaction : Literature Review. </w:t>
      </w:r>
      <w:r w:rsidRPr="006978E9">
        <w:rPr>
          <w:rFonts w:ascii="Times New Roman" w:hAnsi="Times New Roman" w:cs="Times New Roman"/>
          <w:i/>
          <w:iCs/>
          <w:noProof/>
          <w:sz w:val="24"/>
          <w:szCs w:val="24"/>
        </w:rPr>
        <w:t>International Journal of Economics and Financial Issues</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8</w:t>
      </w:r>
      <w:r w:rsidRPr="006978E9">
        <w:rPr>
          <w:rFonts w:ascii="Times New Roman" w:hAnsi="Times New Roman" w:cs="Times New Roman"/>
          <w:noProof/>
          <w:sz w:val="24"/>
          <w:szCs w:val="24"/>
        </w:rPr>
        <w:t>(3), 219–226.</w:t>
      </w:r>
    </w:p>
    <w:p w14:paraId="73AC69D1"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78E9">
        <w:rPr>
          <w:rFonts w:ascii="Times New Roman" w:hAnsi="Times New Roman" w:cs="Times New Roman"/>
          <w:noProof/>
          <w:sz w:val="24"/>
          <w:szCs w:val="24"/>
        </w:rPr>
        <w:t xml:space="preserve">Tivde, J. K. (2024). Leveraging E-Taxation for enhanced revenue generation in Nigeria. </w:t>
      </w:r>
      <w:r w:rsidRPr="006978E9">
        <w:rPr>
          <w:rFonts w:ascii="Times New Roman" w:hAnsi="Times New Roman" w:cs="Times New Roman"/>
          <w:i/>
          <w:iCs/>
          <w:noProof/>
          <w:sz w:val="24"/>
          <w:szCs w:val="24"/>
        </w:rPr>
        <w:t>International Journal of Research and Innovation in Social Science (IJRISS)</w:t>
      </w:r>
      <w:r w:rsidRPr="006978E9">
        <w:rPr>
          <w:rFonts w:ascii="Times New Roman" w:hAnsi="Times New Roman" w:cs="Times New Roman"/>
          <w:noProof/>
          <w:sz w:val="24"/>
          <w:szCs w:val="24"/>
        </w:rPr>
        <w:t xml:space="preserve">, </w:t>
      </w:r>
      <w:r w:rsidRPr="006978E9">
        <w:rPr>
          <w:rFonts w:ascii="Times New Roman" w:hAnsi="Times New Roman" w:cs="Times New Roman"/>
          <w:i/>
          <w:iCs/>
          <w:noProof/>
          <w:sz w:val="24"/>
          <w:szCs w:val="24"/>
        </w:rPr>
        <w:t>III</w:t>
      </w:r>
      <w:r w:rsidRPr="006978E9">
        <w:rPr>
          <w:rFonts w:ascii="Times New Roman" w:hAnsi="Times New Roman" w:cs="Times New Roman"/>
          <w:noProof/>
          <w:sz w:val="24"/>
          <w:szCs w:val="24"/>
        </w:rPr>
        <w:t>(IX), 661–670. https://doi.org/https://dx.doi.org/10.47772/IJRISS.2024.809059</w:t>
      </w:r>
    </w:p>
    <w:p w14:paraId="38647495" w14:textId="77777777" w:rsidR="00C56DE1" w:rsidRPr="006978E9" w:rsidRDefault="00C56DE1" w:rsidP="00C56DE1">
      <w:pPr>
        <w:widowControl w:val="0"/>
        <w:autoSpaceDE w:val="0"/>
        <w:autoSpaceDN w:val="0"/>
        <w:adjustRightInd w:val="0"/>
        <w:spacing w:after="0" w:line="240" w:lineRule="auto"/>
        <w:ind w:left="480" w:hanging="480"/>
        <w:rPr>
          <w:rFonts w:ascii="Times New Roman" w:hAnsi="Times New Roman" w:cs="Times New Roman"/>
          <w:noProof/>
          <w:sz w:val="24"/>
        </w:rPr>
      </w:pPr>
      <w:r w:rsidRPr="006978E9">
        <w:rPr>
          <w:rFonts w:ascii="Times New Roman" w:hAnsi="Times New Roman" w:cs="Times New Roman"/>
          <w:noProof/>
          <w:sz w:val="24"/>
          <w:szCs w:val="24"/>
        </w:rPr>
        <w:t xml:space="preserve">UN. (2024). (United Nations). The Sustainable Development Goals Report. </w:t>
      </w:r>
      <w:r w:rsidRPr="006978E9">
        <w:rPr>
          <w:rFonts w:ascii="Times New Roman" w:hAnsi="Times New Roman" w:cs="Times New Roman"/>
          <w:i/>
          <w:iCs/>
          <w:noProof/>
          <w:sz w:val="24"/>
          <w:szCs w:val="24"/>
        </w:rPr>
        <w:t>The Companion to Development Studies</w:t>
      </w:r>
      <w:r w:rsidRPr="006978E9">
        <w:rPr>
          <w:rFonts w:ascii="Times New Roman" w:hAnsi="Times New Roman" w:cs="Times New Roman"/>
          <w:noProof/>
          <w:sz w:val="24"/>
          <w:szCs w:val="24"/>
        </w:rPr>
        <w:t>, 253–257.</w:t>
      </w:r>
    </w:p>
    <w:p w14:paraId="1EF4337F" w14:textId="7C9118A6" w:rsidR="00C56DE1" w:rsidRDefault="00C56DE1" w:rsidP="00F91AF5">
      <w:pPr>
        <w:spacing w:line="360" w:lineRule="auto"/>
        <w:rPr>
          <w:rFonts w:ascii="Times New Roman" w:hAnsi="Times New Roman" w:cs="Times New Roman"/>
          <w:sz w:val="24"/>
          <w:szCs w:val="24"/>
        </w:rPr>
        <w:sectPr w:rsidR="00C56DE1" w:rsidSect="00465807">
          <w:type w:val="continuous"/>
          <w:pgSz w:w="12240" w:h="15840"/>
          <w:pgMar w:top="1440" w:right="1440" w:bottom="1440" w:left="1440" w:header="720" w:footer="720" w:gutter="0"/>
          <w:cols w:space="720"/>
          <w:docGrid w:linePitch="360"/>
        </w:sectPr>
      </w:pPr>
      <w:r w:rsidRPr="002513AE">
        <w:rPr>
          <w:rFonts w:ascii="Times New Roman" w:hAnsi="Times New Roman" w:cs="Times New Roman"/>
          <w:sz w:val="24"/>
          <w:szCs w:val="24"/>
        </w:rPr>
        <w:fldChar w:fldCharType="end"/>
      </w:r>
    </w:p>
    <w:p w14:paraId="6FFB6B34" w14:textId="77777777" w:rsidR="00860794" w:rsidRDefault="00860794" w:rsidP="006F08C9">
      <w:pPr>
        <w:jc w:val="center"/>
        <w:rPr>
          <w:rFonts w:ascii="Times New Roman" w:hAnsi="Times New Roman" w:cs="Times New Roman"/>
          <w:b/>
          <w:sz w:val="24"/>
          <w:szCs w:val="24"/>
        </w:rPr>
      </w:pPr>
    </w:p>
    <w:p w14:paraId="023D8535" w14:textId="6E7DED09" w:rsidR="007B0AA2" w:rsidRPr="007B0AA2" w:rsidRDefault="007B0AA2" w:rsidP="006F08C9">
      <w:pPr>
        <w:jc w:val="center"/>
        <w:rPr>
          <w:rFonts w:ascii="Times New Roman" w:hAnsi="Times New Roman" w:cs="Times New Roman"/>
          <w:b/>
          <w:sz w:val="24"/>
          <w:szCs w:val="24"/>
        </w:rPr>
      </w:pPr>
      <w:r w:rsidRPr="007B0AA2">
        <w:rPr>
          <w:rFonts w:ascii="Times New Roman" w:hAnsi="Times New Roman" w:cs="Times New Roman"/>
          <w:b/>
          <w:sz w:val="24"/>
          <w:szCs w:val="24"/>
        </w:rPr>
        <w:lastRenderedPageBreak/>
        <w:t>Appendix</w:t>
      </w:r>
    </w:p>
    <w:p w14:paraId="50343A13" w14:textId="77777777" w:rsidR="007B0AA2" w:rsidRPr="002513AE" w:rsidRDefault="007B0AA2" w:rsidP="007B0AA2">
      <w:pPr>
        <w:widowControl w:val="0"/>
        <w:autoSpaceDE w:val="0"/>
        <w:autoSpaceDN w:val="0"/>
        <w:adjustRightInd w:val="0"/>
        <w:spacing w:line="360" w:lineRule="auto"/>
        <w:ind w:left="480" w:hanging="480"/>
        <w:rPr>
          <w:rFonts w:ascii="Times New Roman" w:hAnsi="Times New Roman" w:cs="Times New Roman"/>
          <w:sz w:val="24"/>
          <w:szCs w:val="24"/>
        </w:rPr>
      </w:pPr>
      <w:r w:rsidRPr="002513AE">
        <w:rPr>
          <w:rFonts w:ascii="Times New Roman" w:hAnsi="Times New Roman" w:cs="Times New Roman"/>
          <w:sz w:val="24"/>
          <w:szCs w:val="24"/>
        </w:rPr>
        <w:t xml:space="preserve">Pre-Tax ProMax implementation        </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279"/>
        <w:gridCol w:w="1350"/>
        <w:gridCol w:w="1260"/>
        <w:gridCol w:w="1350"/>
        <w:gridCol w:w="1890"/>
      </w:tblGrid>
      <w:tr w:rsidR="007B0AA2" w:rsidRPr="002513AE" w14:paraId="02B46641" w14:textId="77777777" w:rsidTr="00465807">
        <w:trPr>
          <w:trHeight w:val="315"/>
        </w:trPr>
        <w:tc>
          <w:tcPr>
            <w:tcW w:w="1056" w:type="dxa"/>
          </w:tcPr>
          <w:p w14:paraId="7EA4D0BA"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w:t>
            </w:r>
          </w:p>
        </w:tc>
        <w:tc>
          <w:tcPr>
            <w:tcW w:w="1279" w:type="dxa"/>
            <w:shd w:val="clear" w:color="auto" w:fill="auto"/>
            <w:noWrap/>
            <w:vAlign w:val="bottom"/>
            <w:hideMark/>
          </w:tcPr>
          <w:p w14:paraId="13E86A02"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2017</w:t>
            </w:r>
          </w:p>
        </w:tc>
        <w:tc>
          <w:tcPr>
            <w:tcW w:w="1350" w:type="dxa"/>
            <w:shd w:val="clear" w:color="auto" w:fill="auto"/>
            <w:noWrap/>
            <w:vAlign w:val="bottom"/>
            <w:hideMark/>
          </w:tcPr>
          <w:p w14:paraId="56377AB5"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2018</w:t>
            </w:r>
          </w:p>
        </w:tc>
        <w:tc>
          <w:tcPr>
            <w:tcW w:w="1260" w:type="dxa"/>
            <w:shd w:val="clear" w:color="auto" w:fill="auto"/>
            <w:noWrap/>
            <w:vAlign w:val="bottom"/>
            <w:hideMark/>
          </w:tcPr>
          <w:p w14:paraId="296B637F"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2019</w:t>
            </w:r>
          </w:p>
        </w:tc>
        <w:tc>
          <w:tcPr>
            <w:tcW w:w="1350" w:type="dxa"/>
            <w:shd w:val="clear" w:color="auto" w:fill="auto"/>
            <w:noWrap/>
            <w:vAlign w:val="bottom"/>
            <w:hideMark/>
          </w:tcPr>
          <w:p w14:paraId="17D4CEA3"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2020</w:t>
            </w:r>
          </w:p>
        </w:tc>
        <w:tc>
          <w:tcPr>
            <w:tcW w:w="1890" w:type="dxa"/>
          </w:tcPr>
          <w:p w14:paraId="5A081256"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Total revenue</w:t>
            </w:r>
          </w:p>
        </w:tc>
      </w:tr>
      <w:tr w:rsidR="007B0AA2" w:rsidRPr="002513AE" w14:paraId="0884C36D" w14:textId="77777777" w:rsidTr="00465807">
        <w:trPr>
          <w:trHeight w:val="315"/>
        </w:trPr>
        <w:tc>
          <w:tcPr>
            <w:tcW w:w="1056" w:type="dxa"/>
          </w:tcPr>
          <w:p w14:paraId="5DC38C80" w14:textId="77777777" w:rsidR="007B0AA2" w:rsidRPr="002513AE" w:rsidRDefault="007B0AA2" w:rsidP="00465807">
            <w:pPr>
              <w:spacing w:after="0" w:line="240" w:lineRule="auto"/>
              <w:rPr>
                <w:rFonts w:ascii="Times New Roman" w:eastAsia="Times New Roman" w:hAnsi="Times New Roman" w:cs="Times New Roman"/>
                <w:color w:val="000000"/>
                <w:sz w:val="24"/>
                <w:szCs w:val="24"/>
              </w:rPr>
            </w:pPr>
          </w:p>
        </w:tc>
        <w:tc>
          <w:tcPr>
            <w:tcW w:w="1279" w:type="dxa"/>
            <w:shd w:val="clear" w:color="auto" w:fill="auto"/>
            <w:noWrap/>
            <w:vAlign w:val="bottom"/>
            <w:hideMark/>
          </w:tcPr>
          <w:p w14:paraId="31F1EFE2" w14:textId="77777777" w:rsidR="007B0AA2" w:rsidRPr="002513AE" w:rsidRDefault="007B0AA2" w:rsidP="00465807">
            <w:pPr>
              <w:spacing w:after="0" w:line="240" w:lineRule="auto"/>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 billions</w:t>
            </w:r>
          </w:p>
        </w:tc>
        <w:tc>
          <w:tcPr>
            <w:tcW w:w="1350" w:type="dxa"/>
            <w:shd w:val="clear" w:color="auto" w:fill="auto"/>
            <w:noWrap/>
            <w:vAlign w:val="bottom"/>
            <w:hideMark/>
          </w:tcPr>
          <w:p w14:paraId="298C725E" w14:textId="77777777" w:rsidR="007B0AA2" w:rsidRPr="002513AE" w:rsidRDefault="007B0AA2" w:rsidP="00465807">
            <w:pPr>
              <w:spacing w:after="0" w:line="240" w:lineRule="auto"/>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 billions</w:t>
            </w:r>
          </w:p>
        </w:tc>
        <w:tc>
          <w:tcPr>
            <w:tcW w:w="1260" w:type="dxa"/>
            <w:shd w:val="clear" w:color="auto" w:fill="auto"/>
            <w:noWrap/>
            <w:vAlign w:val="bottom"/>
            <w:hideMark/>
          </w:tcPr>
          <w:p w14:paraId="0C0C3BA5" w14:textId="77777777" w:rsidR="007B0AA2" w:rsidRPr="002513AE" w:rsidRDefault="007B0AA2" w:rsidP="00465807">
            <w:pPr>
              <w:spacing w:after="0" w:line="240" w:lineRule="auto"/>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 billions</w:t>
            </w:r>
          </w:p>
        </w:tc>
        <w:tc>
          <w:tcPr>
            <w:tcW w:w="1350" w:type="dxa"/>
            <w:shd w:val="clear" w:color="auto" w:fill="auto"/>
            <w:noWrap/>
            <w:vAlign w:val="bottom"/>
            <w:hideMark/>
          </w:tcPr>
          <w:p w14:paraId="4C58E4F5" w14:textId="77777777" w:rsidR="007B0AA2" w:rsidRPr="002513AE" w:rsidRDefault="007B0AA2" w:rsidP="00465807">
            <w:pPr>
              <w:spacing w:after="0" w:line="240" w:lineRule="auto"/>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 billions</w:t>
            </w:r>
          </w:p>
        </w:tc>
        <w:tc>
          <w:tcPr>
            <w:tcW w:w="1890" w:type="dxa"/>
          </w:tcPr>
          <w:p w14:paraId="095477CE" w14:textId="77777777" w:rsidR="007B0AA2" w:rsidRPr="002513AE" w:rsidRDefault="007B0AA2" w:rsidP="00465807">
            <w:pPr>
              <w:spacing w:after="0" w:line="240" w:lineRule="auto"/>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 billions</w:t>
            </w:r>
          </w:p>
        </w:tc>
      </w:tr>
      <w:tr w:rsidR="007B0AA2" w:rsidRPr="002513AE" w14:paraId="4C1B8B1E" w14:textId="77777777" w:rsidTr="00465807">
        <w:trPr>
          <w:trHeight w:val="315"/>
        </w:trPr>
        <w:tc>
          <w:tcPr>
            <w:tcW w:w="1056" w:type="dxa"/>
          </w:tcPr>
          <w:p w14:paraId="6849D8CE"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CIT</w:t>
            </w:r>
          </w:p>
        </w:tc>
        <w:tc>
          <w:tcPr>
            <w:tcW w:w="1279" w:type="dxa"/>
            <w:shd w:val="clear" w:color="auto" w:fill="auto"/>
            <w:vAlign w:val="center"/>
            <w:hideMark/>
          </w:tcPr>
          <w:p w14:paraId="740F371E"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1,215.06</w:t>
            </w:r>
          </w:p>
        </w:tc>
        <w:tc>
          <w:tcPr>
            <w:tcW w:w="1350" w:type="dxa"/>
            <w:shd w:val="clear" w:color="auto" w:fill="auto"/>
            <w:vAlign w:val="center"/>
            <w:hideMark/>
          </w:tcPr>
          <w:p w14:paraId="06C26367"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1,340.33</w:t>
            </w:r>
          </w:p>
        </w:tc>
        <w:tc>
          <w:tcPr>
            <w:tcW w:w="1260" w:type="dxa"/>
            <w:shd w:val="clear" w:color="auto" w:fill="auto"/>
            <w:vAlign w:val="center"/>
            <w:hideMark/>
          </w:tcPr>
          <w:p w14:paraId="6A6C104D"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1,604.70</w:t>
            </w:r>
          </w:p>
        </w:tc>
        <w:tc>
          <w:tcPr>
            <w:tcW w:w="1350" w:type="dxa"/>
            <w:shd w:val="clear" w:color="auto" w:fill="auto"/>
            <w:vAlign w:val="center"/>
            <w:hideMark/>
          </w:tcPr>
          <w:p w14:paraId="4EBA486B"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1,275.38</w:t>
            </w:r>
          </w:p>
        </w:tc>
        <w:tc>
          <w:tcPr>
            <w:tcW w:w="1890" w:type="dxa"/>
          </w:tcPr>
          <w:p w14:paraId="5B7900AB" w14:textId="77777777" w:rsidR="007B0AA2" w:rsidRPr="002513AE" w:rsidRDefault="007B0AA2" w:rsidP="00465807">
            <w:pPr>
              <w:spacing w:line="240" w:lineRule="auto"/>
              <w:jc w:val="right"/>
              <w:rPr>
                <w:rFonts w:ascii="Times New Roman" w:hAnsi="Times New Roman" w:cs="Times New Roman"/>
                <w:color w:val="000000"/>
                <w:sz w:val="24"/>
                <w:szCs w:val="24"/>
              </w:rPr>
            </w:pPr>
            <w:r w:rsidRPr="002513AE">
              <w:rPr>
                <w:rFonts w:ascii="Times New Roman" w:hAnsi="Times New Roman" w:cs="Times New Roman"/>
                <w:color w:val="000000"/>
                <w:sz w:val="24"/>
                <w:szCs w:val="24"/>
              </w:rPr>
              <w:t>5,435.47</w:t>
            </w:r>
          </w:p>
        </w:tc>
      </w:tr>
      <w:tr w:rsidR="007B0AA2" w:rsidRPr="002513AE" w14:paraId="18D9C7FB" w14:textId="77777777" w:rsidTr="00465807">
        <w:trPr>
          <w:trHeight w:val="315"/>
        </w:trPr>
        <w:tc>
          <w:tcPr>
            <w:tcW w:w="1056" w:type="dxa"/>
          </w:tcPr>
          <w:p w14:paraId="57B4E66C"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VAT</w:t>
            </w:r>
          </w:p>
        </w:tc>
        <w:tc>
          <w:tcPr>
            <w:tcW w:w="1279" w:type="dxa"/>
            <w:shd w:val="clear" w:color="auto" w:fill="auto"/>
            <w:vAlign w:val="center"/>
            <w:hideMark/>
          </w:tcPr>
          <w:p w14:paraId="51F8A5FC"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972.348</w:t>
            </w:r>
          </w:p>
        </w:tc>
        <w:tc>
          <w:tcPr>
            <w:tcW w:w="1350" w:type="dxa"/>
            <w:shd w:val="clear" w:color="auto" w:fill="auto"/>
            <w:vAlign w:val="center"/>
            <w:hideMark/>
          </w:tcPr>
          <w:p w14:paraId="4B048BD7"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1,108.04</w:t>
            </w:r>
          </w:p>
        </w:tc>
        <w:tc>
          <w:tcPr>
            <w:tcW w:w="1260" w:type="dxa"/>
            <w:shd w:val="clear" w:color="auto" w:fill="auto"/>
            <w:vAlign w:val="center"/>
            <w:hideMark/>
          </w:tcPr>
          <w:p w14:paraId="0875820A"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1,189.98</w:t>
            </w:r>
          </w:p>
        </w:tc>
        <w:tc>
          <w:tcPr>
            <w:tcW w:w="1350" w:type="dxa"/>
            <w:shd w:val="clear" w:color="auto" w:fill="auto"/>
            <w:vAlign w:val="center"/>
            <w:hideMark/>
          </w:tcPr>
          <w:p w14:paraId="1F0A5F53"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1,531.17</w:t>
            </w:r>
          </w:p>
        </w:tc>
        <w:tc>
          <w:tcPr>
            <w:tcW w:w="1890" w:type="dxa"/>
            <w:tcBorders>
              <w:bottom w:val="single" w:sz="4" w:space="0" w:color="auto"/>
            </w:tcBorders>
          </w:tcPr>
          <w:p w14:paraId="6BF7B4A3" w14:textId="77777777" w:rsidR="007B0AA2" w:rsidRPr="002513AE" w:rsidRDefault="007B0AA2" w:rsidP="00465807">
            <w:pPr>
              <w:spacing w:line="240" w:lineRule="auto"/>
              <w:jc w:val="right"/>
              <w:rPr>
                <w:rFonts w:ascii="Times New Roman" w:hAnsi="Times New Roman" w:cs="Times New Roman"/>
                <w:color w:val="000000"/>
                <w:sz w:val="24"/>
                <w:szCs w:val="24"/>
              </w:rPr>
            </w:pPr>
            <w:r w:rsidRPr="002513AE">
              <w:rPr>
                <w:rFonts w:ascii="Times New Roman" w:hAnsi="Times New Roman" w:cs="Times New Roman"/>
                <w:color w:val="000000"/>
                <w:sz w:val="24"/>
                <w:szCs w:val="24"/>
              </w:rPr>
              <w:t>4,801.54</w:t>
            </w:r>
          </w:p>
        </w:tc>
      </w:tr>
      <w:tr w:rsidR="007B0AA2" w:rsidRPr="002513AE" w14:paraId="59D8D7CF" w14:textId="77777777" w:rsidTr="00465807">
        <w:trPr>
          <w:trHeight w:val="315"/>
        </w:trPr>
        <w:tc>
          <w:tcPr>
            <w:tcW w:w="1056" w:type="dxa"/>
          </w:tcPr>
          <w:p w14:paraId="75D997E9"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rPr>
            </w:pPr>
            <w:r w:rsidRPr="002513AE">
              <w:rPr>
                <w:rFonts w:ascii="Times New Roman" w:eastAsia="Times New Roman" w:hAnsi="Times New Roman" w:cs="Times New Roman"/>
                <w:color w:val="000000"/>
                <w:sz w:val="24"/>
                <w:szCs w:val="24"/>
              </w:rPr>
              <w:t>EDT</w:t>
            </w:r>
          </w:p>
        </w:tc>
        <w:tc>
          <w:tcPr>
            <w:tcW w:w="1279" w:type="dxa"/>
            <w:shd w:val="clear" w:color="auto" w:fill="auto"/>
            <w:vAlign w:val="center"/>
            <w:hideMark/>
          </w:tcPr>
          <w:p w14:paraId="37A5BA89"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154.957</w:t>
            </w:r>
          </w:p>
        </w:tc>
        <w:tc>
          <w:tcPr>
            <w:tcW w:w="1350" w:type="dxa"/>
            <w:shd w:val="clear" w:color="auto" w:fill="auto"/>
            <w:vAlign w:val="center"/>
            <w:hideMark/>
          </w:tcPr>
          <w:p w14:paraId="6BF1DB08"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203.285</w:t>
            </w:r>
          </w:p>
        </w:tc>
        <w:tc>
          <w:tcPr>
            <w:tcW w:w="1260" w:type="dxa"/>
            <w:shd w:val="clear" w:color="auto" w:fill="auto"/>
            <w:vAlign w:val="center"/>
            <w:hideMark/>
          </w:tcPr>
          <w:p w14:paraId="386CA3C3"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221.058</w:t>
            </w:r>
          </w:p>
        </w:tc>
        <w:tc>
          <w:tcPr>
            <w:tcW w:w="1350" w:type="dxa"/>
            <w:shd w:val="clear" w:color="auto" w:fill="auto"/>
            <w:vAlign w:val="center"/>
            <w:hideMark/>
          </w:tcPr>
          <w:p w14:paraId="3AD3525F"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259.563</w:t>
            </w:r>
          </w:p>
        </w:tc>
        <w:tc>
          <w:tcPr>
            <w:tcW w:w="1890" w:type="dxa"/>
          </w:tcPr>
          <w:p w14:paraId="580BDAE1" w14:textId="77777777" w:rsidR="007B0AA2" w:rsidRPr="002513AE" w:rsidRDefault="007B0AA2" w:rsidP="00465807">
            <w:pPr>
              <w:spacing w:line="240" w:lineRule="auto"/>
              <w:jc w:val="right"/>
              <w:rPr>
                <w:rFonts w:ascii="Times New Roman" w:hAnsi="Times New Roman" w:cs="Times New Roman"/>
                <w:color w:val="000000"/>
                <w:sz w:val="24"/>
                <w:szCs w:val="24"/>
                <w:u w:val="single"/>
              </w:rPr>
            </w:pPr>
            <w:r w:rsidRPr="002513AE">
              <w:rPr>
                <w:rFonts w:ascii="Times New Roman" w:hAnsi="Times New Roman" w:cs="Times New Roman"/>
                <w:color w:val="000000"/>
                <w:sz w:val="24"/>
                <w:szCs w:val="24"/>
                <w:u w:val="single"/>
              </w:rPr>
              <w:t>838.86</w:t>
            </w:r>
          </w:p>
        </w:tc>
      </w:tr>
      <w:tr w:rsidR="007B0AA2" w:rsidRPr="002513AE" w14:paraId="4C3C1D27" w14:textId="77777777" w:rsidTr="00465807">
        <w:trPr>
          <w:trHeight w:val="315"/>
        </w:trPr>
        <w:tc>
          <w:tcPr>
            <w:tcW w:w="1056" w:type="dxa"/>
          </w:tcPr>
          <w:p w14:paraId="6EDBF384"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p>
        </w:tc>
        <w:tc>
          <w:tcPr>
            <w:tcW w:w="1279" w:type="dxa"/>
            <w:shd w:val="clear" w:color="auto" w:fill="auto"/>
            <w:noWrap/>
            <w:vAlign w:val="bottom"/>
            <w:hideMark/>
          </w:tcPr>
          <w:p w14:paraId="071A0E8F"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2,342.36</w:t>
            </w:r>
          </w:p>
        </w:tc>
        <w:tc>
          <w:tcPr>
            <w:tcW w:w="1350" w:type="dxa"/>
            <w:shd w:val="clear" w:color="auto" w:fill="auto"/>
            <w:noWrap/>
            <w:vAlign w:val="bottom"/>
            <w:hideMark/>
          </w:tcPr>
          <w:p w14:paraId="0DAD4451"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2,651.65</w:t>
            </w:r>
          </w:p>
        </w:tc>
        <w:tc>
          <w:tcPr>
            <w:tcW w:w="1260" w:type="dxa"/>
            <w:shd w:val="clear" w:color="auto" w:fill="auto"/>
            <w:noWrap/>
            <w:vAlign w:val="bottom"/>
            <w:hideMark/>
          </w:tcPr>
          <w:p w14:paraId="4B228C06"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3,015.74</w:t>
            </w:r>
          </w:p>
        </w:tc>
        <w:tc>
          <w:tcPr>
            <w:tcW w:w="1350" w:type="dxa"/>
            <w:shd w:val="clear" w:color="auto" w:fill="auto"/>
            <w:noWrap/>
            <w:vAlign w:val="bottom"/>
            <w:hideMark/>
          </w:tcPr>
          <w:p w14:paraId="0762AFA7" w14:textId="77777777" w:rsidR="007B0AA2" w:rsidRPr="002513AE" w:rsidRDefault="007B0AA2" w:rsidP="00465807">
            <w:pPr>
              <w:spacing w:after="0" w:line="240" w:lineRule="auto"/>
              <w:jc w:val="right"/>
              <w:rPr>
                <w:rFonts w:ascii="Times New Roman" w:eastAsia="Times New Roman" w:hAnsi="Times New Roman" w:cs="Times New Roman"/>
                <w:color w:val="000000"/>
                <w:sz w:val="24"/>
                <w:szCs w:val="24"/>
                <w:u w:val="single"/>
              </w:rPr>
            </w:pPr>
            <w:r w:rsidRPr="002513AE">
              <w:rPr>
                <w:rFonts w:ascii="Times New Roman" w:eastAsia="Times New Roman" w:hAnsi="Times New Roman" w:cs="Times New Roman"/>
                <w:color w:val="000000"/>
                <w:sz w:val="24"/>
                <w:szCs w:val="24"/>
                <w:u w:val="single"/>
              </w:rPr>
              <w:t>3,066.11</w:t>
            </w:r>
          </w:p>
        </w:tc>
        <w:tc>
          <w:tcPr>
            <w:tcW w:w="1890" w:type="dxa"/>
            <w:tcBorders>
              <w:bottom w:val="single" w:sz="4" w:space="0" w:color="auto"/>
            </w:tcBorders>
          </w:tcPr>
          <w:p w14:paraId="6FF95B9A" w14:textId="77777777" w:rsidR="007B0AA2" w:rsidRPr="002513AE" w:rsidRDefault="007B0AA2" w:rsidP="00465807">
            <w:pPr>
              <w:spacing w:line="240" w:lineRule="auto"/>
              <w:rPr>
                <w:rFonts w:ascii="Times New Roman" w:hAnsi="Times New Roman" w:cs="Times New Roman"/>
                <w:color w:val="000000"/>
                <w:sz w:val="24"/>
                <w:szCs w:val="24"/>
                <w:u w:val="single"/>
              </w:rPr>
            </w:pPr>
            <w:r w:rsidRPr="002513AE">
              <w:rPr>
                <w:rFonts w:ascii="Times New Roman" w:hAnsi="Times New Roman" w:cs="Times New Roman"/>
                <w:color w:val="000000"/>
                <w:sz w:val="24"/>
                <w:szCs w:val="24"/>
              </w:rPr>
              <w:t xml:space="preserve">          </w:t>
            </w:r>
            <w:r w:rsidRPr="002513AE">
              <w:rPr>
                <w:rFonts w:ascii="Times New Roman" w:hAnsi="Times New Roman" w:cs="Times New Roman"/>
                <w:color w:val="000000"/>
                <w:sz w:val="24"/>
                <w:szCs w:val="24"/>
                <w:u w:val="single"/>
              </w:rPr>
              <w:t>11,075.87</w:t>
            </w:r>
          </w:p>
        </w:tc>
      </w:tr>
    </w:tbl>
    <w:p w14:paraId="393744E6" w14:textId="77777777" w:rsidR="007B0AA2" w:rsidRPr="002513AE" w:rsidRDefault="007B0AA2" w:rsidP="007B0AA2">
      <w:pPr>
        <w:rPr>
          <w:rFonts w:ascii="Times New Roman" w:eastAsia="Times New Roman" w:hAnsi="Times New Roman" w:cs="Times New Roman"/>
          <w:color w:val="000000"/>
          <w:sz w:val="24"/>
          <w:szCs w:val="24"/>
        </w:rPr>
      </w:pPr>
      <w:r w:rsidRPr="002513AE">
        <w:rPr>
          <w:rFonts w:ascii="Times New Roman" w:hAnsi="Times New Roman" w:cs="Times New Roman"/>
          <w:sz w:val="24"/>
          <w:szCs w:val="24"/>
        </w:rPr>
        <w:t xml:space="preserve">Source: </w:t>
      </w:r>
      <w:r w:rsidRPr="002513AE">
        <w:rPr>
          <w:rFonts w:ascii="Times New Roman" w:eastAsia="Times New Roman" w:hAnsi="Times New Roman" w:cs="Times New Roman"/>
          <w:color w:val="000000"/>
          <w:sz w:val="24"/>
          <w:szCs w:val="24"/>
        </w:rPr>
        <w:t>https://www.nrs.gov.ng/page/revenue-dashboard</w:t>
      </w:r>
    </w:p>
    <w:p w14:paraId="185AFC55" w14:textId="77777777" w:rsidR="007B0AA2" w:rsidRPr="002513AE" w:rsidRDefault="007B0AA2" w:rsidP="007B0AA2">
      <w:pPr>
        <w:widowControl w:val="0"/>
        <w:autoSpaceDE w:val="0"/>
        <w:autoSpaceDN w:val="0"/>
        <w:adjustRightInd w:val="0"/>
        <w:spacing w:line="360" w:lineRule="auto"/>
        <w:ind w:left="480" w:hanging="480"/>
        <w:rPr>
          <w:rFonts w:ascii="Times New Roman" w:hAnsi="Times New Roman" w:cs="Times New Roman"/>
          <w:sz w:val="24"/>
          <w:szCs w:val="24"/>
        </w:rPr>
      </w:pPr>
      <w:r w:rsidRPr="002513AE">
        <w:rPr>
          <w:rFonts w:ascii="Times New Roman" w:hAnsi="Times New Roman" w:cs="Times New Roman"/>
          <w:sz w:val="24"/>
          <w:szCs w:val="24"/>
        </w:rPr>
        <w:t>Post-Tax ProMax implementation</w:t>
      </w:r>
    </w:p>
    <w:tbl>
      <w:tblP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260"/>
        <w:gridCol w:w="1350"/>
        <w:gridCol w:w="1260"/>
        <w:gridCol w:w="1350"/>
        <w:gridCol w:w="1800"/>
      </w:tblGrid>
      <w:tr w:rsidR="007B0AA2" w:rsidRPr="00F07243" w14:paraId="1DC2CC6C" w14:textId="77777777" w:rsidTr="00465807">
        <w:trPr>
          <w:trHeight w:val="315"/>
        </w:trPr>
        <w:tc>
          <w:tcPr>
            <w:tcW w:w="1075" w:type="dxa"/>
          </w:tcPr>
          <w:p w14:paraId="758EF502"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w:t>
            </w:r>
          </w:p>
        </w:tc>
        <w:tc>
          <w:tcPr>
            <w:tcW w:w="1260" w:type="dxa"/>
            <w:shd w:val="clear" w:color="auto" w:fill="auto"/>
            <w:noWrap/>
            <w:vAlign w:val="bottom"/>
            <w:hideMark/>
          </w:tcPr>
          <w:p w14:paraId="085A4D68"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 xml:space="preserve">Post </w:t>
            </w:r>
          </w:p>
        </w:tc>
        <w:tc>
          <w:tcPr>
            <w:tcW w:w="2610" w:type="dxa"/>
            <w:gridSpan w:val="2"/>
            <w:shd w:val="clear" w:color="auto" w:fill="auto"/>
            <w:noWrap/>
            <w:vAlign w:val="bottom"/>
            <w:hideMark/>
          </w:tcPr>
          <w:p w14:paraId="0B58560B"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Tax ProMax</w:t>
            </w:r>
          </w:p>
        </w:tc>
        <w:tc>
          <w:tcPr>
            <w:tcW w:w="1350" w:type="dxa"/>
            <w:shd w:val="clear" w:color="auto" w:fill="auto"/>
            <w:noWrap/>
            <w:vAlign w:val="bottom"/>
            <w:hideMark/>
          </w:tcPr>
          <w:p w14:paraId="56E98D81"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p>
        </w:tc>
        <w:tc>
          <w:tcPr>
            <w:tcW w:w="1800" w:type="dxa"/>
            <w:shd w:val="clear" w:color="auto" w:fill="auto"/>
            <w:noWrap/>
            <w:vAlign w:val="bottom"/>
            <w:hideMark/>
          </w:tcPr>
          <w:p w14:paraId="58E67FD4" w14:textId="77777777" w:rsidR="007B0AA2" w:rsidRPr="00F07243" w:rsidRDefault="007B0AA2" w:rsidP="00465807">
            <w:pPr>
              <w:spacing w:after="0" w:line="240" w:lineRule="auto"/>
              <w:rPr>
                <w:rFonts w:ascii="Times New Roman" w:eastAsia="Times New Roman" w:hAnsi="Times New Roman" w:cs="Times New Roman"/>
                <w:sz w:val="24"/>
                <w:szCs w:val="24"/>
              </w:rPr>
            </w:pPr>
          </w:p>
        </w:tc>
      </w:tr>
      <w:tr w:rsidR="007B0AA2" w:rsidRPr="00F07243" w14:paraId="3CDEE787" w14:textId="77777777" w:rsidTr="00465807">
        <w:trPr>
          <w:trHeight w:val="315"/>
        </w:trPr>
        <w:tc>
          <w:tcPr>
            <w:tcW w:w="1075" w:type="dxa"/>
          </w:tcPr>
          <w:p w14:paraId="55290DFF"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p>
        </w:tc>
        <w:tc>
          <w:tcPr>
            <w:tcW w:w="1260" w:type="dxa"/>
            <w:shd w:val="clear" w:color="auto" w:fill="auto"/>
            <w:noWrap/>
            <w:vAlign w:val="bottom"/>
            <w:hideMark/>
          </w:tcPr>
          <w:p w14:paraId="230AC369"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2022</w:t>
            </w:r>
          </w:p>
        </w:tc>
        <w:tc>
          <w:tcPr>
            <w:tcW w:w="1350" w:type="dxa"/>
            <w:shd w:val="clear" w:color="auto" w:fill="auto"/>
            <w:noWrap/>
            <w:vAlign w:val="bottom"/>
            <w:hideMark/>
          </w:tcPr>
          <w:p w14:paraId="6EF74977"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2023</w:t>
            </w:r>
          </w:p>
        </w:tc>
        <w:tc>
          <w:tcPr>
            <w:tcW w:w="1260" w:type="dxa"/>
            <w:shd w:val="clear" w:color="auto" w:fill="auto"/>
            <w:noWrap/>
            <w:vAlign w:val="bottom"/>
            <w:hideMark/>
          </w:tcPr>
          <w:p w14:paraId="1FCA4E85"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2024</w:t>
            </w:r>
          </w:p>
        </w:tc>
        <w:tc>
          <w:tcPr>
            <w:tcW w:w="1350" w:type="dxa"/>
            <w:shd w:val="clear" w:color="auto" w:fill="auto"/>
            <w:noWrap/>
            <w:vAlign w:val="bottom"/>
            <w:hideMark/>
          </w:tcPr>
          <w:p w14:paraId="2F331A8F"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2025</w:t>
            </w:r>
          </w:p>
        </w:tc>
        <w:tc>
          <w:tcPr>
            <w:tcW w:w="1800" w:type="dxa"/>
            <w:shd w:val="clear" w:color="auto" w:fill="auto"/>
            <w:noWrap/>
            <w:vAlign w:val="bottom"/>
            <w:hideMark/>
          </w:tcPr>
          <w:p w14:paraId="568EBC69"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Total</w:t>
            </w:r>
            <w:r>
              <w:rPr>
                <w:rFonts w:ascii="Times New Roman" w:eastAsia="Times New Roman" w:hAnsi="Times New Roman" w:cs="Times New Roman"/>
                <w:color w:val="000000"/>
                <w:sz w:val="24"/>
                <w:szCs w:val="24"/>
              </w:rPr>
              <w:t xml:space="preserve"> revenue</w:t>
            </w:r>
          </w:p>
        </w:tc>
      </w:tr>
      <w:tr w:rsidR="007B0AA2" w:rsidRPr="00F07243" w14:paraId="2C7D7764" w14:textId="77777777" w:rsidTr="00465807">
        <w:trPr>
          <w:trHeight w:val="315"/>
        </w:trPr>
        <w:tc>
          <w:tcPr>
            <w:tcW w:w="1075" w:type="dxa"/>
          </w:tcPr>
          <w:p w14:paraId="4E6508A6"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p>
        </w:tc>
        <w:tc>
          <w:tcPr>
            <w:tcW w:w="1260" w:type="dxa"/>
            <w:shd w:val="clear" w:color="auto" w:fill="auto"/>
            <w:noWrap/>
            <w:vAlign w:val="bottom"/>
            <w:hideMark/>
          </w:tcPr>
          <w:p w14:paraId="1509A3A5"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 billions</w:t>
            </w:r>
          </w:p>
        </w:tc>
        <w:tc>
          <w:tcPr>
            <w:tcW w:w="1350" w:type="dxa"/>
            <w:shd w:val="clear" w:color="auto" w:fill="auto"/>
            <w:noWrap/>
            <w:vAlign w:val="bottom"/>
            <w:hideMark/>
          </w:tcPr>
          <w:p w14:paraId="2DD7B487"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 billions</w:t>
            </w:r>
          </w:p>
        </w:tc>
        <w:tc>
          <w:tcPr>
            <w:tcW w:w="1260" w:type="dxa"/>
            <w:shd w:val="clear" w:color="auto" w:fill="auto"/>
            <w:noWrap/>
            <w:vAlign w:val="bottom"/>
            <w:hideMark/>
          </w:tcPr>
          <w:p w14:paraId="473572BD"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 billions</w:t>
            </w:r>
          </w:p>
        </w:tc>
        <w:tc>
          <w:tcPr>
            <w:tcW w:w="1350" w:type="dxa"/>
            <w:shd w:val="clear" w:color="auto" w:fill="auto"/>
            <w:noWrap/>
            <w:vAlign w:val="bottom"/>
            <w:hideMark/>
          </w:tcPr>
          <w:p w14:paraId="687F9260"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 billions</w:t>
            </w:r>
          </w:p>
        </w:tc>
        <w:tc>
          <w:tcPr>
            <w:tcW w:w="1800" w:type="dxa"/>
            <w:shd w:val="clear" w:color="auto" w:fill="auto"/>
            <w:noWrap/>
            <w:vAlign w:val="bottom"/>
            <w:hideMark/>
          </w:tcPr>
          <w:p w14:paraId="011F654A" w14:textId="77777777" w:rsidR="007B0AA2" w:rsidRPr="00F07243" w:rsidRDefault="007B0AA2" w:rsidP="00465807">
            <w:pPr>
              <w:spacing w:after="0" w:line="240" w:lineRule="auto"/>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 billions</w:t>
            </w:r>
          </w:p>
        </w:tc>
      </w:tr>
      <w:tr w:rsidR="007B0AA2" w:rsidRPr="00F07243" w14:paraId="7F0E958E" w14:textId="77777777" w:rsidTr="00465807">
        <w:trPr>
          <w:trHeight w:val="315"/>
        </w:trPr>
        <w:tc>
          <w:tcPr>
            <w:tcW w:w="1075" w:type="dxa"/>
          </w:tcPr>
          <w:p w14:paraId="6459F0F2"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w:t>
            </w:r>
          </w:p>
        </w:tc>
        <w:tc>
          <w:tcPr>
            <w:tcW w:w="1260" w:type="dxa"/>
            <w:shd w:val="clear" w:color="auto" w:fill="auto"/>
            <w:vAlign w:val="center"/>
            <w:hideMark/>
          </w:tcPr>
          <w:p w14:paraId="697D7367"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2,649.19</w:t>
            </w:r>
          </w:p>
        </w:tc>
        <w:tc>
          <w:tcPr>
            <w:tcW w:w="1350" w:type="dxa"/>
            <w:shd w:val="clear" w:color="auto" w:fill="auto"/>
            <w:noWrap/>
            <w:vAlign w:val="bottom"/>
            <w:hideMark/>
          </w:tcPr>
          <w:p w14:paraId="0CC125C4"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3,348.75</w:t>
            </w:r>
          </w:p>
        </w:tc>
        <w:tc>
          <w:tcPr>
            <w:tcW w:w="1260" w:type="dxa"/>
            <w:shd w:val="clear" w:color="auto" w:fill="auto"/>
            <w:noWrap/>
            <w:vAlign w:val="bottom"/>
            <w:hideMark/>
          </w:tcPr>
          <w:p w14:paraId="68D28088"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6,544.09</w:t>
            </w:r>
          </w:p>
        </w:tc>
        <w:tc>
          <w:tcPr>
            <w:tcW w:w="1350" w:type="dxa"/>
            <w:shd w:val="clear" w:color="auto" w:fill="auto"/>
            <w:noWrap/>
            <w:vAlign w:val="bottom"/>
            <w:hideMark/>
          </w:tcPr>
          <w:p w14:paraId="6E99C150"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10,462.13</w:t>
            </w:r>
          </w:p>
        </w:tc>
        <w:tc>
          <w:tcPr>
            <w:tcW w:w="1800" w:type="dxa"/>
            <w:shd w:val="clear" w:color="auto" w:fill="auto"/>
            <w:noWrap/>
            <w:vAlign w:val="bottom"/>
            <w:hideMark/>
          </w:tcPr>
          <w:p w14:paraId="1B9A0716"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23,004.16</w:t>
            </w:r>
          </w:p>
        </w:tc>
      </w:tr>
      <w:tr w:rsidR="007B0AA2" w:rsidRPr="00F07243" w14:paraId="3359E70D" w14:textId="77777777" w:rsidTr="00465807">
        <w:trPr>
          <w:trHeight w:val="315"/>
        </w:trPr>
        <w:tc>
          <w:tcPr>
            <w:tcW w:w="1075" w:type="dxa"/>
          </w:tcPr>
          <w:p w14:paraId="6D8C5C1F"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VAT</w:t>
            </w:r>
          </w:p>
        </w:tc>
        <w:tc>
          <w:tcPr>
            <w:tcW w:w="1260" w:type="dxa"/>
            <w:shd w:val="clear" w:color="auto" w:fill="auto"/>
            <w:vAlign w:val="center"/>
            <w:hideMark/>
          </w:tcPr>
          <w:p w14:paraId="3CB71510"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2,511.52</w:t>
            </w:r>
          </w:p>
        </w:tc>
        <w:tc>
          <w:tcPr>
            <w:tcW w:w="1350" w:type="dxa"/>
            <w:shd w:val="clear" w:color="auto" w:fill="auto"/>
            <w:vAlign w:val="center"/>
            <w:hideMark/>
          </w:tcPr>
          <w:p w14:paraId="56AFCDC5"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3,639.32</w:t>
            </w:r>
          </w:p>
        </w:tc>
        <w:tc>
          <w:tcPr>
            <w:tcW w:w="1260" w:type="dxa"/>
            <w:shd w:val="clear" w:color="auto" w:fill="auto"/>
            <w:noWrap/>
            <w:vAlign w:val="bottom"/>
            <w:hideMark/>
          </w:tcPr>
          <w:p w14:paraId="3175D8EE"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6,721.36</w:t>
            </w:r>
          </w:p>
        </w:tc>
        <w:tc>
          <w:tcPr>
            <w:tcW w:w="1350" w:type="dxa"/>
            <w:shd w:val="clear" w:color="auto" w:fill="auto"/>
            <w:noWrap/>
            <w:vAlign w:val="bottom"/>
            <w:hideMark/>
          </w:tcPr>
          <w:p w14:paraId="110FFE8D"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8,600.40</w:t>
            </w:r>
          </w:p>
        </w:tc>
        <w:tc>
          <w:tcPr>
            <w:tcW w:w="1800" w:type="dxa"/>
            <w:shd w:val="clear" w:color="auto" w:fill="auto"/>
            <w:noWrap/>
            <w:vAlign w:val="bottom"/>
            <w:hideMark/>
          </w:tcPr>
          <w:p w14:paraId="2DA523C4"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rPr>
            </w:pPr>
            <w:r w:rsidRPr="00F07243">
              <w:rPr>
                <w:rFonts w:ascii="Times New Roman" w:eastAsia="Times New Roman" w:hAnsi="Times New Roman" w:cs="Times New Roman"/>
                <w:color w:val="000000"/>
                <w:sz w:val="24"/>
                <w:szCs w:val="24"/>
              </w:rPr>
              <w:t>21,472.60</w:t>
            </w:r>
          </w:p>
        </w:tc>
      </w:tr>
      <w:tr w:rsidR="007B0AA2" w:rsidRPr="00F07243" w14:paraId="58D19E93" w14:textId="77777777" w:rsidTr="00465807">
        <w:trPr>
          <w:trHeight w:val="330"/>
        </w:trPr>
        <w:tc>
          <w:tcPr>
            <w:tcW w:w="1075" w:type="dxa"/>
          </w:tcPr>
          <w:p w14:paraId="1B01B731" w14:textId="77777777" w:rsidR="007B0AA2" w:rsidRPr="008746D1" w:rsidRDefault="007B0AA2" w:rsidP="00465807">
            <w:pPr>
              <w:spacing w:after="0" w:line="240" w:lineRule="auto"/>
              <w:jc w:val="right"/>
              <w:rPr>
                <w:rFonts w:ascii="Times New Roman" w:eastAsia="Times New Roman" w:hAnsi="Times New Roman" w:cs="Times New Roman"/>
                <w:color w:val="000000"/>
                <w:sz w:val="24"/>
                <w:szCs w:val="24"/>
              </w:rPr>
            </w:pPr>
            <w:r w:rsidRPr="008746D1">
              <w:rPr>
                <w:rFonts w:ascii="Times New Roman" w:eastAsia="Times New Roman" w:hAnsi="Times New Roman" w:cs="Times New Roman"/>
                <w:color w:val="000000"/>
                <w:sz w:val="24"/>
                <w:szCs w:val="24"/>
              </w:rPr>
              <w:t>EDT</w:t>
            </w:r>
          </w:p>
        </w:tc>
        <w:tc>
          <w:tcPr>
            <w:tcW w:w="1260" w:type="dxa"/>
            <w:shd w:val="clear" w:color="auto" w:fill="auto"/>
            <w:vAlign w:val="center"/>
            <w:hideMark/>
          </w:tcPr>
          <w:p w14:paraId="2BDD81A2"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328.674</w:t>
            </w:r>
          </w:p>
        </w:tc>
        <w:tc>
          <w:tcPr>
            <w:tcW w:w="1350" w:type="dxa"/>
            <w:shd w:val="clear" w:color="auto" w:fill="auto"/>
            <w:noWrap/>
            <w:vAlign w:val="bottom"/>
            <w:hideMark/>
          </w:tcPr>
          <w:p w14:paraId="6BC2EB7B"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719.44</w:t>
            </w:r>
          </w:p>
        </w:tc>
        <w:tc>
          <w:tcPr>
            <w:tcW w:w="1260" w:type="dxa"/>
            <w:shd w:val="clear" w:color="auto" w:fill="auto"/>
            <w:noWrap/>
            <w:vAlign w:val="bottom"/>
            <w:hideMark/>
          </w:tcPr>
          <w:p w14:paraId="2FD0C066"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1,637.85</w:t>
            </w:r>
          </w:p>
        </w:tc>
        <w:tc>
          <w:tcPr>
            <w:tcW w:w="1350" w:type="dxa"/>
            <w:shd w:val="clear" w:color="auto" w:fill="auto"/>
            <w:noWrap/>
            <w:vAlign w:val="bottom"/>
            <w:hideMark/>
          </w:tcPr>
          <w:p w14:paraId="7671E67D"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1,618.71</w:t>
            </w:r>
          </w:p>
        </w:tc>
        <w:tc>
          <w:tcPr>
            <w:tcW w:w="1800" w:type="dxa"/>
            <w:shd w:val="clear" w:color="auto" w:fill="auto"/>
            <w:noWrap/>
            <w:vAlign w:val="bottom"/>
            <w:hideMark/>
          </w:tcPr>
          <w:p w14:paraId="0AA436A9"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4304.674</w:t>
            </w:r>
          </w:p>
        </w:tc>
      </w:tr>
      <w:tr w:rsidR="007B0AA2" w:rsidRPr="00F07243" w14:paraId="60FF9E87" w14:textId="77777777" w:rsidTr="00465807">
        <w:trPr>
          <w:trHeight w:val="330"/>
        </w:trPr>
        <w:tc>
          <w:tcPr>
            <w:tcW w:w="1075" w:type="dxa"/>
          </w:tcPr>
          <w:p w14:paraId="7CBD5B8B"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p>
        </w:tc>
        <w:tc>
          <w:tcPr>
            <w:tcW w:w="1260" w:type="dxa"/>
            <w:shd w:val="clear" w:color="auto" w:fill="auto"/>
            <w:noWrap/>
            <w:vAlign w:val="bottom"/>
            <w:hideMark/>
          </w:tcPr>
          <w:p w14:paraId="076DE427"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5,489.38</w:t>
            </w:r>
          </w:p>
        </w:tc>
        <w:tc>
          <w:tcPr>
            <w:tcW w:w="1350" w:type="dxa"/>
            <w:shd w:val="clear" w:color="auto" w:fill="auto"/>
            <w:noWrap/>
            <w:vAlign w:val="bottom"/>
            <w:hideMark/>
          </w:tcPr>
          <w:p w14:paraId="1DD65B00"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7,707.51</w:t>
            </w:r>
          </w:p>
        </w:tc>
        <w:tc>
          <w:tcPr>
            <w:tcW w:w="1260" w:type="dxa"/>
            <w:shd w:val="clear" w:color="auto" w:fill="auto"/>
            <w:noWrap/>
            <w:vAlign w:val="bottom"/>
            <w:hideMark/>
          </w:tcPr>
          <w:p w14:paraId="436DD6A2"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14,903.30</w:t>
            </w:r>
          </w:p>
        </w:tc>
        <w:tc>
          <w:tcPr>
            <w:tcW w:w="1350" w:type="dxa"/>
            <w:shd w:val="clear" w:color="auto" w:fill="auto"/>
            <w:noWrap/>
            <w:vAlign w:val="bottom"/>
            <w:hideMark/>
          </w:tcPr>
          <w:p w14:paraId="67CFD134"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single"/>
              </w:rPr>
            </w:pPr>
            <w:r w:rsidRPr="00F07243">
              <w:rPr>
                <w:rFonts w:ascii="Times New Roman" w:eastAsia="Times New Roman" w:hAnsi="Times New Roman" w:cs="Times New Roman"/>
                <w:color w:val="000000"/>
                <w:sz w:val="24"/>
                <w:szCs w:val="24"/>
                <w:u w:val="single"/>
              </w:rPr>
              <w:t>20,681.24</w:t>
            </w:r>
          </w:p>
        </w:tc>
        <w:tc>
          <w:tcPr>
            <w:tcW w:w="1800" w:type="dxa"/>
            <w:shd w:val="clear" w:color="auto" w:fill="auto"/>
            <w:noWrap/>
            <w:vAlign w:val="bottom"/>
            <w:hideMark/>
          </w:tcPr>
          <w:p w14:paraId="2A999541" w14:textId="77777777" w:rsidR="007B0AA2" w:rsidRPr="00F07243" w:rsidRDefault="007B0AA2" w:rsidP="00465807">
            <w:pPr>
              <w:spacing w:after="0" w:line="240" w:lineRule="auto"/>
              <w:jc w:val="right"/>
              <w:rPr>
                <w:rFonts w:ascii="Times New Roman" w:eastAsia="Times New Roman" w:hAnsi="Times New Roman" w:cs="Times New Roman"/>
                <w:color w:val="000000"/>
                <w:sz w:val="24"/>
                <w:szCs w:val="24"/>
                <w:u w:val="double"/>
              </w:rPr>
            </w:pPr>
            <w:r w:rsidRPr="00F07243">
              <w:rPr>
                <w:rFonts w:ascii="Times New Roman" w:eastAsia="Times New Roman" w:hAnsi="Times New Roman" w:cs="Times New Roman"/>
                <w:color w:val="000000"/>
                <w:sz w:val="24"/>
                <w:szCs w:val="24"/>
                <w:u w:val="double"/>
              </w:rPr>
              <w:t>48,781.43</w:t>
            </w:r>
          </w:p>
        </w:tc>
      </w:tr>
    </w:tbl>
    <w:p w14:paraId="4971788F" w14:textId="77777777" w:rsidR="007B0AA2" w:rsidRPr="002513AE" w:rsidRDefault="007B0AA2" w:rsidP="007B0AA2">
      <w:pPr>
        <w:rPr>
          <w:rFonts w:ascii="Times New Roman" w:eastAsia="Times New Roman" w:hAnsi="Times New Roman" w:cs="Times New Roman"/>
          <w:color w:val="000000"/>
          <w:sz w:val="24"/>
          <w:szCs w:val="24"/>
        </w:rPr>
      </w:pPr>
      <w:r w:rsidRPr="002513AE">
        <w:rPr>
          <w:rFonts w:ascii="Times New Roman" w:hAnsi="Times New Roman" w:cs="Times New Roman"/>
          <w:sz w:val="24"/>
          <w:szCs w:val="24"/>
        </w:rPr>
        <w:t xml:space="preserve">Source: </w:t>
      </w:r>
      <w:r w:rsidRPr="002513AE">
        <w:rPr>
          <w:rFonts w:ascii="Times New Roman" w:eastAsia="Times New Roman" w:hAnsi="Times New Roman" w:cs="Times New Roman"/>
          <w:color w:val="000000"/>
          <w:sz w:val="24"/>
          <w:szCs w:val="24"/>
        </w:rPr>
        <w:t>https://www.nrs.gov.ng/page/revenue-dashboard</w:t>
      </w:r>
    </w:p>
    <w:p w14:paraId="12C09FC7" w14:textId="77777777" w:rsidR="007B0AA2" w:rsidRDefault="007B0AA2" w:rsidP="007B0AA2">
      <w:pPr>
        <w:spacing w:line="360" w:lineRule="auto"/>
        <w:jc w:val="both"/>
        <w:rPr>
          <w:rFonts w:ascii="Times New Roman" w:hAnsi="Times New Roman" w:cs="Times New Roman"/>
          <w:sz w:val="24"/>
          <w:szCs w:val="24"/>
        </w:rPr>
      </w:pPr>
    </w:p>
    <w:p w14:paraId="212AE5C9" w14:textId="022CFBB2" w:rsidR="00FE1E46" w:rsidRDefault="00FE1E46" w:rsidP="007B0AA2">
      <w:pPr>
        <w:spacing w:line="360" w:lineRule="auto"/>
        <w:jc w:val="both"/>
        <w:rPr>
          <w:rFonts w:ascii="Times New Roman" w:hAnsi="Times New Roman" w:cs="Times New Roman"/>
          <w:sz w:val="24"/>
          <w:szCs w:val="24"/>
        </w:rPr>
        <w:sectPr w:rsidR="00FE1E46" w:rsidSect="00465807">
          <w:type w:val="continuous"/>
          <w:pgSz w:w="12240" w:h="15840"/>
          <w:pgMar w:top="1440" w:right="1440" w:bottom="1440" w:left="1440" w:header="720" w:footer="720" w:gutter="0"/>
          <w:cols w:space="720"/>
          <w:docGrid w:linePitch="360"/>
        </w:sect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065"/>
        <w:gridCol w:w="965"/>
        <w:gridCol w:w="920"/>
        <w:gridCol w:w="990"/>
        <w:gridCol w:w="875"/>
        <w:gridCol w:w="925"/>
        <w:gridCol w:w="900"/>
        <w:gridCol w:w="900"/>
        <w:gridCol w:w="875"/>
      </w:tblGrid>
      <w:tr w:rsidR="007B0AA2" w:rsidRPr="008746D1" w14:paraId="53A56D2D" w14:textId="77777777" w:rsidTr="00465807">
        <w:trPr>
          <w:trHeight w:val="315"/>
        </w:trPr>
        <w:tc>
          <w:tcPr>
            <w:tcW w:w="1185" w:type="dxa"/>
            <w:shd w:val="clear" w:color="auto" w:fill="auto"/>
            <w:noWrap/>
            <w:vAlign w:val="bottom"/>
            <w:hideMark/>
          </w:tcPr>
          <w:p w14:paraId="05BE0FB6" w14:textId="77777777" w:rsidR="007B0AA2" w:rsidRPr="008746D1" w:rsidRDefault="007B0AA2" w:rsidP="004658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1065" w:type="dxa"/>
            <w:shd w:val="clear" w:color="auto" w:fill="auto"/>
            <w:noWrap/>
            <w:vAlign w:val="bottom"/>
            <w:hideMark/>
          </w:tcPr>
          <w:p w14:paraId="676D7BBA"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2017</w:t>
            </w:r>
          </w:p>
        </w:tc>
        <w:tc>
          <w:tcPr>
            <w:tcW w:w="965" w:type="dxa"/>
            <w:shd w:val="clear" w:color="auto" w:fill="auto"/>
            <w:noWrap/>
            <w:vAlign w:val="bottom"/>
            <w:hideMark/>
          </w:tcPr>
          <w:p w14:paraId="6E307AC4"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2018</w:t>
            </w:r>
          </w:p>
        </w:tc>
        <w:tc>
          <w:tcPr>
            <w:tcW w:w="920" w:type="dxa"/>
            <w:shd w:val="clear" w:color="auto" w:fill="auto"/>
            <w:noWrap/>
            <w:vAlign w:val="bottom"/>
            <w:hideMark/>
          </w:tcPr>
          <w:p w14:paraId="54E29621"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2019</w:t>
            </w:r>
          </w:p>
        </w:tc>
        <w:tc>
          <w:tcPr>
            <w:tcW w:w="990" w:type="dxa"/>
            <w:shd w:val="clear" w:color="auto" w:fill="auto"/>
            <w:noWrap/>
            <w:vAlign w:val="bottom"/>
            <w:hideMark/>
          </w:tcPr>
          <w:p w14:paraId="13A6639B"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2020</w:t>
            </w:r>
          </w:p>
        </w:tc>
        <w:tc>
          <w:tcPr>
            <w:tcW w:w="875" w:type="dxa"/>
            <w:shd w:val="clear" w:color="auto" w:fill="auto"/>
            <w:noWrap/>
            <w:vAlign w:val="bottom"/>
            <w:hideMark/>
          </w:tcPr>
          <w:p w14:paraId="7147EF32"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2021</w:t>
            </w:r>
          </w:p>
        </w:tc>
        <w:tc>
          <w:tcPr>
            <w:tcW w:w="925" w:type="dxa"/>
            <w:shd w:val="clear" w:color="auto" w:fill="auto"/>
            <w:noWrap/>
            <w:vAlign w:val="bottom"/>
            <w:hideMark/>
          </w:tcPr>
          <w:p w14:paraId="6FB052B6"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2022</w:t>
            </w:r>
          </w:p>
        </w:tc>
        <w:tc>
          <w:tcPr>
            <w:tcW w:w="900" w:type="dxa"/>
            <w:shd w:val="clear" w:color="auto" w:fill="auto"/>
            <w:noWrap/>
            <w:vAlign w:val="bottom"/>
            <w:hideMark/>
          </w:tcPr>
          <w:p w14:paraId="5A621291"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2023</w:t>
            </w:r>
          </w:p>
        </w:tc>
        <w:tc>
          <w:tcPr>
            <w:tcW w:w="900" w:type="dxa"/>
            <w:shd w:val="clear" w:color="auto" w:fill="auto"/>
            <w:noWrap/>
            <w:vAlign w:val="bottom"/>
            <w:hideMark/>
          </w:tcPr>
          <w:p w14:paraId="7F6F27A7"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2024</w:t>
            </w:r>
          </w:p>
        </w:tc>
        <w:tc>
          <w:tcPr>
            <w:tcW w:w="875" w:type="dxa"/>
            <w:shd w:val="clear" w:color="auto" w:fill="auto"/>
            <w:noWrap/>
            <w:vAlign w:val="bottom"/>
            <w:hideMark/>
          </w:tcPr>
          <w:p w14:paraId="66512FD8"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2025</w:t>
            </w:r>
          </w:p>
        </w:tc>
      </w:tr>
      <w:tr w:rsidR="007B0AA2" w:rsidRPr="008746D1" w14:paraId="5463362C" w14:textId="77777777" w:rsidTr="00465807">
        <w:trPr>
          <w:trHeight w:val="638"/>
        </w:trPr>
        <w:tc>
          <w:tcPr>
            <w:tcW w:w="1185" w:type="dxa"/>
            <w:shd w:val="clear" w:color="auto" w:fill="auto"/>
            <w:noWrap/>
            <w:vAlign w:val="bottom"/>
            <w:hideMark/>
          </w:tcPr>
          <w:p w14:paraId="0C5A2CEB" w14:textId="77777777" w:rsidR="007B0AA2" w:rsidRPr="008746D1" w:rsidRDefault="007B0AA2" w:rsidP="00465807">
            <w:pPr>
              <w:spacing w:after="0" w:line="240" w:lineRule="auto"/>
              <w:rPr>
                <w:rFonts w:ascii="Calibri" w:eastAsia="Times New Roman" w:hAnsi="Calibri" w:cs="Calibri"/>
                <w:color w:val="000000"/>
              </w:rPr>
            </w:pPr>
            <w:r w:rsidRPr="008746D1">
              <w:rPr>
                <w:rFonts w:ascii="Calibri" w:eastAsia="Times New Roman" w:hAnsi="Calibri" w:cs="Calibri"/>
                <w:color w:val="000000"/>
              </w:rPr>
              <w:t>INFLATION RATE</w:t>
            </w:r>
          </w:p>
        </w:tc>
        <w:tc>
          <w:tcPr>
            <w:tcW w:w="1065" w:type="dxa"/>
            <w:shd w:val="clear" w:color="auto" w:fill="auto"/>
            <w:noWrap/>
            <w:vAlign w:val="bottom"/>
            <w:hideMark/>
          </w:tcPr>
          <w:p w14:paraId="7A79F77A"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15.37%</w:t>
            </w:r>
          </w:p>
        </w:tc>
        <w:tc>
          <w:tcPr>
            <w:tcW w:w="965" w:type="dxa"/>
            <w:shd w:val="clear" w:color="auto" w:fill="auto"/>
            <w:noWrap/>
            <w:vAlign w:val="bottom"/>
            <w:hideMark/>
          </w:tcPr>
          <w:p w14:paraId="341807CB"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11.44%</w:t>
            </w:r>
          </w:p>
        </w:tc>
        <w:tc>
          <w:tcPr>
            <w:tcW w:w="920" w:type="dxa"/>
            <w:shd w:val="clear" w:color="auto" w:fill="auto"/>
            <w:noWrap/>
            <w:vAlign w:val="bottom"/>
            <w:hideMark/>
          </w:tcPr>
          <w:p w14:paraId="18EFD5FC"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11.98%</w:t>
            </w:r>
          </w:p>
        </w:tc>
        <w:tc>
          <w:tcPr>
            <w:tcW w:w="990" w:type="dxa"/>
            <w:shd w:val="clear" w:color="auto" w:fill="auto"/>
            <w:noWrap/>
            <w:vAlign w:val="bottom"/>
            <w:hideMark/>
          </w:tcPr>
          <w:p w14:paraId="43F0D2DA"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15.75%</w:t>
            </w:r>
          </w:p>
        </w:tc>
        <w:tc>
          <w:tcPr>
            <w:tcW w:w="875" w:type="dxa"/>
            <w:shd w:val="clear" w:color="auto" w:fill="auto"/>
            <w:noWrap/>
            <w:vAlign w:val="bottom"/>
            <w:hideMark/>
          </w:tcPr>
          <w:p w14:paraId="08D5D8C7"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16.95%</w:t>
            </w:r>
          </w:p>
        </w:tc>
        <w:tc>
          <w:tcPr>
            <w:tcW w:w="925" w:type="dxa"/>
            <w:shd w:val="clear" w:color="auto" w:fill="auto"/>
            <w:noWrap/>
            <w:vAlign w:val="bottom"/>
            <w:hideMark/>
          </w:tcPr>
          <w:p w14:paraId="0EEA0D22"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18.85%</w:t>
            </w:r>
          </w:p>
        </w:tc>
        <w:tc>
          <w:tcPr>
            <w:tcW w:w="900" w:type="dxa"/>
            <w:shd w:val="clear" w:color="auto" w:fill="auto"/>
            <w:noWrap/>
            <w:vAlign w:val="bottom"/>
            <w:hideMark/>
          </w:tcPr>
          <w:p w14:paraId="440685BA"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24.66%</w:t>
            </w:r>
          </w:p>
        </w:tc>
        <w:tc>
          <w:tcPr>
            <w:tcW w:w="900" w:type="dxa"/>
            <w:shd w:val="clear" w:color="auto" w:fill="auto"/>
            <w:noWrap/>
            <w:vAlign w:val="bottom"/>
            <w:hideMark/>
          </w:tcPr>
          <w:p w14:paraId="49450923"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33.24%</w:t>
            </w:r>
          </w:p>
        </w:tc>
        <w:tc>
          <w:tcPr>
            <w:tcW w:w="875" w:type="dxa"/>
            <w:shd w:val="clear" w:color="auto" w:fill="auto"/>
            <w:noWrap/>
            <w:vAlign w:val="bottom"/>
            <w:hideMark/>
          </w:tcPr>
          <w:p w14:paraId="787C5203" w14:textId="77777777" w:rsidR="007B0AA2" w:rsidRPr="008746D1" w:rsidRDefault="007B0AA2" w:rsidP="00465807">
            <w:pPr>
              <w:spacing w:after="0" w:line="240" w:lineRule="auto"/>
              <w:jc w:val="right"/>
              <w:rPr>
                <w:rFonts w:ascii="Calibri" w:eastAsia="Times New Roman" w:hAnsi="Calibri" w:cs="Calibri"/>
                <w:color w:val="000000"/>
              </w:rPr>
            </w:pPr>
            <w:r w:rsidRPr="008746D1">
              <w:rPr>
                <w:rFonts w:ascii="Calibri" w:eastAsia="Times New Roman" w:hAnsi="Calibri" w:cs="Calibri"/>
                <w:color w:val="000000"/>
              </w:rPr>
              <w:t>15.15%</w:t>
            </w:r>
          </w:p>
        </w:tc>
      </w:tr>
    </w:tbl>
    <w:p w14:paraId="7D222433" w14:textId="77777777" w:rsidR="007B0AA2" w:rsidRPr="00A66C55" w:rsidRDefault="007B0AA2" w:rsidP="007B0AA2">
      <w:pPr>
        <w:spacing w:after="0" w:line="240" w:lineRule="auto"/>
        <w:jc w:val="both"/>
        <w:rPr>
          <w:rFonts w:ascii="Calibri" w:eastAsia="Times New Roman" w:hAnsi="Calibri" w:cs="Calibri"/>
          <w:color w:val="000000"/>
        </w:rPr>
      </w:pPr>
      <w:r>
        <w:rPr>
          <w:rFonts w:ascii="Calibri" w:eastAsia="Times New Roman" w:hAnsi="Calibri" w:cs="Calibri"/>
          <w:color w:val="000000"/>
        </w:rPr>
        <w:t>Source</w:t>
      </w:r>
      <w:r w:rsidRPr="00A66C55">
        <w:rPr>
          <w:rFonts w:ascii="Calibri" w:eastAsia="Times New Roman" w:hAnsi="Calibri" w:cs="Calibri"/>
          <w:color w:val="000000"/>
        </w:rPr>
        <w:t>: https://www.macrotrends.net/global-metrics/countries/nga/nigeria/inflation-rate-cpi</w:t>
      </w:r>
    </w:p>
    <w:p w14:paraId="21D3C026" w14:textId="77777777" w:rsidR="007B0AA2" w:rsidRPr="002513AE" w:rsidRDefault="007B0AA2" w:rsidP="007B0AA2">
      <w:pPr>
        <w:spacing w:line="360" w:lineRule="auto"/>
        <w:jc w:val="both"/>
        <w:rPr>
          <w:rFonts w:ascii="Times New Roman" w:hAnsi="Times New Roman" w:cs="Times New Roman"/>
          <w:sz w:val="24"/>
          <w:szCs w:val="24"/>
        </w:rPr>
      </w:pPr>
    </w:p>
    <w:p w14:paraId="58911089" w14:textId="77777777" w:rsidR="007B0AA2" w:rsidRPr="007B0AA2" w:rsidRDefault="007B0AA2" w:rsidP="007B0AA2">
      <w:pPr>
        <w:jc w:val="center"/>
        <w:rPr>
          <w:rFonts w:ascii="Times New Roman" w:hAnsi="Times New Roman" w:cs="Times New Roman"/>
          <w:b/>
          <w:sz w:val="24"/>
          <w:szCs w:val="24"/>
        </w:rPr>
      </w:pPr>
    </w:p>
    <w:sectPr w:rsidR="007B0AA2" w:rsidRPr="007B0AA2" w:rsidSect="0046580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B2370" w14:textId="77777777" w:rsidR="00A67EC2" w:rsidRDefault="00A67EC2" w:rsidP="007A191F">
      <w:pPr>
        <w:spacing w:after="0" w:line="240" w:lineRule="auto"/>
      </w:pPr>
      <w:r>
        <w:separator/>
      </w:r>
    </w:p>
  </w:endnote>
  <w:endnote w:type="continuationSeparator" w:id="0">
    <w:p w14:paraId="7225B3AC" w14:textId="77777777" w:rsidR="00A67EC2" w:rsidRDefault="00A67EC2" w:rsidP="007A1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aargh">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8B9A4" w14:textId="77777777" w:rsidR="00111F0D" w:rsidRPr="00AD4A75" w:rsidRDefault="00111F0D" w:rsidP="007A191F">
    <w:pPr>
      <w:spacing w:after="0" w:line="240" w:lineRule="auto"/>
      <w:rPr>
        <w:rFonts w:ascii="Times New Roman" w:hAnsi="Times New Roman" w:cs="Times New Roman"/>
        <w:i/>
        <w:sz w:val="16"/>
        <w:szCs w:val="16"/>
      </w:rPr>
    </w:pPr>
    <w:r w:rsidRPr="00AD4A75">
      <w:rPr>
        <w:rFonts w:ascii="Times New Roman" w:hAnsi="Times New Roman" w:cs="Times New Roman"/>
        <w:i/>
        <w:sz w:val="16"/>
        <w:szCs w:val="16"/>
      </w:rPr>
      <w:t>Paper presentation at the 15</w:t>
    </w:r>
    <w:r w:rsidRPr="00AD4A75">
      <w:rPr>
        <w:rFonts w:ascii="Times New Roman" w:hAnsi="Times New Roman" w:cs="Times New Roman"/>
        <w:i/>
        <w:sz w:val="16"/>
        <w:szCs w:val="16"/>
        <w:vertAlign w:val="superscript"/>
      </w:rPr>
      <w:t>th</w:t>
    </w:r>
    <w:r w:rsidRPr="00AD4A75">
      <w:rPr>
        <w:rFonts w:ascii="Times New Roman" w:hAnsi="Times New Roman" w:cs="Times New Roman"/>
        <w:i/>
        <w:sz w:val="16"/>
        <w:szCs w:val="16"/>
      </w:rPr>
      <w:t xml:space="preserve"> African Accounting and Finance Conference. Theme: Reimagining, impact, and inclusive futures</w:t>
    </w:r>
  </w:p>
  <w:p w14:paraId="64168053" w14:textId="77777777" w:rsidR="00111F0D" w:rsidRPr="00AD4A75" w:rsidRDefault="00111F0D" w:rsidP="007A191F">
    <w:pPr>
      <w:spacing w:after="0" w:line="240" w:lineRule="auto"/>
      <w:rPr>
        <w:rFonts w:ascii="Times New Roman" w:hAnsi="Times New Roman" w:cs="Times New Roman"/>
        <w:i/>
        <w:sz w:val="16"/>
        <w:szCs w:val="16"/>
      </w:rPr>
    </w:pPr>
    <w:r w:rsidRPr="00AD4A75">
      <w:rPr>
        <w:rFonts w:ascii="Times New Roman" w:hAnsi="Times New Roman" w:cs="Times New Roman"/>
        <w:i/>
        <w:sz w:val="16"/>
        <w:szCs w:val="16"/>
      </w:rPr>
      <w:t>Date: 1</w:t>
    </w:r>
    <w:r w:rsidRPr="00AD4A75">
      <w:rPr>
        <w:rFonts w:ascii="Times New Roman" w:hAnsi="Times New Roman" w:cs="Times New Roman"/>
        <w:i/>
        <w:sz w:val="16"/>
        <w:szCs w:val="16"/>
        <w:vertAlign w:val="superscript"/>
      </w:rPr>
      <w:t>st</w:t>
    </w:r>
    <w:r w:rsidRPr="00AD4A75">
      <w:rPr>
        <w:rFonts w:ascii="Times New Roman" w:hAnsi="Times New Roman" w:cs="Times New Roman"/>
        <w:i/>
        <w:sz w:val="16"/>
        <w:szCs w:val="16"/>
      </w:rPr>
      <w:t xml:space="preserve"> September to 4</w:t>
    </w:r>
    <w:r w:rsidRPr="00AD4A75">
      <w:rPr>
        <w:rFonts w:ascii="Times New Roman" w:hAnsi="Times New Roman" w:cs="Times New Roman"/>
        <w:i/>
        <w:sz w:val="16"/>
        <w:szCs w:val="16"/>
        <w:vertAlign w:val="superscript"/>
      </w:rPr>
      <w:t>th</w:t>
    </w:r>
    <w:r w:rsidRPr="00AD4A75">
      <w:rPr>
        <w:rFonts w:ascii="Times New Roman" w:hAnsi="Times New Roman" w:cs="Times New Roman"/>
        <w:i/>
        <w:sz w:val="16"/>
        <w:szCs w:val="16"/>
      </w:rPr>
      <w:t xml:space="preserve"> September 2026</w:t>
    </w:r>
  </w:p>
  <w:p w14:paraId="4E45CF63" w14:textId="77777777" w:rsidR="00111F0D" w:rsidRPr="00AD4A75" w:rsidRDefault="00111F0D" w:rsidP="007A191F">
    <w:pPr>
      <w:spacing w:after="0" w:line="240" w:lineRule="auto"/>
      <w:rPr>
        <w:rFonts w:ascii="Times New Roman" w:hAnsi="Times New Roman" w:cs="Times New Roman"/>
        <w:i/>
        <w:sz w:val="16"/>
        <w:szCs w:val="16"/>
      </w:rPr>
    </w:pPr>
    <w:r w:rsidRPr="00AD4A75">
      <w:rPr>
        <w:rFonts w:ascii="Times New Roman" w:hAnsi="Times New Roman" w:cs="Times New Roman"/>
        <w:i/>
        <w:sz w:val="16"/>
        <w:szCs w:val="16"/>
      </w:rPr>
      <w:t>Venue: The Kerzner, School of Hospitality &amp; Tourism, University of Johannesburg, South Africa.</w:t>
    </w:r>
  </w:p>
  <w:p w14:paraId="59AFF04C" w14:textId="77777777" w:rsidR="00111F0D" w:rsidRDefault="00111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78678" w14:textId="77777777" w:rsidR="00A67EC2" w:rsidRDefault="00A67EC2" w:rsidP="007A191F">
      <w:pPr>
        <w:spacing w:after="0" w:line="240" w:lineRule="auto"/>
      </w:pPr>
      <w:r>
        <w:separator/>
      </w:r>
    </w:p>
  </w:footnote>
  <w:footnote w:type="continuationSeparator" w:id="0">
    <w:p w14:paraId="62914912" w14:textId="77777777" w:rsidR="00A67EC2" w:rsidRDefault="00A67EC2" w:rsidP="007A1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32AF2"/>
    <w:multiLevelType w:val="multilevel"/>
    <w:tmpl w:val="602A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124B8"/>
    <w:multiLevelType w:val="multilevel"/>
    <w:tmpl w:val="B0FC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725B7"/>
    <w:multiLevelType w:val="hybridMultilevel"/>
    <w:tmpl w:val="1E224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C70709"/>
    <w:multiLevelType w:val="hybridMultilevel"/>
    <w:tmpl w:val="3D4AC604"/>
    <w:lvl w:ilvl="0" w:tplc="69A8ED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E1"/>
    <w:rsid w:val="000159A9"/>
    <w:rsid w:val="00092B48"/>
    <w:rsid w:val="000974E0"/>
    <w:rsid w:val="000B67E9"/>
    <w:rsid w:val="000D6ECA"/>
    <w:rsid w:val="001002A7"/>
    <w:rsid w:val="00111F0D"/>
    <w:rsid w:val="00180D34"/>
    <w:rsid w:val="00274609"/>
    <w:rsid w:val="00453949"/>
    <w:rsid w:val="00465807"/>
    <w:rsid w:val="005074E4"/>
    <w:rsid w:val="00677B89"/>
    <w:rsid w:val="006F08C9"/>
    <w:rsid w:val="006F39B8"/>
    <w:rsid w:val="007A191F"/>
    <w:rsid w:val="007A7D42"/>
    <w:rsid w:val="007B0AA2"/>
    <w:rsid w:val="00860794"/>
    <w:rsid w:val="00A67EC2"/>
    <w:rsid w:val="00B22BF0"/>
    <w:rsid w:val="00BC2281"/>
    <w:rsid w:val="00C56DE1"/>
    <w:rsid w:val="00D8399B"/>
    <w:rsid w:val="00E24E21"/>
    <w:rsid w:val="00F36037"/>
    <w:rsid w:val="00F91AF5"/>
    <w:rsid w:val="00FB4B1E"/>
    <w:rsid w:val="00FE1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D1C8"/>
  <w15:chartTrackingRefBased/>
  <w15:docId w15:val="{1D934748-B01F-432D-9C5C-BAF88B00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D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DE1"/>
    <w:pPr>
      <w:ind w:left="720"/>
      <w:contextualSpacing/>
    </w:pPr>
  </w:style>
  <w:style w:type="character" w:styleId="Hyperlink">
    <w:name w:val="Hyperlink"/>
    <w:basedOn w:val="DefaultParagraphFont"/>
    <w:uiPriority w:val="99"/>
    <w:unhideWhenUsed/>
    <w:rsid w:val="00C56DE1"/>
    <w:rPr>
      <w:color w:val="0563C1" w:themeColor="hyperlink"/>
      <w:u w:val="single"/>
    </w:rPr>
  </w:style>
  <w:style w:type="table" w:styleId="TableGrid">
    <w:name w:val="Table Grid"/>
    <w:basedOn w:val="TableNormal"/>
    <w:uiPriority w:val="39"/>
    <w:unhideWhenUsed/>
    <w:rsid w:val="00C56DE1"/>
    <w:pPr>
      <w:spacing w:after="0" w:line="240" w:lineRule="auto"/>
    </w:pPr>
    <w:rPr>
      <w:rFonts w:ascii="Cambria Math" w:eastAsia="Aaargh" w:hAnsi="Cambria Math" w:cs="Cambria Math"/>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6D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6DE1"/>
    <w:rPr>
      <w:b/>
      <w:bCs/>
    </w:rPr>
  </w:style>
  <w:style w:type="paragraph" w:customStyle="1" w:styleId="pdq2pgselectionanchorcontainer">
    <w:name w:val="pdq2pg_selectionanchorcontainer"/>
    <w:basedOn w:val="Normal"/>
    <w:rsid w:val="002746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7A1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91F"/>
  </w:style>
  <w:style w:type="paragraph" w:styleId="Footer">
    <w:name w:val="footer"/>
    <w:basedOn w:val="Normal"/>
    <w:link w:val="FooterChar"/>
    <w:uiPriority w:val="99"/>
    <w:unhideWhenUsed/>
    <w:rsid w:val="007A1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255906">
      <w:bodyDiv w:val="1"/>
      <w:marLeft w:val="0"/>
      <w:marRight w:val="0"/>
      <w:marTop w:val="0"/>
      <w:marBottom w:val="0"/>
      <w:divBdr>
        <w:top w:val="none" w:sz="0" w:space="0" w:color="auto"/>
        <w:left w:val="none" w:sz="0" w:space="0" w:color="auto"/>
        <w:bottom w:val="none" w:sz="0" w:space="0" w:color="auto"/>
        <w:right w:val="none" w:sz="0" w:space="0" w:color="auto"/>
      </w:divBdr>
    </w:div>
    <w:div w:id="165336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batunde.agbeyangi@federalpolyilaro.edu.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akintoye@yahoo.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kintoyer@babcock.edu.ng" TargetMode="External"/><Relationship Id="rId4" Type="http://schemas.openxmlformats.org/officeDocument/2006/relationships/settings" Target="settings.xml"/><Relationship Id="rId9" Type="http://schemas.openxmlformats.org/officeDocument/2006/relationships/hyperlink" Target="mailto:abosede.adelusipgs@stu.cu.edu.ng"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E87DA4B-E0DB-493A-8B00-ACE691026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12687</Words>
  <Characters>72317</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Abosede Adelusi</dc:creator>
  <cp:keywords/>
  <dc:description/>
  <cp:lastModifiedBy>Abosede Adelusi</cp:lastModifiedBy>
  <cp:revision>9</cp:revision>
  <dcterms:created xsi:type="dcterms:W3CDTF">2026-08-19T11:14:00Z</dcterms:created>
  <dcterms:modified xsi:type="dcterms:W3CDTF">2026-08-23T12:40:00Z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cb81063c-aaa0-4b7f-a610-b7981d3a134a</vt:lpwstr>
  </property>
</Properties>
</file>