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476A6518" w14:textId="77777777" w:rsidR="00125C29" w:rsidRDefault="00125C29" w:rsidP="00D05AC0">
      <w:pPr>
        <w:spacing w:before="134" w:line="201" w:lineRule="auto"/>
        <w:ind w:left="521" w:right="589" w:firstLine="6"/>
        <w:rPr>
          <w:b/>
          <w:color w:val="2D2D2D"/>
          <w:sz w:val="42"/>
        </w:rPr>
      </w:pPr>
    </w:p>
    <w:p w14:paraId="0E0374CF" w14:textId="035E3D23" w:rsidR="00125C29" w:rsidRPr="00125C29" w:rsidRDefault="00125C29" w:rsidP="00125C29">
      <w:pPr>
        <w:spacing w:line="360" w:lineRule="auto"/>
        <w:ind w:left="-142"/>
        <w:jc w:val="center"/>
        <w:outlineLvl w:val="4"/>
        <w:rPr>
          <w:rFonts w:ascii="Tahoma" w:hAnsi="Tahoma" w:cs="Tahoma"/>
          <w:b/>
          <w:bCs/>
          <w:iCs/>
          <w:color w:val="867F8F"/>
          <w:sz w:val="32"/>
          <w:szCs w:val="32"/>
          <w:lang w:eastAsia="x-none"/>
        </w:rPr>
      </w:pPr>
      <w:r>
        <w:rPr>
          <w:rFonts w:ascii="Tahoma" w:hAnsi="Tahoma" w:cs="Tahoma"/>
          <w:b/>
          <w:bCs/>
          <w:iCs/>
          <w:color w:val="867F8F"/>
          <w:sz w:val="32"/>
          <w:szCs w:val="32"/>
          <w:lang w:eastAsia="x-none"/>
        </w:rPr>
        <w:t>Circolare n° 1</w:t>
      </w:r>
      <w:r w:rsidR="006C7985">
        <w:rPr>
          <w:rFonts w:ascii="Tahoma" w:hAnsi="Tahoma" w:cs="Tahoma"/>
          <w:b/>
          <w:bCs/>
          <w:iCs/>
          <w:color w:val="867F8F"/>
          <w:sz w:val="32"/>
          <w:szCs w:val="32"/>
          <w:lang w:eastAsia="x-none"/>
        </w:rPr>
        <w:t>3</w:t>
      </w:r>
      <w:r>
        <w:rPr>
          <w:rFonts w:ascii="Tahoma" w:hAnsi="Tahoma" w:cs="Tahoma"/>
          <w:b/>
          <w:bCs/>
          <w:iCs/>
          <w:color w:val="867F8F"/>
          <w:sz w:val="32"/>
          <w:szCs w:val="32"/>
          <w:lang w:eastAsia="x-none"/>
        </w:rPr>
        <w:t xml:space="preserve"> del </w:t>
      </w:r>
      <w:r w:rsidR="006C7985">
        <w:rPr>
          <w:rFonts w:ascii="Tahoma" w:hAnsi="Tahoma" w:cs="Tahoma"/>
          <w:b/>
          <w:bCs/>
          <w:iCs/>
          <w:color w:val="867F8F"/>
          <w:sz w:val="32"/>
          <w:szCs w:val="32"/>
          <w:lang w:eastAsia="x-none"/>
        </w:rPr>
        <w:t>11</w:t>
      </w:r>
      <w:r>
        <w:rPr>
          <w:rFonts w:ascii="Tahoma" w:hAnsi="Tahoma" w:cs="Tahoma"/>
          <w:b/>
          <w:bCs/>
          <w:iCs/>
          <w:color w:val="867F8F"/>
          <w:sz w:val="32"/>
          <w:szCs w:val="32"/>
          <w:lang w:eastAsia="x-none"/>
        </w:rPr>
        <w:t>.0</w:t>
      </w:r>
      <w:r w:rsidR="006C7985">
        <w:rPr>
          <w:rFonts w:ascii="Tahoma" w:hAnsi="Tahoma" w:cs="Tahoma"/>
          <w:b/>
          <w:bCs/>
          <w:iCs/>
          <w:color w:val="867F8F"/>
          <w:sz w:val="32"/>
          <w:szCs w:val="32"/>
          <w:lang w:eastAsia="x-none"/>
        </w:rPr>
        <w:t>6</w:t>
      </w:r>
      <w:r>
        <w:rPr>
          <w:rFonts w:ascii="Tahoma" w:hAnsi="Tahoma" w:cs="Tahoma"/>
          <w:b/>
          <w:bCs/>
          <w:iCs/>
          <w:color w:val="867F8F"/>
          <w:sz w:val="32"/>
          <w:szCs w:val="32"/>
          <w:lang w:eastAsia="x-none"/>
        </w:rPr>
        <w:t>.2024</w:t>
      </w:r>
    </w:p>
    <w:p w14:paraId="4B1629AA" w14:textId="7E33D7FC" w:rsidR="00125C29" w:rsidRDefault="006C7985" w:rsidP="006C7985">
      <w:pPr>
        <w:spacing w:before="240"/>
        <w:jc w:val="center"/>
        <w:rPr>
          <w:b/>
          <w:bCs/>
          <w:color w:val="424242"/>
          <w:w w:val="125"/>
          <w:sz w:val="44"/>
          <w:szCs w:val="44"/>
        </w:rPr>
      </w:pPr>
      <w:r>
        <w:rPr>
          <w:b/>
          <w:bCs/>
          <w:color w:val="424242"/>
          <w:w w:val="125"/>
          <w:sz w:val="44"/>
          <w:szCs w:val="44"/>
        </w:rPr>
        <w:t xml:space="preserve">Versamenti delle imposte dirette </w:t>
      </w:r>
    </w:p>
    <w:p w14:paraId="4BC47472" w14:textId="73914B31" w:rsidR="006C7985" w:rsidRPr="006C7985" w:rsidRDefault="006C7985" w:rsidP="006C7985">
      <w:pPr>
        <w:spacing w:before="240"/>
        <w:jc w:val="center"/>
        <w:rPr>
          <w:b/>
          <w:bCs/>
          <w:color w:val="424242"/>
          <w:w w:val="125"/>
          <w:sz w:val="44"/>
          <w:szCs w:val="44"/>
        </w:rPr>
      </w:pPr>
      <w:r w:rsidRPr="006C7985">
        <w:rPr>
          <w:b/>
          <w:bCs/>
          <w:color w:val="424242"/>
          <w:w w:val="125"/>
          <w:sz w:val="44"/>
          <w:szCs w:val="44"/>
        </w:rPr>
        <w:t>Saldi 2023/1°acconto 2024</w:t>
      </w:r>
    </w:p>
    <w:p w14:paraId="0EB8C149" w14:textId="77777777" w:rsidR="00125C29" w:rsidRDefault="00125C29" w:rsidP="00D05AC0">
      <w:pPr>
        <w:spacing w:before="134" w:line="201" w:lineRule="auto"/>
        <w:ind w:left="521" w:right="589" w:firstLine="6"/>
        <w:rPr>
          <w:b/>
          <w:color w:val="2D2D2D"/>
          <w:sz w:val="42"/>
        </w:rPr>
      </w:pPr>
    </w:p>
    <w:p w14:paraId="7E170E2A" w14:textId="77777777" w:rsidR="00D05AC0" w:rsidRDefault="00D05AC0" w:rsidP="00125C29">
      <w:pPr>
        <w:pStyle w:val="Corpotesto"/>
        <w:spacing w:before="49" w:line="252" w:lineRule="auto"/>
        <w:ind w:right="59"/>
        <w:rPr>
          <w:color w:val="2D2D2D"/>
          <w:sz w:val="20"/>
        </w:rPr>
      </w:pPr>
    </w:p>
    <w:p w14:paraId="7FBF846E" w14:textId="3535E20B" w:rsidR="006C7985" w:rsidRPr="001273EC" w:rsidRDefault="006C7985" w:rsidP="00C05B69">
      <w:pPr>
        <w:pStyle w:val="Corpotesto"/>
        <w:spacing w:before="49" w:line="252" w:lineRule="auto"/>
        <w:ind w:hanging="4"/>
        <w:jc w:val="both"/>
        <w:rPr>
          <w:rFonts w:cs="Times New Roman"/>
          <w:w w:val="110"/>
          <w:sz w:val="26"/>
          <w:szCs w:val="26"/>
        </w:rPr>
      </w:pPr>
      <w:r w:rsidRPr="001273EC">
        <w:rPr>
          <w:rFonts w:cs="Times New Roman"/>
          <w:w w:val="110"/>
          <w:sz w:val="26"/>
          <w:szCs w:val="26"/>
        </w:rPr>
        <w:t>Spettabile clientela,</w:t>
      </w:r>
    </w:p>
    <w:p w14:paraId="7FEB6703" w14:textId="527027D6" w:rsidR="006C7985" w:rsidRPr="001273EC" w:rsidRDefault="006C7985" w:rsidP="00C05B69">
      <w:pPr>
        <w:pStyle w:val="Corpotesto"/>
        <w:spacing w:before="49" w:line="252" w:lineRule="auto"/>
        <w:ind w:hanging="4"/>
        <w:jc w:val="both"/>
        <w:rPr>
          <w:rFonts w:cs="Times New Roman"/>
          <w:w w:val="110"/>
          <w:sz w:val="26"/>
          <w:szCs w:val="26"/>
        </w:rPr>
      </w:pPr>
      <w:r w:rsidRPr="001273EC">
        <w:rPr>
          <w:rFonts w:cs="Times New Roman"/>
          <w:w w:val="110"/>
          <w:sz w:val="26"/>
          <w:szCs w:val="26"/>
        </w:rPr>
        <w:t>avvicinandosi il termine per i versamenti di saldi e acconti relativi al modello Redditi 2024, è opportuno riepilogare le regole</w:t>
      </w:r>
      <w:r w:rsidR="0081769B">
        <w:rPr>
          <w:rFonts w:cs="Times New Roman"/>
          <w:w w:val="110"/>
          <w:sz w:val="26"/>
          <w:szCs w:val="26"/>
        </w:rPr>
        <w:t xml:space="preserve"> e le scadenze dei versamenti, </w:t>
      </w:r>
      <w:r w:rsidRPr="001273EC">
        <w:rPr>
          <w:rFonts w:cs="Times New Roman"/>
          <w:w w:val="110"/>
          <w:sz w:val="26"/>
          <w:szCs w:val="26"/>
        </w:rPr>
        <w:t>anche in virtù del fatto che quest’anno c’è qualche particolarità da monitorare con attenzione.</w:t>
      </w:r>
    </w:p>
    <w:p w14:paraId="6EBBD9FD" w14:textId="4CF5934E" w:rsidR="00D05AC0" w:rsidRPr="001273EC" w:rsidRDefault="006C7985" w:rsidP="00C05B69">
      <w:pPr>
        <w:pStyle w:val="Corpotesto"/>
        <w:spacing w:before="49" w:line="252" w:lineRule="auto"/>
        <w:ind w:hanging="4"/>
        <w:jc w:val="both"/>
        <w:rPr>
          <w:rFonts w:cs="Times New Roman"/>
          <w:w w:val="110"/>
          <w:sz w:val="26"/>
          <w:szCs w:val="26"/>
        </w:rPr>
      </w:pPr>
      <w:r w:rsidRPr="001273EC">
        <w:rPr>
          <w:rFonts w:cs="Times New Roman"/>
          <w:w w:val="110"/>
          <w:sz w:val="26"/>
          <w:szCs w:val="26"/>
        </w:rPr>
        <w:t>In linea di principio, le persone fisiche (anche imprese individuali e professionisti), le società di persone</w:t>
      </w:r>
      <w:r w:rsidR="0081769B">
        <w:rPr>
          <w:rFonts w:cs="Times New Roman"/>
          <w:w w:val="110"/>
          <w:sz w:val="26"/>
          <w:szCs w:val="26"/>
        </w:rPr>
        <w:t xml:space="preserve">, </w:t>
      </w:r>
      <w:r w:rsidRPr="001273EC">
        <w:rPr>
          <w:rFonts w:cs="Times New Roman"/>
          <w:w w:val="110"/>
          <w:sz w:val="26"/>
          <w:szCs w:val="26"/>
        </w:rPr>
        <w:t>gli studi associati e le società di capitali, devono rispettare la scadenza del 30 giugno (articolo 17, dpr 435/20</w:t>
      </w:r>
      <w:r w:rsidR="00C9103E" w:rsidRPr="001273EC">
        <w:rPr>
          <w:rFonts w:cs="Times New Roman"/>
          <w:w w:val="110"/>
          <w:sz w:val="26"/>
          <w:szCs w:val="26"/>
        </w:rPr>
        <w:t>01) che, cadendo di domenica, slitta a lunedì 1° luglio (articolo 7, comma 1, lettera h</w:t>
      </w:r>
      <w:r w:rsidR="001273EC">
        <w:rPr>
          <w:rFonts w:cs="Times New Roman"/>
          <w:w w:val="110"/>
          <w:sz w:val="26"/>
          <w:szCs w:val="26"/>
        </w:rPr>
        <w:t>,</w:t>
      </w:r>
      <w:r w:rsidR="00C9103E" w:rsidRPr="001273EC">
        <w:rPr>
          <w:rFonts w:cs="Times New Roman"/>
          <w:w w:val="110"/>
          <w:sz w:val="26"/>
          <w:szCs w:val="26"/>
        </w:rPr>
        <w:t xml:space="preserve"> Dl 70/2011).</w:t>
      </w:r>
    </w:p>
    <w:p w14:paraId="734C160C" w14:textId="7865B157" w:rsidR="00C9103E" w:rsidRPr="0081769B" w:rsidRDefault="00C9103E" w:rsidP="00C9103E">
      <w:pPr>
        <w:pStyle w:val="Corpotesto"/>
        <w:spacing w:before="49" w:line="252" w:lineRule="auto"/>
        <w:jc w:val="both"/>
        <w:rPr>
          <w:rFonts w:cs="Times New Roman"/>
          <w:w w:val="110"/>
          <w:sz w:val="26"/>
          <w:szCs w:val="26"/>
          <w:u w:val="single"/>
        </w:rPr>
      </w:pPr>
      <w:r w:rsidRPr="0081769B">
        <w:rPr>
          <w:rFonts w:cs="Times New Roman"/>
          <w:w w:val="110"/>
          <w:sz w:val="26"/>
          <w:szCs w:val="26"/>
          <w:u w:val="single"/>
        </w:rPr>
        <w:t xml:space="preserve">Tuttavia bisogna segnalare che, con riguardo al periodo d’imposta 2023, l’art.37 del DLgs. 13/2024 ha disposto la proroga al </w:t>
      </w:r>
      <w:r w:rsidRPr="0081769B">
        <w:rPr>
          <w:rFonts w:cs="Times New Roman"/>
          <w:b/>
          <w:bCs/>
          <w:w w:val="110"/>
          <w:sz w:val="26"/>
          <w:szCs w:val="26"/>
          <w:u w:val="single"/>
        </w:rPr>
        <w:t>31 luglio 20</w:t>
      </w:r>
      <w:r w:rsidR="0081769B">
        <w:rPr>
          <w:rFonts w:cs="Times New Roman"/>
          <w:b/>
          <w:bCs/>
          <w:w w:val="110"/>
          <w:sz w:val="26"/>
          <w:szCs w:val="26"/>
          <w:u w:val="single"/>
        </w:rPr>
        <w:t>2</w:t>
      </w:r>
      <w:r w:rsidRPr="0081769B">
        <w:rPr>
          <w:rFonts w:cs="Times New Roman"/>
          <w:b/>
          <w:bCs/>
          <w:w w:val="110"/>
          <w:sz w:val="26"/>
          <w:szCs w:val="26"/>
          <w:u w:val="single"/>
        </w:rPr>
        <w:t>4</w:t>
      </w:r>
      <w:r w:rsidRPr="0081769B">
        <w:rPr>
          <w:rFonts w:cs="Times New Roman"/>
          <w:w w:val="110"/>
          <w:sz w:val="26"/>
          <w:szCs w:val="26"/>
          <w:u w:val="single"/>
        </w:rPr>
        <w:t xml:space="preserve">, senza alcuna maggiorazione, dei versamenti in scadenza il 30 giugno 2024 relativi agli importi “risultanti dalle dichiarazioni dei redditi e da quelle in materia d’imposta regionale </w:t>
      </w:r>
      <w:r w:rsidR="0081769B" w:rsidRPr="0081769B">
        <w:rPr>
          <w:rFonts w:cs="Times New Roman"/>
          <w:w w:val="110"/>
          <w:sz w:val="26"/>
          <w:szCs w:val="26"/>
          <w:u w:val="single"/>
        </w:rPr>
        <w:t>sulle</w:t>
      </w:r>
      <w:r w:rsidRPr="0081769B">
        <w:rPr>
          <w:rFonts w:cs="Times New Roman"/>
          <w:w w:val="110"/>
          <w:sz w:val="26"/>
          <w:szCs w:val="26"/>
          <w:u w:val="single"/>
        </w:rPr>
        <w:t xml:space="preserve"> attività produttive e di imposta sul valore aggiunto”</w:t>
      </w:r>
    </w:p>
    <w:p w14:paraId="5F698FF3" w14:textId="71EEFF86" w:rsidR="00C9103E" w:rsidRPr="001273EC" w:rsidRDefault="00C9103E" w:rsidP="00C9103E">
      <w:pPr>
        <w:pStyle w:val="Corpotesto"/>
        <w:spacing w:before="49" w:line="252" w:lineRule="auto"/>
        <w:jc w:val="both"/>
        <w:rPr>
          <w:rFonts w:cs="Times New Roman"/>
          <w:w w:val="110"/>
          <w:sz w:val="26"/>
          <w:szCs w:val="26"/>
        </w:rPr>
      </w:pPr>
      <w:r w:rsidRPr="001273EC">
        <w:rPr>
          <w:rFonts w:cs="Times New Roman"/>
          <w:w w:val="110"/>
          <w:sz w:val="26"/>
          <w:szCs w:val="26"/>
        </w:rPr>
        <w:t xml:space="preserve">Beneficiano della proroga </w:t>
      </w:r>
      <w:r w:rsidR="0081769B">
        <w:rPr>
          <w:rFonts w:cs="Times New Roman"/>
          <w:w w:val="110"/>
          <w:sz w:val="26"/>
          <w:szCs w:val="26"/>
        </w:rPr>
        <w:t>gli</w:t>
      </w:r>
      <w:r w:rsidRPr="001273EC">
        <w:rPr>
          <w:rFonts w:cs="Times New Roman"/>
          <w:w w:val="110"/>
          <w:sz w:val="26"/>
          <w:szCs w:val="26"/>
        </w:rPr>
        <w:t xml:space="preserve"> imprenditori individuali, </w:t>
      </w:r>
      <w:r w:rsidR="0081769B">
        <w:rPr>
          <w:rFonts w:cs="Times New Roman"/>
          <w:w w:val="110"/>
          <w:sz w:val="26"/>
          <w:szCs w:val="26"/>
        </w:rPr>
        <w:t xml:space="preserve">i </w:t>
      </w:r>
      <w:r w:rsidRPr="001273EC">
        <w:rPr>
          <w:rFonts w:cs="Times New Roman"/>
          <w:w w:val="110"/>
          <w:sz w:val="26"/>
          <w:szCs w:val="26"/>
        </w:rPr>
        <w:t xml:space="preserve">professionisti, </w:t>
      </w:r>
      <w:r w:rsidR="0081769B">
        <w:rPr>
          <w:rFonts w:cs="Times New Roman"/>
          <w:w w:val="110"/>
          <w:sz w:val="26"/>
          <w:szCs w:val="26"/>
        </w:rPr>
        <w:t xml:space="preserve">le </w:t>
      </w:r>
      <w:r w:rsidRPr="001273EC">
        <w:rPr>
          <w:rFonts w:cs="Times New Roman"/>
          <w:w w:val="110"/>
          <w:sz w:val="26"/>
          <w:szCs w:val="26"/>
        </w:rPr>
        <w:t>società di persone e</w:t>
      </w:r>
      <w:r w:rsidR="0081769B">
        <w:rPr>
          <w:rFonts w:cs="Times New Roman"/>
          <w:w w:val="110"/>
          <w:sz w:val="26"/>
          <w:szCs w:val="26"/>
        </w:rPr>
        <w:t xml:space="preserve"> le</w:t>
      </w:r>
      <w:r w:rsidRPr="001273EC">
        <w:rPr>
          <w:rFonts w:cs="Times New Roman"/>
          <w:w w:val="110"/>
          <w:sz w:val="26"/>
          <w:szCs w:val="26"/>
        </w:rPr>
        <w:t xml:space="preserve"> società di capitali che rispettano le seguenti condizioni:</w:t>
      </w:r>
    </w:p>
    <w:p w14:paraId="00C28B00" w14:textId="5DA4A56E" w:rsidR="00C9103E" w:rsidRPr="001273EC" w:rsidRDefault="00C9103E" w:rsidP="00C9103E">
      <w:pPr>
        <w:pStyle w:val="Corpotesto"/>
        <w:numPr>
          <w:ilvl w:val="0"/>
          <w:numId w:val="10"/>
        </w:numPr>
        <w:spacing w:before="49" w:line="252" w:lineRule="auto"/>
        <w:jc w:val="both"/>
        <w:rPr>
          <w:rFonts w:cs="Times New Roman"/>
          <w:w w:val="110"/>
          <w:sz w:val="26"/>
          <w:szCs w:val="26"/>
        </w:rPr>
      </w:pPr>
      <w:r w:rsidRPr="001273EC">
        <w:rPr>
          <w:rFonts w:cs="Times New Roman"/>
          <w:w w:val="110"/>
          <w:sz w:val="26"/>
          <w:szCs w:val="26"/>
        </w:rPr>
        <w:t xml:space="preserve"> </w:t>
      </w:r>
      <w:r w:rsidR="001273EC">
        <w:rPr>
          <w:rFonts w:cs="Times New Roman"/>
          <w:w w:val="110"/>
          <w:sz w:val="26"/>
          <w:szCs w:val="26"/>
        </w:rPr>
        <w:t>e</w:t>
      </w:r>
      <w:r w:rsidRPr="001273EC">
        <w:rPr>
          <w:rFonts w:cs="Times New Roman"/>
          <w:w w:val="110"/>
          <w:sz w:val="26"/>
          <w:szCs w:val="26"/>
        </w:rPr>
        <w:t xml:space="preserve">sercitano attività economiche per le quali sono stati approvati gli </w:t>
      </w:r>
      <w:r w:rsidRPr="001273EC">
        <w:rPr>
          <w:rFonts w:cs="Times New Roman"/>
          <w:b/>
          <w:bCs/>
          <w:w w:val="110"/>
          <w:sz w:val="26"/>
          <w:szCs w:val="26"/>
        </w:rPr>
        <w:t>indici</w:t>
      </w:r>
      <w:r w:rsidRPr="001273EC">
        <w:rPr>
          <w:rFonts w:cs="Times New Roman"/>
          <w:w w:val="110"/>
          <w:sz w:val="26"/>
          <w:szCs w:val="26"/>
        </w:rPr>
        <w:t xml:space="preserve"> sintetici di </w:t>
      </w:r>
      <w:r w:rsidRPr="001273EC">
        <w:rPr>
          <w:rFonts w:cs="Times New Roman"/>
          <w:b/>
          <w:bCs/>
          <w:w w:val="110"/>
          <w:sz w:val="26"/>
          <w:szCs w:val="26"/>
        </w:rPr>
        <w:t>affidabilità fiscale</w:t>
      </w:r>
      <w:r w:rsidRPr="001273EC">
        <w:rPr>
          <w:rFonts w:cs="Times New Roman"/>
          <w:w w:val="110"/>
          <w:sz w:val="26"/>
          <w:szCs w:val="26"/>
        </w:rPr>
        <w:t xml:space="preserve"> </w:t>
      </w:r>
      <w:r w:rsidR="0081769B" w:rsidRPr="0081769B">
        <w:rPr>
          <w:rFonts w:cs="Times New Roman"/>
          <w:b/>
          <w:bCs/>
          <w:w w:val="110"/>
          <w:sz w:val="26"/>
          <w:szCs w:val="26"/>
        </w:rPr>
        <w:t>(ISA)</w:t>
      </w:r>
      <w:r w:rsidR="0081769B">
        <w:rPr>
          <w:rFonts w:cs="Times New Roman"/>
          <w:b/>
          <w:bCs/>
          <w:w w:val="110"/>
          <w:sz w:val="26"/>
          <w:szCs w:val="26"/>
        </w:rPr>
        <w:t xml:space="preserve"> </w:t>
      </w:r>
      <w:r w:rsidRPr="001273EC">
        <w:rPr>
          <w:rFonts w:cs="Times New Roman"/>
          <w:w w:val="110"/>
          <w:sz w:val="26"/>
          <w:szCs w:val="26"/>
        </w:rPr>
        <w:t xml:space="preserve">o che presentano cause di </w:t>
      </w:r>
      <w:r w:rsidRPr="001273EC">
        <w:rPr>
          <w:rFonts w:cs="Times New Roman"/>
          <w:b/>
          <w:bCs/>
          <w:w w:val="110"/>
          <w:sz w:val="26"/>
          <w:szCs w:val="26"/>
        </w:rPr>
        <w:t>esclusione</w:t>
      </w:r>
      <w:r w:rsidRPr="001273EC">
        <w:rPr>
          <w:rFonts w:cs="Times New Roman"/>
          <w:w w:val="110"/>
          <w:sz w:val="26"/>
          <w:szCs w:val="26"/>
        </w:rPr>
        <w:t xml:space="preserve"> dagli stessi, compresi quelli che si avvalgono del regime forfettario;</w:t>
      </w:r>
    </w:p>
    <w:p w14:paraId="524FC92D" w14:textId="2FB795CD" w:rsidR="00C9103E" w:rsidRPr="001273EC" w:rsidRDefault="001273EC" w:rsidP="00C9103E">
      <w:pPr>
        <w:pStyle w:val="Corpotesto"/>
        <w:numPr>
          <w:ilvl w:val="0"/>
          <w:numId w:val="10"/>
        </w:numPr>
        <w:spacing w:before="49" w:line="252" w:lineRule="auto"/>
        <w:jc w:val="both"/>
        <w:rPr>
          <w:rFonts w:cs="Times New Roman"/>
          <w:w w:val="110"/>
          <w:sz w:val="26"/>
          <w:szCs w:val="26"/>
        </w:rPr>
      </w:pPr>
      <w:r>
        <w:rPr>
          <w:rFonts w:cs="Times New Roman"/>
          <w:w w:val="110"/>
          <w:sz w:val="26"/>
          <w:szCs w:val="26"/>
        </w:rPr>
        <w:t>d</w:t>
      </w:r>
      <w:r w:rsidR="00C9103E" w:rsidRPr="001273EC">
        <w:rPr>
          <w:rFonts w:cs="Times New Roman"/>
          <w:w w:val="110"/>
          <w:sz w:val="26"/>
          <w:szCs w:val="26"/>
        </w:rPr>
        <w:t xml:space="preserve">ichiarano ricavi o compensi di ammontare non superiore al </w:t>
      </w:r>
      <w:r w:rsidR="00C9103E" w:rsidRPr="001273EC">
        <w:rPr>
          <w:rFonts w:cs="Times New Roman"/>
          <w:b/>
          <w:bCs/>
          <w:w w:val="110"/>
          <w:sz w:val="26"/>
          <w:szCs w:val="26"/>
        </w:rPr>
        <w:t>limite</w:t>
      </w:r>
      <w:r w:rsidR="00C9103E" w:rsidRPr="001273EC">
        <w:rPr>
          <w:rFonts w:cs="Times New Roman"/>
          <w:w w:val="110"/>
          <w:sz w:val="26"/>
          <w:szCs w:val="26"/>
        </w:rPr>
        <w:t xml:space="preserve"> </w:t>
      </w:r>
      <w:r w:rsidRPr="001273EC">
        <w:rPr>
          <w:rFonts w:cs="Times New Roman"/>
          <w:w w:val="110"/>
          <w:sz w:val="26"/>
          <w:szCs w:val="26"/>
        </w:rPr>
        <w:t>stabilito,</w:t>
      </w:r>
      <w:r w:rsidR="00C9103E" w:rsidRPr="001273EC">
        <w:rPr>
          <w:rFonts w:cs="Times New Roman"/>
          <w:w w:val="110"/>
          <w:sz w:val="26"/>
          <w:szCs w:val="26"/>
        </w:rPr>
        <w:t xml:space="preserve"> per ciascun indice, dal relativo decreto di approvazione del Ministro dell’Economia e delle finanze </w:t>
      </w:r>
      <w:r>
        <w:rPr>
          <w:rFonts w:cs="Times New Roman"/>
          <w:w w:val="110"/>
          <w:sz w:val="26"/>
          <w:szCs w:val="26"/>
        </w:rPr>
        <w:t>(</w:t>
      </w:r>
      <w:r w:rsidR="00C9103E" w:rsidRPr="001273EC">
        <w:rPr>
          <w:rFonts w:cs="Times New Roman"/>
          <w:w w:val="110"/>
          <w:sz w:val="26"/>
          <w:szCs w:val="26"/>
        </w:rPr>
        <w:t>pari a 5.164.569 euro).</w:t>
      </w:r>
    </w:p>
    <w:p w14:paraId="64426EB2" w14:textId="6FD5AD87" w:rsidR="00C9103E" w:rsidRPr="001273EC" w:rsidRDefault="00C9103E" w:rsidP="00C9103E">
      <w:pPr>
        <w:pStyle w:val="Corpotesto"/>
        <w:spacing w:before="49" w:line="252" w:lineRule="auto"/>
        <w:jc w:val="both"/>
        <w:rPr>
          <w:rFonts w:cs="Times New Roman"/>
          <w:w w:val="110"/>
          <w:sz w:val="26"/>
          <w:szCs w:val="26"/>
        </w:rPr>
      </w:pPr>
      <w:r w:rsidRPr="001273EC">
        <w:rPr>
          <w:rFonts w:cs="Times New Roman"/>
          <w:w w:val="110"/>
          <w:sz w:val="26"/>
          <w:szCs w:val="26"/>
        </w:rPr>
        <w:t xml:space="preserve">La proroga si applica anche ai soggetti che partecipano a società, associazioni e imprese soggette agli ISA e che devono dichiarare i redditi </w:t>
      </w:r>
      <w:r w:rsidRPr="001273EC">
        <w:rPr>
          <w:rFonts w:cs="Times New Roman"/>
          <w:b/>
          <w:bCs/>
          <w:w w:val="110"/>
          <w:sz w:val="26"/>
          <w:szCs w:val="26"/>
        </w:rPr>
        <w:t>“per trasparenza”</w:t>
      </w:r>
      <w:r w:rsidRPr="001273EC">
        <w:rPr>
          <w:rFonts w:cs="Times New Roman"/>
          <w:w w:val="110"/>
          <w:sz w:val="26"/>
          <w:szCs w:val="26"/>
        </w:rPr>
        <w:t xml:space="preserve"> ai sensi degli artt. 5, 115 e 116 del TUI</w:t>
      </w:r>
      <w:r w:rsidR="001273EC" w:rsidRPr="001273EC">
        <w:rPr>
          <w:rFonts w:cs="Times New Roman"/>
          <w:w w:val="110"/>
          <w:sz w:val="26"/>
          <w:szCs w:val="26"/>
        </w:rPr>
        <w:t>R (es. soci di società di persone)</w:t>
      </w:r>
      <w:r w:rsidR="0081769B">
        <w:rPr>
          <w:rFonts w:cs="Times New Roman"/>
          <w:w w:val="110"/>
          <w:sz w:val="26"/>
          <w:szCs w:val="26"/>
        </w:rPr>
        <w:t xml:space="preserve"> e si applica anche ai contributi previdenziali.</w:t>
      </w:r>
    </w:p>
    <w:p w14:paraId="2CB7D7B8" w14:textId="77777777" w:rsidR="001273EC" w:rsidRPr="001273EC" w:rsidRDefault="001273EC" w:rsidP="00C9103E">
      <w:pPr>
        <w:pStyle w:val="Corpotesto"/>
        <w:spacing w:before="49" w:line="252" w:lineRule="auto"/>
        <w:jc w:val="both"/>
        <w:rPr>
          <w:rFonts w:cs="Times New Roman"/>
          <w:w w:val="110"/>
          <w:sz w:val="26"/>
          <w:szCs w:val="26"/>
        </w:rPr>
      </w:pPr>
    </w:p>
    <w:p w14:paraId="0FD03A1E" w14:textId="77777777" w:rsidR="009C77BB" w:rsidRDefault="009C77BB" w:rsidP="00C9103E">
      <w:pPr>
        <w:pStyle w:val="Corpotesto"/>
        <w:spacing w:before="49" w:line="252" w:lineRule="auto"/>
        <w:jc w:val="both"/>
        <w:rPr>
          <w:rFonts w:cs="Times New Roman"/>
          <w:w w:val="110"/>
          <w:sz w:val="26"/>
          <w:szCs w:val="26"/>
        </w:rPr>
      </w:pPr>
    </w:p>
    <w:p w14:paraId="03049921" w14:textId="77777777" w:rsidR="0081769B" w:rsidRDefault="001273EC" w:rsidP="00C9103E">
      <w:pPr>
        <w:pStyle w:val="Corpotesto"/>
        <w:spacing w:before="49" w:line="252" w:lineRule="auto"/>
        <w:jc w:val="both"/>
        <w:rPr>
          <w:rFonts w:cs="Times New Roman"/>
          <w:w w:val="110"/>
          <w:sz w:val="26"/>
          <w:szCs w:val="26"/>
        </w:rPr>
      </w:pPr>
      <w:r w:rsidRPr="001273EC">
        <w:rPr>
          <w:rFonts w:cs="Times New Roman"/>
          <w:w w:val="110"/>
          <w:sz w:val="26"/>
          <w:szCs w:val="26"/>
        </w:rPr>
        <w:t xml:space="preserve">Altra osservazione riguarda la facoltà di effettuare i versamenti entro il trentesimo giorno successivo alla scadenza ordinaria maggiorando le somme dello 0,40% “a titolo di interesse corrispettivo”. Non ci sono dubbi che questa possibilità possa essere tranquillamente valutata dai contribuenti (ad </w:t>
      </w:r>
      <w:r w:rsidR="009C77BB" w:rsidRPr="001273EC">
        <w:rPr>
          <w:rFonts w:cs="Times New Roman"/>
          <w:w w:val="110"/>
          <w:sz w:val="26"/>
          <w:szCs w:val="26"/>
        </w:rPr>
        <w:t>esempio i “</w:t>
      </w:r>
      <w:r w:rsidRPr="001273EC">
        <w:rPr>
          <w:rFonts w:cs="Times New Roman"/>
          <w:w w:val="110"/>
          <w:sz w:val="26"/>
          <w:szCs w:val="26"/>
        </w:rPr>
        <w:t xml:space="preserve">privati”) che hanno come scadenza ordinaria il 1° luglio (per i </w:t>
      </w:r>
      <w:r w:rsidR="009C77BB" w:rsidRPr="001273EC">
        <w:rPr>
          <w:rFonts w:cs="Times New Roman"/>
          <w:w w:val="110"/>
          <w:sz w:val="26"/>
          <w:szCs w:val="26"/>
        </w:rPr>
        <w:t>quali, quindi</w:t>
      </w:r>
      <w:r w:rsidRPr="001273EC">
        <w:rPr>
          <w:rFonts w:cs="Times New Roman"/>
          <w:w w:val="110"/>
          <w:sz w:val="26"/>
          <w:szCs w:val="26"/>
        </w:rPr>
        <w:t>, l’F24 “maggiorato” scadrà il 31 luglio</w:t>
      </w:r>
      <w:r w:rsidR="009C77BB">
        <w:rPr>
          <w:rFonts w:cs="Times New Roman"/>
          <w:w w:val="110"/>
          <w:sz w:val="26"/>
          <w:szCs w:val="26"/>
        </w:rPr>
        <w:t>)</w:t>
      </w:r>
      <w:r w:rsidRPr="001273EC">
        <w:rPr>
          <w:rFonts w:cs="Times New Roman"/>
          <w:w w:val="110"/>
          <w:sz w:val="26"/>
          <w:szCs w:val="26"/>
        </w:rPr>
        <w:t>.</w:t>
      </w:r>
    </w:p>
    <w:p w14:paraId="33340CD3" w14:textId="34F75597" w:rsidR="001273EC" w:rsidRPr="001273EC" w:rsidRDefault="001273EC" w:rsidP="00C9103E">
      <w:pPr>
        <w:pStyle w:val="Corpotesto"/>
        <w:spacing w:before="49" w:line="252" w:lineRule="auto"/>
        <w:jc w:val="both"/>
        <w:rPr>
          <w:rFonts w:cs="Times New Roman"/>
          <w:w w:val="110"/>
          <w:sz w:val="26"/>
          <w:szCs w:val="26"/>
        </w:rPr>
      </w:pPr>
      <w:r w:rsidRPr="001273EC">
        <w:rPr>
          <w:rFonts w:cs="Times New Roman"/>
          <w:w w:val="110"/>
          <w:sz w:val="26"/>
          <w:szCs w:val="26"/>
        </w:rPr>
        <w:t xml:space="preserve"> Allo stato attuale questa possibilità non è consentita per i </w:t>
      </w:r>
      <w:r w:rsidR="009C77BB" w:rsidRPr="001273EC">
        <w:rPr>
          <w:rFonts w:cs="Times New Roman"/>
          <w:w w:val="110"/>
          <w:sz w:val="26"/>
          <w:szCs w:val="26"/>
        </w:rPr>
        <w:t>contribuenti</w:t>
      </w:r>
      <w:r w:rsidRPr="001273EC">
        <w:rPr>
          <w:rFonts w:cs="Times New Roman"/>
          <w:w w:val="110"/>
          <w:sz w:val="26"/>
          <w:szCs w:val="26"/>
        </w:rPr>
        <w:t xml:space="preserve"> con scadenza </w:t>
      </w:r>
      <w:r w:rsidR="009C77BB" w:rsidRPr="001273EC">
        <w:rPr>
          <w:rFonts w:cs="Times New Roman"/>
          <w:w w:val="110"/>
          <w:sz w:val="26"/>
          <w:szCs w:val="26"/>
        </w:rPr>
        <w:t>ordinaria</w:t>
      </w:r>
      <w:r w:rsidRPr="001273EC">
        <w:rPr>
          <w:rFonts w:cs="Times New Roman"/>
          <w:w w:val="110"/>
          <w:sz w:val="26"/>
          <w:szCs w:val="26"/>
        </w:rPr>
        <w:t xml:space="preserve"> al 31 luglio, </w:t>
      </w:r>
      <w:r w:rsidR="0081769B">
        <w:rPr>
          <w:rFonts w:cs="Times New Roman"/>
          <w:w w:val="110"/>
          <w:sz w:val="26"/>
          <w:szCs w:val="26"/>
        </w:rPr>
        <w:t>(</w:t>
      </w:r>
      <w:r w:rsidRPr="001273EC">
        <w:rPr>
          <w:rFonts w:cs="Times New Roman"/>
          <w:w w:val="110"/>
          <w:sz w:val="26"/>
          <w:szCs w:val="26"/>
        </w:rPr>
        <w:t xml:space="preserve">come se la proroga prevista di tale disposizione fosse incompatibile con quella legata alla </w:t>
      </w:r>
      <w:r w:rsidR="009C77BB" w:rsidRPr="001273EC">
        <w:rPr>
          <w:rFonts w:cs="Times New Roman"/>
          <w:w w:val="110"/>
          <w:sz w:val="26"/>
          <w:szCs w:val="26"/>
        </w:rPr>
        <w:t>maggiorazione</w:t>
      </w:r>
      <w:r w:rsidR="0081769B">
        <w:rPr>
          <w:rFonts w:cs="Times New Roman"/>
          <w:w w:val="110"/>
          <w:sz w:val="26"/>
          <w:szCs w:val="26"/>
        </w:rPr>
        <w:t>).</w:t>
      </w:r>
      <w:r w:rsidR="009C77BB" w:rsidRPr="001273EC">
        <w:rPr>
          <w:rFonts w:cs="Times New Roman"/>
          <w:w w:val="110"/>
          <w:sz w:val="26"/>
          <w:szCs w:val="26"/>
        </w:rPr>
        <w:t xml:space="preserve"> Sul</w:t>
      </w:r>
      <w:r w:rsidRPr="001273EC">
        <w:rPr>
          <w:rFonts w:cs="Times New Roman"/>
          <w:w w:val="110"/>
          <w:sz w:val="26"/>
          <w:szCs w:val="26"/>
        </w:rPr>
        <w:t xml:space="preserve"> punto dovrà esprimersi </w:t>
      </w:r>
      <w:r w:rsidR="0081769B">
        <w:rPr>
          <w:rFonts w:cs="Times New Roman"/>
          <w:w w:val="110"/>
          <w:sz w:val="26"/>
          <w:szCs w:val="26"/>
        </w:rPr>
        <w:t xml:space="preserve">comunque </w:t>
      </w:r>
      <w:r w:rsidRPr="001273EC">
        <w:rPr>
          <w:rFonts w:cs="Times New Roman"/>
          <w:w w:val="110"/>
          <w:sz w:val="26"/>
          <w:szCs w:val="26"/>
        </w:rPr>
        <w:t>l’amministrazione finanziaria.</w:t>
      </w:r>
    </w:p>
    <w:p w14:paraId="4D4BD746" w14:textId="77777777" w:rsidR="00D05AC0" w:rsidRPr="00D05AC0" w:rsidRDefault="00D05AC0" w:rsidP="009C77BB">
      <w:pPr>
        <w:pStyle w:val="Corpotesto"/>
        <w:spacing w:before="12" w:line="252" w:lineRule="auto"/>
        <w:ind w:right="25"/>
        <w:jc w:val="both"/>
        <w:rPr>
          <w:rFonts w:cs="Times New Roman"/>
          <w:spacing w:val="-14"/>
          <w:w w:val="105"/>
          <w:sz w:val="26"/>
          <w:szCs w:val="26"/>
        </w:rPr>
      </w:pPr>
    </w:p>
    <w:p w14:paraId="2B10AD1C" w14:textId="77777777" w:rsidR="00D05AC0" w:rsidRPr="00D05AC0" w:rsidRDefault="00D05AC0" w:rsidP="00C05B69">
      <w:pPr>
        <w:pStyle w:val="Corpotesto"/>
        <w:spacing w:before="12" w:line="252" w:lineRule="auto"/>
        <w:ind w:hanging="2"/>
        <w:jc w:val="both"/>
        <w:rPr>
          <w:rFonts w:cs="Times New Roman"/>
          <w:sz w:val="26"/>
          <w:szCs w:val="26"/>
        </w:rPr>
      </w:pPr>
    </w:p>
    <w:p w14:paraId="15A87F62" w14:textId="2295BB7E" w:rsidR="00125C29" w:rsidRDefault="00125C29" w:rsidP="00125C29">
      <w:pPr>
        <w:spacing w:line="360" w:lineRule="auto"/>
        <w:outlineLvl w:val="4"/>
        <w:rPr>
          <w:rFonts w:ascii="Tahoma" w:hAnsi="Tahoma" w:cs="Tahoma"/>
          <w:b/>
          <w:i/>
          <w:color w:val="867F8F"/>
          <w:sz w:val="21"/>
          <w:szCs w:val="21"/>
        </w:rPr>
      </w:pPr>
      <w:r>
        <w:rPr>
          <w:rFonts w:ascii="Tahoma" w:hAnsi="Tahoma" w:cs="Tahoma"/>
          <w:b/>
          <w:i/>
          <w:color w:val="867F8F"/>
          <w:sz w:val="21"/>
          <w:szCs w:val="21"/>
        </w:rPr>
        <w:t>L</w:t>
      </w:r>
      <w:r w:rsidRPr="002051D0">
        <w:rPr>
          <w:rFonts w:ascii="Tahoma" w:hAnsi="Tahoma" w:cs="Tahoma"/>
          <w:b/>
          <w:i/>
          <w:color w:val="867F8F"/>
          <w:sz w:val="21"/>
          <w:szCs w:val="21"/>
        </w:rPr>
        <w:t>o Studio</w:t>
      </w:r>
      <w:r w:rsidR="0081769B">
        <w:rPr>
          <w:rFonts w:ascii="Tahoma" w:hAnsi="Tahoma" w:cs="Tahoma"/>
          <w:b/>
          <w:i/>
          <w:color w:val="867F8F"/>
          <w:sz w:val="21"/>
          <w:szCs w:val="21"/>
        </w:rPr>
        <w:t xml:space="preserve"> informerà la Spettabile clientela in ordine ad ogni novità inerente </w:t>
      </w:r>
      <w:r w:rsidR="00D10ECA">
        <w:rPr>
          <w:rFonts w:ascii="Tahoma" w:hAnsi="Tahoma" w:cs="Tahoma"/>
          <w:b/>
          <w:i/>
          <w:color w:val="867F8F"/>
          <w:sz w:val="21"/>
          <w:szCs w:val="21"/>
        </w:rPr>
        <w:t>alle</w:t>
      </w:r>
      <w:r w:rsidR="00E139EF">
        <w:rPr>
          <w:rFonts w:ascii="Tahoma" w:hAnsi="Tahoma" w:cs="Tahoma"/>
          <w:b/>
          <w:i/>
          <w:color w:val="867F8F"/>
          <w:sz w:val="21"/>
          <w:szCs w:val="21"/>
        </w:rPr>
        <w:t xml:space="preserve"> modalità e le scadenze delle imposte relative ai modelli dichiarativi relativi all’anno 2023.</w:t>
      </w:r>
    </w:p>
    <w:p w14:paraId="7C2B9FB3" w14:textId="77777777" w:rsidR="00125C29" w:rsidRDefault="00125C29" w:rsidP="00125C29">
      <w:pPr>
        <w:spacing w:line="360" w:lineRule="auto"/>
        <w:outlineLvl w:val="4"/>
        <w:rPr>
          <w:rFonts w:ascii="Tahoma" w:hAnsi="Tahoma" w:cs="Tahoma"/>
          <w:b/>
          <w:i/>
          <w:color w:val="867F8F"/>
          <w:sz w:val="21"/>
          <w:szCs w:val="21"/>
        </w:rPr>
      </w:pPr>
    </w:p>
    <w:p w14:paraId="309A92B6" w14:textId="77777777" w:rsidR="00125C29" w:rsidRDefault="00125C29" w:rsidP="00125C29">
      <w:pPr>
        <w:spacing w:line="360" w:lineRule="auto"/>
        <w:outlineLvl w:val="4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>Cordiali saluti</w:t>
      </w:r>
    </w:p>
    <w:p w14:paraId="3C662E21" w14:textId="03B8FB20" w:rsidR="00D23B8E" w:rsidRPr="00C05B69" w:rsidRDefault="00125C29" w:rsidP="00C05B69">
      <w:pPr>
        <w:spacing w:line="360" w:lineRule="auto"/>
        <w:outlineLvl w:val="4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>Dott. Marco Folicaldi</w:t>
      </w:r>
    </w:p>
    <w:sectPr w:rsidR="00D23B8E" w:rsidRPr="00C05B69" w:rsidSect="00CC3CBE">
      <w:headerReference w:type="default" r:id="rId8"/>
      <w:footerReference w:type="default" r:id="rId9"/>
      <w:pgSz w:w="11906" w:h="16838"/>
      <w:pgMar w:top="1418" w:right="1134" w:bottom="1134" w:left="1418" w:header="720" w:footer="98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79A7BB" w14:textId="77777777" w:rsidR="00CC3CBE" w:rsidRDefault="00CC3CBE" w:rsidP="007771B7">
      <w:r>
        <w:separator/>
      </w:r>
    </w:p>
  </w:endnote>
  <w:endnote w:type="continuationSeparator" w:id="0">
    <w:p w14:paraId="5E59AF2D" w14:textId="77777777" w:rsidR="00CC3CBE" w:rsidRDefault="00CC3CBE" w:rsidP="007771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nionPro-Regular">
    <w:charset w:val="00"/>
    <w:family w:val="auto"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Neue-Condensed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6503E5" w14:textId="77777777" w:rsidR="007771B7" w:rsidRDefault="007771B7">
    <w:pPr>
      <w:pStyle w:val="Pidipagina"/>
    </w:pPr>
    <w:r>
      <w:rPr>
        <w:noProof/>
        <w:lang w:eastAsia="it-IT" w:bidi="ar-SA"/>
      </w:rPr>
      <w:drawing>
        <wp:anchor distT="0" distB="0" distL="0" distR="0" simplePos="0" relativeHeight="251661312" behindDoc="0" locked="0" layoutInCell="1" allowOverlap="1" wp14:anchorId="58A9CE0B" wp14:editId="05526C8B">
          <wp:simplePos x="0" y="0"/>
          <wp:positionH relativeFrom="column">
            <wp:posOffset>-45720</wp:posOffset>
          </wp:positionH>
          <wp:positionV relativeFrom="paragraph">
            <wp:posOffset>130810</wp:posOffset>
          </wp:positionV>
          <wp:extent cx="6470015" cy="388620"/>
          <wp:effectExtent l="0" t="0" r="6985" b="0"/>
          <wp:wrapTopAndBottom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0015" cy="38862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3533644" w14:textId="77777777" w:rsidR="007771B7" w:rsidRDefault="007771B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DDA712" w14:textId="77777777" w:rsidR="00CC3CBE" w:rsidRDefault="00CC3CBE" w:rsidP="007771B7">
      <w:r>
        <w:separator/>
      </w:r>
    </w:p>
  </w:footnote>
  <w:footnote w:type="continuationSeparator" w:id="0">
    <w:p w14:paraId="1BB369C2" w14:textId="77777777" w:rsidR="00CC3CBE" w:rsidRDefault="00CC3CBE" w:rsidP="007771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D6245A" w14:textId="77777777" w:rsidR="007771B7" w:rsidRDefault="00A6006C" w:rsidP="009E268B">
    <w:pPr>
      <w:pStyle w:val="Intestazione"/>
      <w:jc w:val="center"/>
    </w:pPr>
    <w:r>
      <w:rPr>
        <w:rFonts w:eastAsia="Times New Roman"/>
        <w:noProof/>
        <w:lang w:eastAsia="it-IT" w:bidi="ar-SA"/>
      </w:rPr>
      <w:drawing>
        <wp:anchor distT="0" distB="0" distL="114300" distR="114300" simplePos="0" relativeHeight="251662336" behindDoc="0" locked="0" layoutInCell="1" allowOverlap="1" wp14:anchorId="792E95EB" wp14:editId="0B3A5A60">
          <wp:simplePos x="0" y="0"/>
          <wp:positionH relativeFrom="page">
            <wp:align>center</wp:align>
          </wp:positionH>
          <wp:positionV relativeFrom="paragraph">
            <wp:posOffset>-133350</wp:posOffset>
          </wp:positionV>
          <wp:extent cx="3049200" cy="648000"/>
          <wp:effectExtent l="0" t="0" r="0" b="0"/>
          <wp:wrapSquare wrapText="bothSides"/>
          <wp:docPr id="2" name="Immagine 2" descr="cid:20D872E7-1299-46E8-B6DB-012FD62A26F9@homenet.telecomitalia.i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8e01b59-268d-4a70-bfaf-4878401c930a" descr="cid:20D872E7-1299-46E8-B6DB-012FD62A26F9@homenet.telecomitalia.it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49200" cy="64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73D8E20" w14:textId="77777777" w:rsidR="007771B7" w:rsidRDefault="007771B7">
    <w:pPr>
      <w:pStyle w:val="Intestazione"/>
    </w:pPr>
  </w:p>
  <w:p w14:paraId="6F823E02" w14:textId="77777777" w:rsidR="00D23B8E" w:rsidRDefault="00D23B8E">
    <w:pPr>
      <w:pStyle w:val="Intestazione"/>
    </w:pPr>
  </w:p>
  <w:p w14:paraId="7291D181" w14:textId="77777777" w:rsidR="00D23B8E" w:rsidRDefault="00D23B8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FA2F1D"/>
    <w:multiLevelType w:val="hybridMultilevel"/>
    <w:tmpl w:val="642E97DE"/>
    <w:lvl w:ilvl="0" w:tplc="B7E66F94">
      <w:numFmt w:val="bullet"/>
      <w:lvlText w:val="-"/>
      <w:lvlJc w:val="left"/>
      <w:pPr>
        <w:ind w:left="194" w:hanging="109"/>
      </w:pPr>
      <w:rPr>
        <w:rFonts w:ascii="Arial" w:eastAsia="Arial" w:hAnsi="Arial" w:cs="Arial" w:hint="default"/>
        <w:b w:val="0"/>
        <w:bCs w:val="0"/>
        <w:i w:val="0"/>
        <w:iCs w:val="0"/>
        <w:color w:val="2F2F2F"/>
        <w:spacing w:val="0"/>
        <w:w w:val="103"/>
        <w:sz w:val="17"/>
        <w:szCs w:val="17"/>
        <w:lang w:val="it-IT" w:eastAsia="en-US" w:bidi="ar-SA"/>
      </w:rPr>
    </w:lvl>
    <w:lvl w:ilvl="1" w:tplc="0A5A7D04">
      <w:numFmt w:val="bullet"/>
      <w:lvlText w:val="•"/>
      <w:lvlJc w:val="left"/>
      <w:pPr>
        <w:ind w:left="619" w:hanging="109"/>
      </w:pPr>
      <w:rPr>
        <w:rFonts w:hint="default"/>
        <w:lang w:val="it-IT" w:eastAsia="en-US" w:bidi="ar-SA"/>
      </w:rPr>
    </w:lvl>
    <w:lvl w:ilvl="2" w:tplc="964EC0E0">
      <w:numFmt w:val="bullet"/>
      <w:lvlText w:val="•"/>
      <w:lvlJc w:val="left"/>
      <w:pPr>
        <w:ind w:left="1038" w:hanging="109"/>
      </w:pPr>
      <w:rPr>
        <w:rFonts w:hint="default"/>
        <w:lang w:val="it-IT" w:eastAsia="en-US" w:bidi="ar-SA"/>
      </w:rPr>
    </w:lvl>
    <w:lvl w:ilvl="3" w:tplc="C7E2B0B2">
      <w:numFmt w:val="bullet"/>
      <w:lvlText w:val="•"/>
      <w:lvlJc w:val="left"/>
      <w:pPr>
        <w:ind w:left="1457" w:hanging="109"/>
      </w:pPr>
      <w:rPr>
        <w:rFonts w:hint="default"/>
        <w:lang w:val="it-IT" w:eastAsia="en-US" w:bidi="ar-SA"/>
      </w:rPr>
    </w:lvl>
    <w:lvl w:ilvl="4" w:tplc="53344DB0">
      <w:numFmt w:val="bullet"/>
      <w:lvlText w:val="•"/>
      <w:lvlJc w:val="left"/>
      <w:pPr>
        <w:ind w:left="1877" w:hanging="109"/>
      </w:pPr>
      <w:rPr>
        <w:rFonts w:hint="default"/>
        <w:lang w:val="it-IT" w:eastAsia="en-US" w:bidi="ar-SA"/>
      </w:rPr>
    </w:lvl>
    <w:lvl w:ilvl="5" w:tplc="E766BC72">
      <w:numFmt w:val="bullet"/>
      <w:lvlText w:val="•"/>
      <w:lvlJc w:val="left"/>
      <w:pPr>
        <w:ind w:left="2296" w:hanging="109"/>
      </w:pPr>
      <w:rPr>
        <w:rFonts w:hint="default"/>
        <w:lang w:val="it-IT" w:eastAsia="en-US" w:bidi="ar-SA"/>
      </w:rPr>
    </w:lvl>
    <w:lvl w:ilvl="6" w:tplc="F7C28348">
      <w:numFmt w:val="bullet"/>
      <w:lvlText w:val="•"/>
      <w:lvlJc w:val="left"/>
      <w:pPr>
        <w:ind w:left="2715" w:hanging="109"/>
      </w:pPr>
      <w:rPr>
        <w:rFonts w:hint="default"/>
        <w:lang w:val="it-IT" w:eastAsia="en-US" w:bidi="ar-SA"/>
      </w:rPr>
    </w:lvl>
    <w:lvl w:ilvl="7" w:tplc="F39AE0F4">
      <w:numFmt w:val="bullet"/>
      <w:lvlText w:val="•"/>
      <w:lvlJc w:val="left"/>
      <w:pPr>
        <w:ind w:left="3135" w:hanging="109"/>
      </w:pPr>
      <w:rPr>
        <w:rFonts w:hint="default"/>
        <w:lang w:val="it-IT" w:eastAsia="en-US" w:bidi="ar-SA"/>
      </w:rPr>
    </w:lvl>
    <w:lvl w:ilvl="8" w:tplc="7756C336">
      <w:numFmt w:val="bullet"/>
      <w:lvlText w:val="•"/>
      <w:lvlJc w:val="left"/>
      <w:pPr>
        <w:ind w:left="3554" w:hanging="109"/>
      </w:pPr>
      <w:rPr>
        <w:rFonts w:hint="default"/>
        <w:lang w:val="it-IT" w:eastAsia="en-US" w:bidi="ar-SA"/>
      </w:rPr>
    </w:lvl>
  </w:abstractNum>
  <w:abstractNum w:abstractNumId="1" w15:restartNumberingAfterBreak="0">
    <w:nsid w:val="14A23B96"/>
    <w:multiLevelType w:val="hybridMultilevel"/>
    <w:tmpl w:val="437EB5C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6566F1"/>
    <w:multiLevelType w:val="hybridMultilevel"/>
    <w:tmpl w:val="F572C812"/>
    <w:lvl w:ilvl="0" w:tplc="E72AB35A">
      <w:numFmt w:val="bullet"/>
      <w:lvlText w:val="-"/>
      <w:lvlJc w:val="left"/>
      <w:pPr>
        <w:ind w:left="184" w:hanging="114"/>
      </w:pPr>
      <w:rPr>
        <w:rFonts w:ascii="Arial" w:eastAsia="Arial" w:hAnsi="Arial" w:cs="Arial" w:hint="default"/>
        <w:b w:val="0"/>
        <w:bCs w:val="0"/>
        <w:i w:val="0"/>
        <w:iCs w:val="0"/>
        <w:color w:val="2F2F2F"/>
        <w:spacing w:val="0"/>
        <w:w w:val="112"/>
        <w:sz w:val="17"/>
        <w:szCs w:val="17"/>
        <w:lang w:val="it-IT" w:eastAsia="en-US" w:bidi="ar-SA"/>
      </w:rPr>
    </w:lvl>
    <w:lvl w:ilvl="1" w:tplc="35E607C4">
      <w:numFmt w:val="bullet"/>
      <w:lvlText w:val="•"/>
      <w:lvlJc w:val="left"/>
      <w:pPr>
        <w:ind w:left="601" w:hanging="114"/>
      </w:pPr>
      <w:rPr>
        <w:rFonts w:hint="default"/>
        <w:lang w:val="it-IT" w:eastAsia="en-US" w:bidi="ar-SA"/>
      </w:rPr>
    </w:lvl>
    <w:lvl w:ilvl="2" w:tplc="28EE7782">
      <w:numFmt w:val="bullet"/>
      <w:lvlText w:val="•"/>
      <w:lvlJc w:val="left"/>
      <w:pPr>
        <w:ind w:left="1022" w:hanging="114"/>
      </w:pPr>
      <w:rPr>
        <w:rFonts w:hint="default"/>
        <w:lang w:val="it-IT" w:eastAsia="en-US" w:bidi="ar-SA"/>
      </w:rPr>
    </w:lvl>
    <w:lvl w:ilvl="3" w:tplc="3B2C80FC">
      <w:numFmt w:val="bullet"/>
      <w:lvlText w:val="•"/>
      <w:lvlJc w:val="left"/>
      <w:pPr>
        <w:ind w:left="1443" w:hanging="114"/>
      </w:pPr>
      <w:rPr>
        <w:rFonts w:hint="default"/>
        <w:lang w:val="it-IT" w:eastAsia="en-US" w:bidi="ar-SA"/>
      </w:rPr>
    </w:lvl>
    <w:lvl w:ilvl="4" w:tplc="E07EDB86">
      <w:numFmt w:val="bullet"/>
      <w:lvlText w:val="•"/>
      <w:lvlJc w:val="left"/>
      <w:pPr>
        <w:ind w:left="1865" w:hanging="114"/>
      </w:pPr>
      <w:rPr>
        <w:rFonts w:hint="default"/>
        <w:lang w:val="it-IT" w:eastAsia="en-US" w:bidi="ar-SA"/>
      </w:rPr>
    </w:lvl>
    <w:lvl w:ilvl="5" w:tplc="2F9CF578">
      <w:numFmt w:val="bullet"/>
      <w:lvlText w:val="•"/>
      <w:lvlJc w:val="left"/>
      <w:pPr>
        <w:ind w:left="2286" w:hanging="114"/>
      </w:pPr>
      <w:rPr>
        <w:rFonts w:hint="default"/>
        <w:lang w:val="it-IT" w:eastAsia="en-US" w:bidi="ar-SA"/>
      </w:rPr>
    </w:lvl>
    <w:lvl w:ilvl="6" w:tplc="AF68DC98">
      <w:numFmt w:val="bullet"/>
      <w:lvlText w:val="•"/>
      <w:lvlJc w:val="left"/>
      <w:pPr>
        <w:ind w:left="2707" w:hanging="114"/>
      </w:pPr>
      <w:rPr>
        <w:rFonts w:hint="default"/>
        <w:lang w:val="it-IT" w:eastAsia="en-US" w:bidi="ar-SA"/>
      </w:rPr>
    </w:lvl>
    <w:lvl w:ilvl="7" w:tplc="50AC49BE">
      <w:numFmt w:val="bullet"/>
      <w:lvlText w:val="•"/>
      <w:lvlJc w:val="left"/>
      <w:pPr>
        <w:ind w:left="3129" w:hanging="114"/>
      </w:pPr>
      <w:rPr>
        <w:rFonts w:hint="default"/>
        <w:lang w:val="it-IT" w:eastAsia="en-US" w:bidi="ar-SA"/>
      </w:rPr>
    </w:lvl>
    <w:lvl w:ilvl="8" w:tplc="8DEC4004">
      <w:numFmt w:val="bullet"/>
      <w:lvlText w:val="•"/>
      <w:lvlJc w:val="left"/>
      <w:pPr>
        <w:ind w:left="3550" w:hanging="114"/>
      </w:pPr>
      <w:rPr>
        <w:rFonts w:hint="default"/>
        <w:lang w:val="it-IT" w:eastAsia="en-US" w:bidi="ar-SA"/>
      </w:rPr>
    </w:lvl>
  </w:abstractNum>
  <w:abstractNum w:abstractNumId="3" w15:restartNumberingAfterBreak="0">
    <w:nsid w:val="39914115"/>
    <w:multiLevelType w:val="hybridMultilevel"/>
    <w:tmpl w:val="29C23D38"/>
    <w:lvl w:ilvl="0" w:tplc="CB9A72DE">
      <w:start w:val="3"/>
      <w:numFmt w:val="bullet"/>
      <w:lvlText w:val="-"/>
      <w:lvlJc w:val="left"/>
      <w:pPr>
        <w:ind w:left="927" w:hanging="360"/>
      </w:pPr>
      <w:rPr>
        <w:rFonts w:ascii="Bookman Old Style" w:eastAsia="Times New Roman" w:hAnsi="Bookman Old Style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3FB424B5"/>
    <w:multiLevelType w:val="hybridMultilevel"/>
    <w:tmpl w:val="EFA67DBC"/>
    <w:lvl w:ilvl="0" w:tplc="29528B7E">
      <w:numFmt w:val="bullet"/>
      <w:lvlText w:val="-"/>
      <w:lvlJc w:val="left"/>
      <w:pPr>
        <w:ind w:left="189" w:hanging="114"/>
      </w:pPr>
      <w:rPr>
        <w:rFonts w:ascii="Arial" w:eastAsia="Arial" w:hAnsi="Arial" w:cs="Arial" w:hint="default"/>
        <w:b w:val="0"/>
        <w:bCs w:val="0"/>
        <w:i w:val="0"/>
        <w:iCs w:val="0"/>
        <w:color w:val="4B4B4B"/>
        <w:spacing w:val="0"/>
        <w:w w:val="102"/>
        <w:sz w:val="17"/>
        <w:szCs w:val="17"/>
        <w:lang w:val="it-IT" w:eastAsia="en-US" w:bidi="ar-SA"/>
      </w:rPr>
    </w:lvl>
    <w:lvl w:ilvl="1" w:tplc="E9A04708">
      <w:numFmt w:val="bullet"/>
      <w:lvlText w:val="•"/>
      <w:lvlJc w:val="left"/>
      <w:pPr>
        <w:ind w:left="601" w:hanging="114"/>
      </w:pPr>
      <w:rPr>
        <w:rFonts w:hint="default"/>
        <w:lang w:val="it-IT" w:eastAsia="en-US" w:bidi="ar-SA"/>
      </w:rPr>
    </w:lvl>
    <w:lvl w:ilvl="2" w:tplc="4BD0F748">
      <w:numFmt w:val="bullet"/>
      <w:lvlText w:val="•"/>
      <w:lvlJc w:val="left"/>
      <w:pPr>
        <w:ind w:left="1022" w:hanging="114"/>
      </w:pPr>
      <w:rPr>
        <w:rFonts w:hint="default"/>
        <w:lang w:val="it-IT" w:eastAsia="en-US" w:bidi="ar-SA"/>
      </w:rPr>
    </w:lvl>
    <w:lvl w:ilvl="3" w:tplc="0C50CCDE">
      <w:numFmt w:val="bullet"/>
      <w:lvlText w:val="•"/>
      <w:lvlJc w:val="left"/>
      <w:pPr>
        <w:ind w:left="1443" w:hanging="114"/>
      </w:pPr>
      <w:rPr>
        <w:rFonts w:hint="default"/>
        <w:lang w:val="it-IT" w:eastAsia="en-US" w:bidi="ar-SA"/>
      </w:rPr>
    </w:lvl>
    <w:lvl w:ilvl="4" w:tplc="F8741070">
      <w:numFmt w:val="bullet"/>
      <w:lvlText w:val="•"/>
      <w:lvlJc w:val="left"/>
      <w:pPr>
        <w:ind w:left="1865" w:hanging="114"/>
      </w:pPr>
      <w:rPr>
        <w:rFonts w:hint="default"/>
        <w:lang w:val="it-IT" w:eastAsia="en-US" w:bidi="ar-SA"/>
      </w:rPr>
    </w:lvl>
    <w:lvl w:ilvl="5" w:tplc="F72CD7AA">
      <w:numFmt w:val="bullet"/>
      <w:lvlText w:val="•"/>
      <w:lvlJc w:val="left"/>
      <w:pPr>
        <w:ind w:left="2286" w:hanging="114"/>
      </w:pPr>
      <w:rPr>
        <w:rFonts w:hint="default"/>
        <w:lang w:val="it-IT" w:eastAsia="en-US" w:bidi="ar-SA"/>
      </w:rPr>
    </w:lvl>
    <w:lvl w:ilvl="6" w:tplc="2508E570">
      <w:numFmt w:val="bullet"/>
      <w:lvlText w:val="•"/>
      <w:lvlJc w:val="left"/>
      <w:pPr>
        <w:ind w:left="2707" w:hanging="114"/>
      </w:pPr>
      <w:rPr>
        <w:rFonts w:hint="default"/>
        <w:lang w:val="it-IT" w:eastAsia="en-US" w:bidi="ar-SA"/>
      </w:rPr>
    </w:lvl>
    <w:lvl w:ilvl="7" w:tplc="9C921282">
      <w:numFmt w:val="bullet"/>
      <w:lvlText w:val="•"/>
      <w:lvlJc w:val="left"/>
      <w:pPr>
        <w:ind w:left="3129" w:hanging="114"/>
      </w:pPr>
      <w:rPr>
        <w:rFonts w:hint="default"/>
        <w:lang w:val="it-IT" w:eastAsia="en-US" w:bidi="ar-SA"/>
      </w:rPr>
    </w:lvl>
    <w:lvl w:ilvl="8" w:tplc="70968920">
      <w:numFmt w:val="bullet"/>
      <w:lvlText w:val="•"/>
      <w:lvlJc w:val="left"/>
      <w:pPr>
        <w:ind w:left="3550" w:hanging="114"/>
      </w:pPr>
      <w:rPr>
        <w:rFonts w:hint="default"/>
        <w:lang w:val="it-IT" w:eastAsia="en-US" w:bidi="ar-SA"/>
      </w:rPr>
    </w:lvl>
  </w:abstractNum>
  <w:abstractNum w:abstractNumId="5" w15:restartNumberingAfterBreak="0">
    <w:nsid w:val="4DBF68AC"/>
    <w:multiLevelType w:val="hybridMultilevel"/>
    <w:tmpl w:val="A05C8DC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61636D"/>
    <w:multiLevelType w:val="hybridMultilevel"/>
    <w:tmpl w:val="91341692"/>
    <w:lvl w:ilvl="0" w:tplc="3280C08A">
      <w:start w:val="1"/>
      <w:numFmt w:val="bullet"/>
      <w:lvlText w:val="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7FB0926"/>
    <w:multiLevelType w:val="hybridMultilevel"/>
    <w:tmpl w:val="34749CC0"/>
    <w:lvl w:ilvl="0" w:tplc="3280C08A">
      <w:start w:val="1"/>
      <w:numFmt w:val="bullet"/>
      <w:lvlText w:val="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03B05F2"/>
    <w:multiLevelType w:val="hybridMultilevel"/>
    <w:tmpl w:val="CF22DB84"/>
    <w:lvl w:ilvl="0" w:tplc="08BA4C8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7C0B79A9"/>
    <w:multiLevelType w:val="hybridMultilevel"/>
    <w:tmpl w:val="135AD81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38913862">
    <w:abstractNumId w:val="9"/>
  </w:num>
  <w:num w:numId="2" w16cid:durableId="1886329602">
    <w:abstractNumId w:val="5"/>
  </w:num>
  <w:num w:numId="3" w16cid:durableId="1104884766">
    <w:abstractNumId w:val="7"/>
  </w:num>
  <w:num w:numId="4" w16cid:durableId="1717853964">
    <w:abstractNumId w:val="6"/>
  </w:num>
  <w:num w:numId="5" w16cid:durableId="887377398">
    <w:abstractNumId w:val="8"/>
  </w:num>
  <w:num w:numId="6" w16cid:durableId="755906424">
    <w:abstractNumId w:val="3"/>
  </w:num>
  <w:num w:numId="7" w16cid:durableId="1322851041">
    <w:abstractNumId w:val="0"/>
  </w:num>
  <w:num w:numId="8" w16cid:durableId="24600883">
    <w:abstractNumId w:val="4"/>
  </w:num>
  <w:num w:numId="9" w16cid:durableId="1604536701">
    <w:abstractNumId w:val="2"/>
  </w:num>
  <w:num w:numId="10" w16cid:durableId="3255934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4203"/>
    <w:rsid w:val="00051BA4"/>
    <w:rsid w:val="00114940"/>
    <w:rsid w:val="00125C29"/>
    <w:rsid w:val="001273EC"/>
    <w:rsid w:val="00261C76"/>
    <w:rsid w:val="00314203"/>
    <w:rsid w:val="00334E6A"/>
    <w:rsid w:val="0039783A"/>
    <w:rsid w:val="00406722"/>
    <w:rsid w:val="006C7985"/>
    <w:rsid w:val="00740DDC"/>
    <w:rsid w:val="007771B7"/>
    <w:rsid w:val="007E4802"/>
    <w:rsid w:val="0081769B"/>
    <w:rsid w:val="00886AE0"/>
    <w:rsid w:val="00890338"/>
    <w:rsid w:val="00962625"/>
    <w:rsid w:val="009831FF"/>
    <w:rsid w:val="009C77BB"/>
    <w:rsid w:val="009E268B"/>
    <w:rsid w:val="00A6006C"/>
    <w:rsid w:val="00AA22FD"/>
    <w:rsid w:val="00B8224F"/>
    <w:rsid w:val="00B85D4A"/>
    <w:rsid w:val="00C05B69"/>
    <w:rsid w:val="00C9103E"/>
    <w:rsid w:val="00CC3CBE"/>
    <w:rsid w:val="00CE70DB"/>
    <w:rsid w:val="00CF502F"/>
    <w:rsid w:val="00D05AC0"/>
    <w:rsid w:val="00D10ECA"/>
    <w:rsid w:val="00D23B8E"/>
    <w:rsid w:val="00D44407"/>
    <w:rsid w:val="00DC3D59"/>
    <w:rsid w:val="00DC5BF3"/>
    <w:rsid w:val="00E139EF"/>
    <w:rsid w:val="00E67917"/>
    <w:rsid w:val="00EA6D5C"/>
    <w:rsid w:val="00EC2508"/>
    <w:rsid w:val="00EF27B8"/>
    <w:rsid w:val="00F040A2"/>
    <w:rsid w:val="00F138AE"/>
    <w:rsid w:val="00F37295"/>
    <w:rsid w:val="00F941B9"/>
    <w:rsid w:val="00FB5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0ADA44C6"/>
  <w15:docId w15:val="{180F1CDB-A0DE-4355-BDF8-67EFD80D8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widowControl w:val="0"/>
      <w:suppressAutoHyphens/>
    </w:pPr>
    <w:rPr>
      <w:rFonts w:eastAsia="Arial Unicode MS" w:cs="Arial Unicode MS"/>
      <w:kern w:val="1"/>
      <w:sz w:val="24"/>
      <w:szCs w:val="24"/>
      <w:lang w:eastAsia="hi-IN" w:bidi="hi-I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e"/>
    <w:pPr>
      <w:suppressLineNumbers/>
    </w:pPr>
  </w:style>
  <w:style w:type="paragraph" w:customStyle="1" w:styleId="Nessunostileparagrafo">
    <w:name w:val="[Nessuno stile paragrafo]"/>
    <w:pPr>
      <w:widowControl w:val="0"/>
      <w:suppressAutoHyphens/>
      <w:autoSpaceDE w:val="0"/>
      <w:spacing w:line="288" w:lineRule="auto"/>
      <w:textAlignment w:val="center"/>
    </w:pPr>
    <w:rPr>
      <w:rFonts w:ascii="MinionPro-Regular" w:eastAsia="MinionPro-Regular" w:hAnsi="MinionPro-Regular" w:cs="MinionPro-Regular"/>
      <w:color w:val="000000"/>
      <w:kern w:val="1"/>
      <w:sz w:val="24"/>
      <w:szCs w:val="24"/>
      <w:lang w:eastAsia="hi-IN" w:bidi="hi-IN"/>
    </w:rPr>
  </w:style>
  <w:style w:type="paragraph" w:customStyle="1" w:styleId="Paragrafobase">
    <w:name w:val="[Paragrafo base]"/>
    <w:basedOn w:val="Nessunostileparagrafo"/>
  </w:style>
  <w:style w:type="paragraph" w:styleId="Intestazione">
    <w:name w:val="header"/>
    <w:basedOn w:val="Normale"/>
    <w:link w:val="IntestazioneCarattere"/>
    <w:uiPriority w:val="99"/>
    <w:unhideWhenUsed/>
    <w:rsid w:val="007771B7"/>
    <w:pPr>
      <w:tabs>
        <w:tab w:val="center" w:pos="4819"/>
        <w:tab w:val="right" w:pos="9638"/>
      </w:tabs>
    </w:pPr>
    <w:rPr>
      <w:rFonts w:cs="Mangal"/>
      <w:szCs w:val="21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771B7"/>
    <w:rPr>
      <w:rFonts w:eastAsia="Arial Unicode MS" w:cs="Mangal"/>
      <w:kern w:val="1"/>
      <w:sz w:val="24"/>
      <w:szCs w:val="21"/>
      <w:lang w:eastAsia="hi-IN" w:bidi="hi-IN"/>
    </w:rPr>
  </w:style>
  <w:style w:type="paragraph" w:styleId="Pidipagina">
    <w:name w:val="footer"/>
    <w:basedOn w:val="Normale"/>
    <w:link w:val="PidipaginaCarattere"/>
    <w:uiPriority w:val="99"/>
    <w:unhideWhenUsed/>
    <w:rsid w:val="007771B7"/>
    <w:pPr>
      <w:tabs>
        <w:tab w:val="center" w:pos="4819"/>
        <w:tab w:val="right" w:pos="9638"/>
      </w:tabs>
    </w:pPr>
    <w:rPr>
      <w:rFonts w:cs="Mangal"/>
      <w:szCs w:val="21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771B7"/>
    <w:rPr>
      <w:rFonts w:eastAsia="Arial Unicode MS" w:cs="Mangal"/>
      <w:kern w:val="1"/>
      <w:sz w:val="24"/>
      <w:szCs w:val="21"/>
      <w:lang w:eastAsia="hi-IN" w:bidi="hi-I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771B7"/>
    <w:rPr>
      <w:rFonts w:ascii="Tahoma" w:hAnsi="Tahoma" w:cs="Mangal"/>
      <w:sz w:val="16"/>
      <w:szCs w:val="14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771B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paragraph" w:styleId="Nessunaspaziatura">
    <w:name w:val="No Spacing"/>
    <w:uiPriority w:val="1"/>
    <w:qFormat/>
    <w:rsid w:val="00B8224F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eWeb">
    <w:name w:val="Normal (Web)"/>
    <w:basedOn w:val="Normale"/>
    <w:uiPriority w:val="99"/>
    <w:rsid w:val="00D23B8E"/>
    <w:pPr>
      <w:widowControl/>
      <w:suppressAutoHyphens w:val="0"/>
      <w:spacing w:before="100" w:beforeAutospacing="1" w:after="100" w:afterAutospacing="1" w:line="340" w:lineRule="atLeast"/>
      <w:jc w:val="both"/>
    </w:pPr>
    <w:rPr>
      <w:rFonts w:eastAsia="Times New Roman" w:cs="Times New Roman"/>
      <w:kern w:val="0"/>
      <w:lang w:eastAsia="it-IT" w:bidi="ar-SA"/>
    </w:rPr>
  </w:style>
  <w:style w:type="paragraph" w:customStyle="1" w:styleId="testo">
    <w:name w:val="testo"/>
    <w:basedOn w:val="Normale"/>
    <w:uiPriority w:val="99"/>
    <w:rsid w:val="00D23B8E"/>
    <w:pPr>
      <w:suppressAutoHyphens w:val="0"/>
      <w:autoSpaceDE w:val="0"/>
      <w:autoSpaceDN w:val="0"/>
      <w:adjustRightInd w:val="0"/>
      <w:spacing w:line="320" w:lineRule="atLeast"/>
      <w:ind w:left="1701"/>
      <w:jc w:val="both"/>
      <w:textAlignment w:val="center"/>
    </w:pPr>
    <w:rPr>
      <w:rFonts w:ascii="Tahoma" w:eastAsia="Times New Roman" w:hAnsi="Tahoma" w:cs="HelveticaNeue-Condensed"/>
      <w:color w:val="000000"/>
      <w:kern w:val="0"/>
      <w:sz w:val="22"/>
      <w:szCs w:val="20"/>
      <w:lang w:eastAsia="it-IT" w:bidi="ar-SA"/>
    </w:rPr>
  </w:style>
  <w:style w:type="table" w:customStyle="1" w:styleId="TableNormal">
    <w:name w:val="Table Normal"/>
    <w:uiPriority w:val="2"/>
    <w:semiHidden/>
    <w:unhideWhenUsed/>
    <w:qFormat/>
    <w:rsid w:val="00F040A2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F040A2"/>
    <w:pPr>
      <w:suppressAutoHyphens w:val="0"/>
      <w:autoSpaceDE w:val="0"/>
      <w:autoSpaceDN w:val="0"/>
    </w:pPr>
    <w:rPr>
      <w:rFonts w:ascii="Arial" w:eastAsia="Arial" w:hAnsi="Arial" w:cs="Arial"/>
      <w:kern w:val="0"/>
      <w:sz w:val="22"/>
      <w:szCs w:val="22"/>
      <w:lang w:eastAsia="en-US" w:bidi="ar-SA"/>
    </w:rPr>
  </w:style>
  <w:style w:type="table" w:styleId="Grigliatabella">
    <w:name w:val="Table Grid"/>
    <w:basedOn w:val="Tabellanormale"/>
    <w:uiPriority w:val="59"/>
    <w:rsid w:val="00B85D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20D872E7-1299-46E8-B6DB-012FD62A26F9@homenet.telecomitalia.it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919BD7-3FEB-4EC3-929D-E299EBD1B3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2</Pages>
  <Words>431</Words>
  <Characters>2460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Chizzolini Laura</dc:creator>
  <cp:lastModifiedBy>Egle Favale</cp:lastModifiedBy>
  <cp:revision>4</cp:revision>
  <cp:lastPrinted>2024-06-12T13:19:00Z</cp:lastPrinted>
  <dcterms:created xsi:type="dcterms:W3CDTF">2024-06-12T12:42:00Z</dcterms:created>
  <dcterms:modified xsi:type="dcterms:W3CDTF">2024-06-12T15:05:00Z</dcterms:modified>
</cp:coreProperties>
</file>