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06B36891" w14:textId="77777777" w:rsidR="00112909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</w:p>
    <w:p w14:paraId="2BBF45BD" w14:textId="1F938B31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Circolare n° </w:t>
      </w:r>
      <w:r w:rsidR="005B0286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8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5B0286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</w:t>
      </w:r>
      <w:r w:rsidR="001D0CE5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7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</w:t>
      </w:r>
      <w:r w:rsidR="005B0286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3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4</w:t>
      </w:r>
    </w:p>
    <w:p w14:paraId="63E32CF0" w14:textId="1AF9E457" w:rsidR="00112909" w:rsidRPr="00126AA0" w:rsidRDefault="005B0286" w:rsidP="00112909">
      <w:pPr>
        <w:spacing w:before="427"/>
        <w:jc w:val="center"/>
        <w:rPr>
          <w:b/>
          <w:bCs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Rottamazione Quater: riapertura al 15.03.2024 per i pagamenti delle rate scadute</w:t>
      </w:r>
    </w:p>
    <w:p w14:paraId="2948324A" w14:textId="4D98F9FE" w:rsidR="006E3999" w:rsidRPr="00DF7E74" w:rsidRDefault="0008167B" w:rsidP="00DF7E74">
      <w:pPr>
        <w:spacing w:line="360" w:lineRule="auto"/>
        <w:ind w:right="-709"/>
        <w:jc w:val="center"/>
        <w:rPr>
          <w:rFonts w:ascii="Tahoma" w:hAnsi="Tahoma" w:cs="Tahoma"/>
          <w:b/>
          <w:bCs/>
          <w:sz w:val="28"/>
          <w:szCs w:val="28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                                           </w:t>
      </w:r>
      <w:r w:rsidR="00CE02A3">
        <w:rPr>
          <w:rFonts w:ascii="Tahoma" w:hAnsi="Tahoma" w:cs="Tahoma"/>
          <w:b/>
          <w:bCs/>
          <w:sz w:val="16"/>
          <w:szCs w:val="16"/>
          <w:lang w:eastAsia="x-none"/>
        </w:rPr>
        <w:t xml:space="preserve">                                                                                               </w:t>
      </w:r>
      <w:r w:rsidR="007727C4">
        <w:rPr>
          <w:rFonts w:ascii="Tahoma" w:hAnsi="Tahoma" w:cs="Tahoma"/>
          <w:b/>
          <w:bCs/>
          <w:sz w:val="16"/>
          <w:szCs w:val="16"/>
          <w:lang w:eastAsia="x-none"/>
        </w:rPr>
        <w:t xml:space="preserve"> 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3861DB" w:rsidRPr="00330F14" w14:paraId="049E222F" w14:textId="77777777" w:rsidTr="00075A3C">
        <w:tc>
          <w:tcPr>
            <w:tcW w:w="9639" w:type="dxa"/>
          </w:tcPr>
          <w:p w14:paraId="51BE17A6" w14:textId="77777777" w:rsidR="003861DB" w:rsidRPr="005A5A1B" w:rsidRDefault="003861DB" w:rsidP="00075A3C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0" w:name="_Hlk126838044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</w:t>
            </w:r>
            <w:r w:rsidRPr="006E3999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emes</w:t>
            </w: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sa</w:t>
            </w:r>
          </w:p>
        </w:tc>
      </w:tr>
    </w:tbl>
    <w:p w14:paraId="47391254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bookmarkStart w:id="1" w:name="_Hlk93222760"/>
      <w:bookmarkEnd w:id="0"/>
      <w:r w:rsidRPr="00302A6C">
        <w:rPr>
          <w:rFonts w:ascii="Tahoma" w:hAnsi="Tahoma" w:cs="Tahoma"/>
          <w:sz w:val="21"/>
          <w:szCs w:val="21"/>
          <w:lang w:bidi="ar-SA"/>
        </w:rPr>
        <w:t>L’art. 1, commi da 231 a 252, della 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Legge n. 197/2022</w:t>
      </w:r>
      <w:r w:rsidRPr="00302A6C">
        <w:rPr>
          <w:rFonts w:ascii="Tahoma" w:hAnsi="Tahoma" w:cs="Tahoma"/>
          <w:sz w:val="21"/>
          <w:szCs w:val="21"/>
          <w:lang w:bidi="ar-SA"/>
        </w:rPr>
        <w:t> ha introdotto la Definizione agevolata ("Rottamazione-quater”) dei carichi affidati all’Agente della riscossione 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dal 1° gennaio 2000 al 30 giugno 2022</w:t>
      </w:r>
      <w:r w:rsidRPr="00302A6C">
        <w:rPr>
          <w:rFonts w:ascii="Tahoma" w:hAnsi="Tahoma" w:cs="Tahoma"/>
          <w:sz w:val="21"/>
          <w:szCs w:val="21"/>
          <w:lang w:bidi="ar-SA"/>
        </w:rPr>
        <w:t>.</w:t>
      </w:r>
    </w:p>
    <w:p w14:paraId="626F955E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443548F8" w14:textId="77777777" w:rsidR="00C17446" w:rsidRPr="00302A6C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 xml:space="preserve">La misura </w:t>
      </w:r>
      <w:r>
        <w:rPr>
          <w:rFonts w:ascii="Tahoma" w:hAnsi="Tahoma" w:cs="Tahoma"/>
          <w:sz w:val="21"/>
          <w:szCs w:val="21"/>
          <w:lang w:bidi="ar-SA"/>
        </w:rPr>
        <w:t xml:space="preserve">ha previsto la 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possibilità per il contribuente di estinguere i debiti relativi ai carichi rientranti nell’ambito applicativo,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versando unicamente le somme dovute a titolo di capitale e quelle maturate a titolo di rimborso spese per le procedure esecutive e per i diritti di notifica.</w:t>
      </w:r>
    </w:p>
    <w:p w14:paraId="4B3D361F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p w14:paraId="06522FE9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Non</w:t>
      </w:r>
      <w:r w:rsidRPr="00302A6C">
        <w:rPr>
          <w:rFonts w:ascii="Tahoma" w:hAnsi="Tahoma" w:cs="Tahoma"/>
          <w:sz w:val="21"/>
          <w:szCs w:val="21"/>
          <w:lang w:bidi="ar-SA"/>
        </w:rPr>
        <w:t> sono invece da 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corrispondere</w:t>
      </w:r>
      <w:r w:rsidRPr="00302A6C">
        <w:rPr>
          <w:rFonts w:ascii="Tahoma" w:hAnsi="Tahoma" w:cs="Tahoma"/>
          <w:sz w:val="21"/>
          <w:szCs w:val="21"/>
          <w:lang w:bidi="ar-SA"/>
        </w:rPr>
        <w:t> 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le somme dovute a titolo di interessi iscritti a ruolo, sanzioni, interessi di mora e aggio.</w:t>
      </w:r>
    </w:p>
    <w:p w14:paraId="12DE3FEB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p w14:paraId="5ED1056E" w14:textId="77777777" w:rsidR="00C17446" w:rsidRPr="00302A6C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>Successivamente, il DL n. 51/2023, convertito con modificazioni dalla Legge n. 87/2023, ha differito al 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30 giugno</w:t>
      </w:r>
      <w:r w:rsidRPr="00302A6C">
        <w:rPr>
          <w:rFonts w:ascii="Tahoma" w:hAnsi="Tahoma" w:cs="Tahoma"/>
          <w:sz w:val="21"/>
          <w:szCs w:val="21"/>
          <w:lang w:bidi="ar-SA"/>
        </w:rPr>
        <w:t> </w:t>
      </w:r>
      <w:r w:rsidRPr="00C7629E">
        <w:rPr>
          <w:rFonts w:ascii="Tahoma" w:hAnsi="Tahoma" w:cs="Tahoma"/>
          <w:b/>
          <w:bCs/>
          <w:sz w:val="21"/>
          <w:szCs w:val="21"/>
          <w:lang w:bidi="ar-SA"/>
        </w:rPr>
        <w:t>2023</w:t>
      </w:r>
      <w:r w:rsidRPr="00783323">
        <w:rPr>
          <w:rFonts w:ascii="Tahoma" w:hAnsi="Tahoma" w:cs="Tahoma"/>
          <w:sz w:val="21"/>
          <w:szCs w:val="21"/>
          <w:lang w:bidi="ar-SA"/>
        </w:rPr>
        <w:t xml:space="preserve"> 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il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termine per presentare la domanda di adesione alla Definizione agevolata, posticipando i termini per i successivi adempimenti.</w:t>
      </w:r>
    </w:p>
    <w:p w14:paraId="776B6161" w14:textId="77777777" w:rsidR="00F677E6" w:rsidRPr="00892528" w:rsidRDefault="00F677E6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DD06C1" w:rsidRPr="00330F14" w14:paraId="63ADADC2" w14:textId="77777777" w:rsidTr="00FE4867">
        <w:tc>
          <w:tcPr>
            <w:tcW w:w="9639" w:type="dxa"/>
          </w:tcPr>
          <w:p w14:paraId="6CC1D8F9" w14:textId="6984F2A3" w:rsidR="00DD06C1" w:rsidRPr="005A5A1B" w:rsidRDefault="00C17446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2" w:name="_Hlk136441342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I carichi interessati dalla definizione agevolata</w:t>
            </w:r>
          </w:p>
        </w:tc>
      </w:tr>
    </w:tbl>
    <w:bookmarkEnd w:id="2"/>
    <w:p w14:paraId="2B3680BA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La Definizione agevolata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 ("Rottamazione-quater”) </w:t>
      </w:r>
      <w:r>
        <w:rPr>
          <w:rFonts w:ascii="Tahoma" w:hAnsi="Tahoma" w:cs="Tahoma"/>
          <w:sz w:val="21"/>
          <w:szCs w:val="21"/>
          <w:lang w:bidi="ar-SA"/>
        </w:rPr>
        <w:t xml:space="preserve">ha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riguarda</w:t>
      </w:r>
      <w:r>
        <w:rPr>
          <w:rFonts w:ascii="Tahoma" w:hAnsi="Tahoma" w:cs="Tahoma"/>
          <w:b/>
          <w:bCs/>
          <w:sz w:val="21"/>
          <w:szCs w:val="21"/>
          <w:lang w:bidi="ar-SA"/>
        </w:rPr>
        <w:t>to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 xml:space="preserve"> tutti i carichi affidati all’Agente della riscossione nel periodo ricompreso tra il 1° gennaio 2000 e il 30 giugno 2022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 inclusi quelli:</w:t>
      </w:r>
    </w:p>
    <w:p w14:paraId="64D0B413" w14:textId="77777777" w:rsidR="00C17446" w:rsidRPr="00302A6C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64F5318A" w14:textId="77777777" w:rsidR="00C17446" w:rsidRPr="00302A6C" w:rsidRDefault="00C17446" w:rsidP="00C17446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line="320" w:lineRule="atLeast"/>
        <w:ind w:left="426" w:hanging="357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>contenuti in cartelle non ancora notificate;</w:t>
      </w:r>
    </w:p>
    <w:p w14:paraId="2D7A7066" w14:textId="77777777" w:rsidR="00C17446" w:rsidRDefault="00C17446" w:rsidP="00C17446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line="320" w:lineRule="atLeast"/>
        <w:ind w:left="426" w:hanging="357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>interessati da provvedimenti di rateizzazione o di sospensione;</w:t>
      </w:r>
    </w:p>
    <w:p w14:paraId="5F62E060" w14:textId="77777777" w:rsidR="00C17446" w:rsidRDefault="00C17446" w:rsidP="00C17446">
      <w:pPr>
        <w:shd w:val="clear" w:color="auto" w:fill="FFFFFF"/>
        <w:tabs>
          <w:tab w:val="num" w:pos="426"/>
        </w:tabs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02B7AD00" w14:textId="77777777" w:rsidR="00C17446" w:rsidRPr="00302A6C" w:rsidRDefault="00C17446" w:rsidP="00C17446">
      <w:pPr>
        <w:shd w:val="clear" w:color="auto" w:fill="FFFFFF"/>
        <w:tabs>
          <w:tab w:val="num" w:pos="426"/>
        </w:tabs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4D36B6CC" w14:textId="77777777" w:rsidR="00C17446" w:rsidRPr="00302A6C" w:rsidRDefault="00C17446" w:rsidP="00C17446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line="320" w:lineRule="atLeast"/>
        <w:ind w:left="426" w:hanging="357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>già oggetto di una precedente misura agevolativa (cosiddetta "Rottamazione e/o Saldo e Stralcio") anche se decaduta per il mancato, tardivo, insufficiente versamento di una delle rate del precedente piano di pagamento.</w:t>
      </w:r>
    </w:p>
    <w:p w14:paraId="1DDAEE12" w14:textId="77777777" w:rsidR="00F677E6" w:rsidRDefault="00F677E6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757F79D2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37B8A8F" w14:textId="06B17F7C" w:rsidR="00FE1FFF" w:rsidRDefault="00C17446" w:rsidP="00FE1FFF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Le scadenze</w:t>
            </w:r>
          </w:p>
        </w:tc>
      </w:tr>
    </w:tbl>
    <w:p w14:paraId="7214C5A5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 xml:space="preserve">Il DL n. 51/2023, convertito con modificazioni dalla Legge n. 87/2023, ha modificato i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termini previsti per il pagamento delle somme dovute a titolo di Definizione agevolata come segue:</w:t>
      </w:r>
    </w:p>
    <w:p w14:paraId="21EF4B4C" w14:textId="77777777" w:rsidR="00C17446" w:rsidRPr="00302A6C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p w14:paraId="74285BED" w14:textId="77777777" w:rsidR="00C17446" w:rsidRDefault="00C17446" w:rsidP="00C17446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line="320" w:lineRule="atLeast"/>
        <w:ind w:left="284" w:hanging="284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>in un’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unica soluzione</w:t>
      </w:r>
      <w:r w:rsidRPr="00302A6C">
        <w:rPr>
          <w:rFonts w:ascii="Tahoma" w:hAnsi="Tahoma" w:cs="Tahoma"/>
          <w:sz w:val="21"/>
          <w:szCs w:val="21"/>
          <w:lang w:bidi="ar-SA"/>
        </w:rPr>
        <w:t>, entro il 31 ottobre 2023;</w:t>
      </w:r>
    </w:p>
    <w:p w14:paraId="4B5B9194" w14:textId="77777777" w:rsidR="00C17446" w:rsidRPr="00302A6C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12ECA59F" w14:textId="77777777" w:rsidR="00C17446" w:rsidRPr="00302A6C" w:rsidRDefault="00C17446" w:rsidP="00C17446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line="320" w:lineRule="atLeast"/>
        <w:ind w:left="284" w:hanging="284"/>
        <w:rPr>
          <w:rFonts w:ascii="Tahoma" w:hAnsi="Tahoma" w:cs="Tahoma"/>
          <w:sz w:val="21"/>
          <w:szCs w:val="21"/>
          <w:lang w:bidi="ar-SA"/>
        </w:rPr>
      </w:pPr>
      <w:r w:rsidRPr="00302A6C">
        <w:rPr>
          <w:rFonts w:ascii="Tahoma" w:hAnsi="Tahoma" w:cs="Tahoma"/>
          <w:sz w:val="21"/>
          <w:szCs w:val="21"/>
          <w:lang w:bidi="ar-SA"/>
        </w:rPr>
        <w:t xml:space="preserve">oppure, in un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numero massimo di 18 rate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 (5 anni) consecutive, di cui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le prime due, con scadenza il 31 ottobre e il 30 novembre 2023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.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Le restanti rate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, ripartite nei successivi 4 anni, andranno saldate il </w:t>
      </w:r>
      <w:r w:rsidRPr="00302A6C">
        <w:rPr>
          <w:rFonts w:ascii="Tahoma" w:hAnsi="Tahoma" w:cs="Tahoma"/>
          <w:b/>
          <w:bCs/>
          <w:sz w:val="21"/>
          <w:szCs w:val="21"/>
          <w:lang w:bidi="ar-SA"/>
        </w:rPr>
        <w:t>28 febbraio, il 31 maggio, il 31 luglio e il 30 novembre di ciascun anno a decorrere dal 2024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. La prima e la seconda rata </w:t>
      </w:r>
      <w:r>
        <w:rPr>
          <w:rFonts w:ascii="Tahoma" w:hAnsi="Tahoma" w:cs="Tahoma"/>
          <w:sz w:val="21"/>
          <w:szCs w:val="21"/>
          <w:lang w:bidi="ar-SA"/>
        </w:rPr>
        <w:t>devono essere state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 pari al 10% delle somme complessivamente dovute a titolo di Definizione agevolata, le restanti rate invece s</w:t>
      </w:r>
      <w:r>
        <w:rPr>
          <w:rFonts w:ascii="Tahoma" w:hAnsi="Tahoma" w:cs="Tahoma"/>
          <w:sz w:val="21"/>
          <w:szCs w:val="21"/>
          <w:lang w:bidi="ar-SA"/>
        </w:rPr>
        <w:t>ono</w:t>
      </w:r>
      <w:r w:rsidRPr="00302A6C">
        <w:rPr>
          <w:rFonts w:ascii="Tahoma" w:hAnsi="Tahoma" w:cs="Tahoma"/>
          <w:sz w:val="21"/>
          <w:szCs w:val="21"/>
          <w:lang w:bidi="ar-SA"/>
        </w:rPr>
        <w:t xml:space="preserve"> di pari importo. Il pagamento rateizzato prevede l’applicazione degli interessi al tasso del 2 per cento annuo, a decorrere dal 1° novembre 2023.</w:t>
      </w:r>
    </w:p>
    <w:p w14:paraId="4B8B7F8A" w14:textId="3307050D" w:rsidR="00FE1FFF" w:rsidRDefault="00D17C6F" w:rsidP="003E4A94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>
        <w:rPr>
          <w:rFonts w:ascii="Tahoma" w:hAnsi="Tahoma" w:cs="Tahoma"/>
          <w:sz w:val="21"/>
          <w:szCs w:val="21"/>
          <w:lang w:bidi="ar-SA"/>
        </w:rPr>
        <w:t xml:space="preserve">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0023D394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1A8B490" w14:textId="75A679D7" w:rsidR="00FE1FFF" w:rsidRDefault="00C17446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La proroga</w:t>
            </w:r>
          </w:p>
        </w:tc>
      </w:tr>
    </w:tbl>
    <w:p w14:paraId="65084008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  <w:t>In tale contesto si inserisce il</w:t>
      </w:r>
      <w:r w:rsidRPr="00B45400"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  <w:t xml:space="preserve"> 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>differi</w:t>
      </w:r>
      <w:r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 xml:space="preserve">mento 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>a 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shd w:val="clear" w:color="auto" w:fill="FFFFFF"/>
        </w:rPr>
        <w:t>venerdì 15 marzo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 xml:space="preserve"> 2024 </w:t>
      </w:r>
      <w:r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 xml:space="preserve">del 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>termine per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shd w:val="clear" w:color="auto" w:fill="FFFFFF"/>
        </w:rPr>
        <w:t> effettuare il pagamento delle prime tre rate</w:t>
      </w:r>
      <w:r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>della</w:t>
      </w:r>
      <w:r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 xml:space="preserve"> 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shd w:val="clear" w:color="auto" w:fill="FFFFFF"/>
        </w:rPr>
        <w:t>Definizione agevolata delle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shd w:val="clear" w:color="auto" w:fill="FFFFFF"/>
        </w:rPr>
        <w:t> cartelle</w:t>
      </w:r>
      <w:r w:rsidRPr="00B45400"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  <w:t>, senza oneri aggiuntivi e senza perdere i benefici della “</w:t>
      </w:r>
      <w:r w:rsidRPr="00B45400">
        <w:rPr>
          <w:rFonts w:ascii="Tahoma" w:hAnsi="Tahoma" w:cs="Tahoma"/>
          <w:color w:val="1F1F1F"/>
          <w:spacing w:val="3"/>
          <w:sz w:val="21"/>
          <w:szCs w:val="21"/>
          <w:bdr w:val="none" w:sz="0" w:space="0" w:color="auto" w:frame="1"/>
          <w:shd w:val="clear" w:color="auto" w:fill="FFFFFF"/>
        </w:rPr>
        <w:t>Rottamazione-quater”</w:t>
      </w:r>
      <w:r w:rsidRPr="00B45400"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  <w:t xml:space="preserve">. </w:t>
      </w:r>
    </w:p>
    <w:p w14:paraId="088D6566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</w:pPr>
    </w:p>
    <w:p w14:paraId="3377C283" w14:textId="7019950C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  <w:r w:rsidRPr="00B45400">
        <w:rPr>
          <w:rFonts w:ascii="Tahoma" w:hAnsi="Tahoma" w:cs="Tahoma"/>
          <w:color w:val="1F1F1F"/>
          <w:spacing w:val="3"/>
          <w:sz w:val="21"/>
          <w:szCs w:val="21"/>
          <w:shd w:val="clear" w:color="auto" w:fill="FFFFFF"/>
        </w:rPr>
        <w:t xml:space="preserve">In sostanza, secondo quanto stabilito dalla </w:t>
      </w:r>
      <w:r w:rsidRPr="00537CE6"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>Legge</w:t>
      </w:r>
      <w:r w:rsidR="00234845"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 xml:space="preserve"> </w:t>
      </w:r>
      <w:r w:rsidRPr="00537CE6">
        <w:rPr>
          <w:rStyle w:val="Enfasigrassetto"/>
          <w:rFonts w:ascii="Tahoma" w:hAnsi="Tahoma" w:cs="Tahoma"/>
          <w:spacing w:val="1"/>
          <w:sz w:val="21"/>
          <w:szCs w:val="21"/>
          <w:shd w:val="clear" w:color="auto" w:fill="FFFFFF"/>
        </w:rPr>
        <w:t>di conversione del Decreto Milleproroghe (</w:t>
      </w:r>
      <w:r w:rsidRPr="00537CE6"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>Decreto n</w:t>
      </w:r>
      <w:r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>.</w:t>
      </w:r>
      <w:r w:rsidRPr="00537CE6"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>215 del 30.12.2023</w:t>
      </w:r>
      <w:r>
        <w:rPr>
          <w:rStyle w:val="Enfasigrassetto"/>
          <w:rFonts w:ascii="Tahoma" w:hAnsi="Tahoma" w:cs="Tahoma"/>
          <w:spacing w:val="3"/>
          <w:sz w:val="21"/>
          <w:szCs w:val="21"/>
          <w:shd w:val="clear" w:color="auto" w:fill="FFFFFF"/>
        </w:rPr>
        <w:t>)</w:t>
      </w:r>
      <w:r w:rsidRPr="00537CE6">
        <w:rPr>
          <w:rStyle w:val="Enfasigrassetto"/>
          <w:rFonts w:ascii="Tahoma" w:hAnsi="Tahoma" w:cs="Tahoma"/>
          <w:b w:val="0"/>
          <w:bCs w:val="0"/>
          <w:spacing w:val="3"/>
          <w:sz w:val="21"/>
          <w:szCs w:val="21"/>
          <w:shd w:val="clear" w:color="auto" w:fill="FFFFFF"/>
        </w:rPr>
        <w:t xml:space="preserve">, </w:t>
      </w:r>
      <w:r w:rsidRPr="00F20108">
        <w:rPr>
          <w:rFonts w:ascii="Tahoma" w:hAnsi="Tahoma" w:cs="Tahoma"/>
          <w:b/>
          <w:bCs/>
          <w:spacing w:val="3"/>
          <w:sz w:val="21"/>
          <w:szCs w:val="21"/>
          <w:lang w:bidi="ar-SA"/>
        </w:rPr>
        <w:t>i versamenti con scadenza il 31 ottobre 2023</w:t>
      </w:r>
      <w:r w:rsidRPr="00F20108">
        <w:rPr>
          <w:rFonts w:ascii="Tahoma" w:hAnsi="Tahoma" w:cs="Tahoma"/>
          <w:spacing w:val="3"/>
          <w:sz w:val="21"/>
          <w:szCs w:val="21"/>
          <w:lang w:bidi="ar-SA"/>
        </w:rPr>
        <w:t> (prima o unica rata)</w:t>
      </w:r>
      <w:r w:rsidRPr="00F20108">
        <w:rPr>
          <w:rFonts w:ascii="Tahoma" w:hAnsi="Tahoma" w:cs="Tahoma"/>
          <w:b/>
          <w:bCs/>
          <w:spacing w:val="3"/>
          <w:sz w:val="21"/>
          <w:szCs w:val="21"/>
          <w:lang w:bidi="ar-SA"/>
        </w:rPr>
        <w:t xml:space="preserve"> e il 30 novembre 2023</w:t>
      </w:r>
      <w:r w:rsidRPr="00F20108">
        <w:rPr>
          <w:rFonts w:ascii="Tahoma" w:hAnsi="Tahoma" w:cs="Tahoma"/>
          <w:color w:val="1F1F1F"/>
          <w:spacing w:val="3"/>
          <w:sz w:val="21"/>
          <w:szCs w:val="21"/>
          <w:lang w:bidi="ar-SA"/>
        </w:rPr>
        <w:t xml:space="preserve"> (seconda rata), già slittati al 18 dicembre 2023 dalla Legge n. 191/2023, </w:t>
      </w:r>
      <w:r w:rsidRPr="00F20108">
        <w:rPr>
          <w:rFonts w:ascii="Tahoma" w:hAnsi="Tahoma" w:cs="Tahoma"/>
          <w:b/>
          <w:bCs/>
          <w:color w:val="1F1F1F"/>
          <w:spacing w:val="3"/>
          <w:sz w:val="21"/>
          <w:szCs w:val="21"/>
          <w:lang w:bidi="ar-SA"/>
        </w:rPr>
        <w:t>si considerano tempestivi se effettuati </w:t>
      </w:r>
      <w:r w:rsidRPr="00F20108"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lang w:bidi="ar-SA"/>
        </w:rPr>
        <w:t>entro venerdì 15 marzo</w:t>
      </w:r>
      <w:r w:rsidRPr="00D030CC">
        <w:rPr>
          <w:rFonts w:ascii="Tahoma" w:hAnsi="Tahoma" w:cs="Tahoma"/>
          <w:b/>
          <w:bCs/>
          <w:color w:val="1F1F1F"/>
          <w:spacing w:val="3"/>
          <w:sz w:val="21"/>
          <w:szCs w:val="21"/>
          <w:bdr w:val="none" w:sz="0" w:space="0" w:color="auto" w:frame="1"/>
          <w:lang w:bidi="ar-SA"/>
        </w:rPr>
        <w:t xml:space="preserve"> 2024</w:t>
      </w:r>
      <w:r w:rsidRPr="00B45400">
        <w:rPr>
          <w:rFonts w:ascii="Tahoma" w:hAnsi="Tahoma" w:cs="Tahoma"/>
          <w:color w:val="1F1F1F"/>
          <w:spacing w:val="3"/>
          <w:sz w:val="21"/>
          <w:szCs w:val="21"/>
          <w:bdr w:val="none" w:sz="0" w:space="0" w:color="auto" w:frame="1"/>
          <w:lang w:bidi="ar-SA"/>
        </w:rPr>
        <w:t>.</w:t>
      </w:r>
      <w:r w:rsidRPr="00B45400">
        <w:rPr>
          <w:rFonts w:ascii="Tahoma" w:hAnsi="Tahoma" w:cs="Tahoma"/>
          <w:color w:val="212529"/>
          <w:spacing w:val="1"/>
          <w:sz w:val="21"/>
          <w:szCs w:val="21"/>
          <w:lang w:bidi="ar-SA"/>
        </w:rPr>
        <w:t xml:space="preserve"> </w:t>
      </w:r>
      <w:r w:rsidRPr="00537CE6">
        <w:rPr>
          <w:rFonts w:ascii="Tahoma" w:hAnsi="Tahoma" w:cs="Tahoma"/>
          <w:sz w:val="21"/>
          <w:szCs w:val="21"/>
          <w:shd w:val="clear" w:color="auto" w:fill="FFFFFF"/>
        </w:rPr>
        <w:t xml:space="preserve">Inoltre, </w:t>
      </w:r>
      <w:r w:rsidRPr="00150A72">
        <w:rPr>
          <w:rFonts w:ascii="Tahoma" w:hAnsi="Tahoma" w:cs="Tahoma"/>
          <w:b/>
          <w:bCs/>
          <w:sz w:val="21"/>
          <w:szCs w:val="21"/>
          <w:shd w:val="clear" w:color="auto" w:fill="FFFFFF"/>
        </w:rPr>
        <w:t>entro lo stesso termine, è possibile pagare anche la </w:t>
      </w:r>
      <w:r w:rsidRPr="00150A72">
        <w:rPr>
          <w:rStyle w:val="Enfasigrassetto"/>
          <w:rFonts w:ascii="Tahoma" w:hAnsi="Tahoma" w:cs="Tahoma"/>
          <w:b w:val="0"/>
          <w:bCs w:val="0"/>
          <w:sz w:val="21"/>
          <w:szCs w:val="21"/>
          <w:shd w:val="clear" w:color="auto" w:fill="FFFFFF"/>
        </w:rPr>
        <w:t>terza</w:t>
      </w:r>
      <w:r w:rsidRPr="00537CE6">
        <w:rPr>
          <w:rStyle w:val="Enfasigrassetto"/>
          <w:rFonts w:ascii="Tahoma" w:hAnsi="Tahoma" w:cs="Tahoma"/>
          <w:sz w:val="21"/>
          <w:szCs w:val="21"/>
          <w:shd w:val="clear" w:color="auto" w:fill="FFFFFF"/>
        </w:rPr>
        <w:t xml:space="preserve"> rata scaduta </w:t>
      </w:r>
      <w:r w:rsidRPr="00537CE6">
        <w:rPr>
          <w:rFonts w:ascii="Tahoma" w:hAnsi="Tahoma" w:cs="Tahoma"/>
          <w:sz w:val="21"/>
          <w:szCs w:val="21"/>
          <w:shd w:val="clear" w:color="auto" w:fill="FFFFFF"/>
        </w:rPr>
        <w:t>il </w:t>
      </w:r>
      <w:r w:rsidRPr="00537CE6">
        <w:rPr>
          <w:rStyle w:val="Enfasigrassetto"/>
          <w:rFonts w:ascii="Tahoma" w:hAnsi="Tahoma" w:cs="Tahoma"/>
          <w:sz w:val="21"/>
          <w:szCs w:val="21"/>
          <w:shd w:val="clear" w:color="auto" w:fill="FFFFFF"/>
        </w:rPr>
        <w:t>28 febbraio 2024</w:t>
      </w:r>
      <w:r w:rsidRPr="00537CE6">
        <w:rPr>
          <w:rFonts w:ascii="Tahoma" w:hAnsi="Tahoma" w:cs="Tahoma"/>
          <w:sz w:val="21"/>
          <w:szCs w:val="21"/>
          <w:shd w:val="clear" w:color="auto" w:fill="FFFFFF"/>
        </w:rPr>
        <w:t>.</w:t>
      </w:r>
    </w:p>
    <w:p w14:paraId="0667F4FF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shd w:val="clear" w:color="auto" w:fill="FFFFFF"/>
        </w:rPr>
      </w:pPr>
    </w:p>
    <w:p w14:paraId="1AC5964D" w14:textId="77777777" w:rsidR="00C17446" w:rsidRPr="001D39D3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 w:rsidRPr="001D39D3">
        <w:rPr>
          <w:rFonts w:ascii="Tahoma" w:hAnsi="Tahoma" w:cs="Tahoma"/>
          <w:sz w:val="21"/>
          <w:szCs w:val="21"/>
          <w:lang w:bidi="ar-SA"/>
        </w:rPr>
        <w:t>La norma prevede comunque una tolleranza di 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cinque giorni</w:t>
      </w:r>
      <w:r w:rsidRPr="001D39D3">
        <w:rPr>
          <w:rFonts w:ascii="Tahoma" w:hAnsi="Tahoma" w:cs="Tahoma"/>
          <w:sz w:val="21"/>
          <w:szCs w:val="21"/>
          <w:lang w:bidi="ar-SA"/>
        </w:rPr>
        <w:t>, per cui il pagamento è considerato tempestivo se effettuato 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entro mercoledì 20 marzo 2024</w:t>
      </w:r>
      <w:r w:rsidRPr="001D39D3">
        <w:rPr>
          <w:rFonts w:ascii="Tahoma" w:hAnsi="Tahoma" w:cs="Tahoma"/>
          <w:sz w:val="21"/>
          <w:szCs w:val="21"/>
          <w:lang w:bidi="ar-SA"/>
        </w:rPr>
        <w:t>.</w:t>
      </w:r>
    </w:p>
    <w:p w14:paraId="2923BD40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23435EB8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02DC26C8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70C2D35C" w14:textId="77777777" w:rsidR="00C17446" w:rsidRDefault="00C17446" w:rsidP="00C17446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5B1FF958" w14:textId="52C87F27" w:rsidR="00C17446" w:rsidRPr="001D39D3" w:rsidRDefault="00C17446" w:rsidP="00C17446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r w:rsidRPr="001D39D3">
        <w:rPr>
          <w:rFonts w:ascii="Tahoma" w:hAnsi="Tahoma" w:cs="Tahoma"/>
          <w:sz w:val="21"/>
          <w:szCs w:val="21"/>
          <w:lang w:bidi="ar-SA"/>
        </w:rPr>
        <w:t>Le 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restanti</w:t>
      </w:r>
      <w:r w:rsidRPr="001D39D3">
        <w:rPr>
          <w:rFonts w:ascii="Tahoma" w:hAnsi="Tahoma" w:cs="Tahoma"/>
          <w:sz w:val="21"/>
          <w:szCs w:val="21"/>
          <w:lang w:bidi="ar-SA"/>
        </w:rPr>
        <w:t> 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rate</w:t>
      </w:r>
      <w:r w:rsidRPr="001D39D3">
        <w:rPr>
          <w:rFonts w:ascii="Tahoma" w:hAnsi="Tahoma" w:cs="Tahoma"/>
          <w:sz w:val="21"/>
          <w:szCs w:val="21"/>
          <w:lang w:bidi="ar-SA"/>
        </w:rPr>
        <w:t> del 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2024</w:t>
      </w:r>
      <w:r w:rsidRPr="001D39D3">
        <w:rPr>
          <w:rFonts w:ascii="Tahoma" w:hAnsi="Tahoma" w:cs="Tahoma"/>
          <w:sz w:val="21"/>
          <w:szCs w:val="21"/>
          <w:lang w:bidi="ar-SA"/>
        </w:rPr>
        <w:t xml:space="preserve"> andranno 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saldate entro il 31 maggio, il 31 luglio e il 30 novembre</w:t>
      </w:r>
      <w:r w:rsidRPr="001D39D3">
        <w:rPr>
          <w:rFonts w:ascii="Tahoma" w:hAnsi="Tahoma" w:cs="Tahoma"/>
          <w:sz w:val="21"/>
          <w:szCs w:val="21"/>
          <w:lang w:bidi="ar-SA"/>
        </w:rPr>
        <w:t xml:space="preserve">, ovvero </w:t>
      </w:r>
      <w:r w:rsidRPr="001D39D3">
        <w:rPr>
          <w:rFonts w:ascii="Tahoma" w:hAnsi="Tahoma" w:cs="Tahoma"/>
          <w:b/>
          <w:bCs/>
          <w:sz w:val="21"/>
          <w:szCs w:val="21"/>
          <w:lang w:bidi="ar-SA"/>
        </w:rPr>
        <w:t>secondo le scadenze del proprio piano contenuto nella Comunicazione delle somme dovute. </w:t>
      </w:r>
    </w:p>
    <w:p w14:paraId="7E354CB4" w14:textId="77777777" w:rsidR="00C17446" w:rsidRPr="00537CE6" w:rsidRDefault="00C17446" w:rsidP="00C17446">
      <w:pPr>
        <w:shd w:val="clear" w:color="auto" w:fill="FFFFFF"/>
        <w:spacing w:line="320" w:lineRule="atLeast"/>
        <w:rPr>
          <w:rFonts w:ascii="Tahoma" w:hAnsi="Tahoma" w:cs="Tahoma"/>
          <w:color w:val="212529"/>
          <w:spacing w:val="1"/>
          <w:sz w:val="21"/>
          <w:szCs w:val="21"/>
          <w:lang w:bidi="ar-SA"/>
        </w:rPr>
      </w:pPr>
    </w:p>
    <w:p w14:paraId="365DB2DF" w14:textId="77777777" w:rsidR="00FF093A" w:rsidRDefault="00FF093A" w:rsidP="00FF093A">
      <w:pPr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bookmarkEnd w:id="1"/>
    <w:p w14:paraId="39666CF4" w14:textId="46C438C2" w:rsidR="003861DB" w:rsidRDefault="005100F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o Studio rimane a disposizione per ogni ulteriore chiarimento e approfondimento di</w:t>
      </w:r>
      <w:r w:rsidR="007C72B8">
        <w:rPr>
          <w:rFonts w:ascii="Tahoma" w:hAnsi="Tahoma" w:cs="Tahoma"/>
          <w:b/>
          <w:i/>
          <w:color w:val="867F8F"/>
          <w:sz w:val="21"/>
          <w:szCs w:val="21"/>
        </w:rPr>
        <w:t xml:space="preserve"> 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Vostro interesse</w:t>
      </w:r>
    </w:p>
    <w:p w14:paraId="296E9639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85CA6C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47179801" w14:textId="27ED42B2" w:rsidR="00885161" w:rsidRPr="00DF7E74" w:rsidRDefault="00DF7E74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Dott. Marco Folicaldi</w:t>
      </w:r>
    </w:p>
    <w:sectPr w:rsidR="00885161" w:rsidRPr="00DF7E74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4.25pt;height:14.25pt" o:bullet="t">
        <v:imagedata r:id="rId1" o:title="BD10264_"/>
      </v:shape>
    </w:pict>
  </w:numPicBullet>
  <w:numPicBullet w:numPicBulletId="1">
    <w:pict>
      <v:shape id="_x0000_i1079" type="#_x0000_t75" style="width:3in;height:3in" o:bullet="t"/>
    </w:pict>
  </w:numPicBullet>
  <w:numPicBullet w:numPicBulletId="2">
    <w:pict>
      <v:shape id="_x0000_i1080" type="#_x0000_t75" style="width:3in;height:3in" o:bullet="t"/>
    </w:pict>
  </w:numPicBullet>
  <w:numPicBullet w:numPicBulletId="3">
    <w:pict>
      <v:shape id="_x0000_i1081" type="#_x0000_t75" style="width:3in;height:3in" o:bullet="t"/>
    </w:pict>
  </w:numPicBullet>
  <w:numPicBullet w:numPicBulletId="4">
    <w:pict>
      <v:shape id="_x0000_i1082" type="#_x0000_t75" style="width:3in;height:3in" o:bullet="t"/>
    </w:pict>
  </w:numPicBullet>
  <w:numPicBullet w:numPicBulletId="5">
    <w:pict>
      <v:shape id="_x0000_i1083" type="#_x0000_t75" style="width:3in;height:3in" o:bullet="t"/>
    </w:pict>
  </w:numPicBullet>
  <w:numPicBullet w:numPicBulletId="6">
    <w:pict>
      <v:shape id="_x0000_i1084" type="#_x0000_t75" style="width:3in;height:3in" o:bullet="t"/>
    </w:pict>
  </w:numPicBullet>
  <w:numPicBullet w:numPicBulletId="7">
    <w:pict>
      <v:shape id="_x0000_i1085" type="#_x0000_t75" style="width:3in;height:3in" o:bullet="t"/>
    </w:pict>
  </w:numPicBullet>
  <w:numPicBullet w:numPicBulletId="8">
    <w:pict>
      <v:shape id="_x0000_i1086" type="#_x0000_t75" style="width:3in;height:3in" o:bullet="t"/>
    </w:pict>
  </w:numPicBullet>
  <w:numPicBullet w:numPicBulletId="9">
    <w:pict>
      <v:shape id="_x0000_i1087" type="#_x0000_t75" style="width:3in;height:3in" o:bullet="t"/>
    </w:pict>
  </w:numPicBullet>
  <w:numPicBullet w:numPicBulletId="10">
    <w:pict>
      <v:shape id="_x0000_i1088" type="#_x0000_t75" style="width:3in;height:3in" o:bullet="t"/>
    </w:pict>
  </w:numPicBullet>
  <w:numPicBullet w:numPicBulletId="11">
    <w:pict>
      <v:shape id="_x0000_i1089" type="#_x0000_t75" style="width:3in;height:3in" o:bullet="t"/>
    </w:pict>
  </w:numPicBullet>
  <w:numPicBullet w:numPicBulletId="12">
    <w:pict>
      <v:shape id="_x0000_i1090" type="#_x0000_t75" style="width:3in;height:3in" o:bullet="t"/>
    </w:pict>
  </w:numPicBullet>
  <w:abstractNum w:abstractNumId="0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D1C99"/>
    <w:multiLevelType w:val="multilevel"/>
    <w:tmpl w:val="AE94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968B1"/>
    <w:multiLevelType w:val="multilevel"/>
    <w:tmpl w:val="18CA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42A70"/>
    <w:multiLevelType w:val="hybridMultilevel"/>
    <w:tmpl w:val="817CFC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CE2D71"/>
    <w:multiLevelType w:val="hybridMultilevel"/>
    <w:tmpl w:val="F936541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75922"/>
    <w:multiLevelType w:val="hybridMultilevel"/>
    <w:tmpl w:val="8146EB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54B8E"/>
    <w:multiLevelType w:val="multilevel"/>
    <w:tmpl w:val="B87E2B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982F5F"/>
    <w:multiLevelType w:val="multilevel"/>
    <w:tmpl w:val="242284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50378"/>
    <w:multiLevelType w:val="hybridMultilevel"/>
    <w:tmpl w:val="9C70F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F4EAF"/>
    <w:multiLevelType w:val="multilevel"/>
    <w:tmpl w:val="C6D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F37777"/>
    <w:multiLevelType w:val="hybridMultilevel"/>
    <w:tmpl w:val="D36426E2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63E1CCD"/>
    <w:multiLevelType w:val="hybridMultilevel"/>
    <w:tmpl w:val="D51878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B2E88"/>
    <w:multiLevelType w:val="hybridMultilevel"/>
    <w:tmpl w:val="B0369338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71145F7"/>
    <w:multiLevelType w:val="hybridMultilevel"/>
    <w:tmpl w:val="C11CD4D8"/>
    <w:lvl w:ilvl="0" w:tplc="041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9936EAF"/>
    <w:multiLevelType w:val="hybridMultilevel"/>
    <w:tmpl w:val="1F92644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F5F2A"/>
    <w:multiLevelType w:val="hybridMultilevel"/>
    <w:tmpl w:val="64CC80F2"/>
    <w:lvl w:ilvl="0" w:tplc="0410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3CA700AA"/>
    <w:multiLevelType w:val="hybridMultilevel"/>
    <w:tmpl w:val="5E18233C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1040142"/>
    <w:multiLevelType w:val="multilevel"/>
    <w:tmpl w:val="D97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8F337A"/>
    <w:multiLevelType w:val="hybridMultilevel"/>
    <w:tmpl w:val="03C02C0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572BAC"/>
    <w:multiLevelType w:val="multilevel"/>
    <w:tmpl w:val="5CF6E3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9153D"/>
    <w:multiLevelType w:val="multilevel"/>
    <w:tmpl w:val="31783A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F96D27"/>
    <w:multiLevelType w:val="hybridMultilevel"/>
    <w:tmpl w:val="FEE071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A36906"/>
    <w:multiLevelType w:val="multilevel"/>
    <w:tmpl w:val="5356A4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524EC"/>
    <w:multiLevelType w:val="hybridMultilevel"/>
    <w:tmpl w:val="7FA2D5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028CD"/>
    <w:multiLevelType w:val="hybridMultilevel"/>
    <w:tmpl w:val="66D6B2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E5EFF"/>
    <w:multiLevelType w:val="multilevel"/>
    <w:tmpl w:val="7460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104A18"/>
    <w:multiLevelType w:val="hybridMultilevel"/>
    <w:tmpl w:val="71C4036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5C2CF1"/>
    <w:multiLevelType w:val="hybridMultilevel"/>
    <w:tmpl w:val="BC64CE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B017A8"/>
    <w:multiLevelType w:val="hybridMultilevel"/>
    <w:tmpl w:val="D5B2C7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73C73"/>
    <w:multiLevelType w:val="hybridMultilevel"/>
    <w:tmpl w:val="94B68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B946C8"/>
    <w:multiLevelType w:val="hybridMultilevel"/>
    <w:tmpl w:val="AD3ECF4A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6A3504"/>
    <w:multiLevelType w:val="hybridMultilevel"/>
    <w:tmpl w:val="4D841540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F200022"/>
    <w:multiLevelType w:val="hybridMultilevel"/>
    <w:tmpl w:val="A49A39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1200B"/>
    <w:multiLevelType w:val="hybridMultilevel"/>
    <w:tmpl w:val="DC1CCD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280CB5"/>
    <w:multiLevelType w:val="hybridMultilevel"/>
    <w:tmpl w:val="6B287D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112F4"/>
    <w:multiLevelType w:val="hybridMultilevel"/>
    <w:tmpl w:val="9B9E76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6A3409"/>
    <w:multiLevelType w:val="hybridMultilevel"/>
    <w:tmpl w:val="A8184F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A12FE2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265D7"/>
    <w:multiLevelType w:val="hybridMultilevel"/>
    <w:tmpl w:val="73A890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6955A8"/>
    <w:multiLevelType w:val="hybridMultilevel"/>
    <w:tmpl w:val="C7D6E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99845">
    <w:abstractNumId w:val="0"/>
  </w:num>
  <w:num w:numId="2" w16cid:durableId="208806152">
    <w:abstractNumId w:val="17"/>
  </w:num>
  <w:num w:numId="3" w16cid:durableId="1614314938">
    <w:abstractNumId w:val="23"/>
  </w:num>
  <w:num w:numId="4" w16cid:durableId="669791365">
    <w:abstractNumId w:val="3"/>
  </w:num>
  <w:num w:numId="5" w16cid:durableId="142310020">
    <w:abstractNumId w:val="39"/>
  </w:num>
  <w:num w:numId="6" w16cid:durableId="1989165602">
    <w:abstractNumId w:val="37"/>
  </w:num>
  <w:num w:numId="7" w16cid:durableId="1555970583">
    <w:abstractNumId w:val="22"/>
  </w:num>
  <w:num w:numId="8" w16cid:durableId="955135180">
    <w:abstractNumId w:val="8"/>
  </w:num>
  <w:num w:numId="9" w16cid:durableId="713776922">
    <w:abstractNumId w:val="40"/>
  </w:num>
  <w:num w:numId="10" w16cid:durableId="1053381567">
    <w:abstractNumId w:val="31"/>
  </w:num>
  <w:num w:numId="11" w16cid:durableId="15424348">
    <w:abstractNumId w:val="29"/>
  </w:num>
  <w:num w:numId="12" w16cid:durableId="700087096">
    <w:abstractNumId w:val="30"/>
  </w:num>
  <w:num w:numId="13" w16cid:durableId="1947617095">
    <w:abstractNumId w:val="4"/>
  </w:num>
  <w:num w:numId="14" w16cid:durableId="1293563419">
    <w:abstractNumId w:val="9"/>
  </w:num>
  <w:num w:numId="15" w16cid:durableId="1721517386">
    <w:abstractNumId w:val="27"/>
  </w:num>
  <w:num w:numId="16" w16cid:durableId="481774489">
    <w:abstractNumId w:val="35"/>
  </w:num>
  <w:num w:numId="17" w16cid:durableId="588125872">
    <w:abstractNumId w:val="5"/>
  </w:num>
  <w:num w:numId="18" w16cid:durableId="1955670822">
    <w:abstractNumId w:val="38"/>
  </w:num>
  <w:num w:numId="19" w16cid:durableId="859707554">
    <w:abstractNumId w:val="24"/>
  </w:num>
  <w:num w:numId="20" w16cid:durableId="2057658984">
    <w:abstractNumId w:val="21"/>
  </w:num>
  <w:num w:numId="21" w16cid:durableId="661856676">
    <w:abstractNumId w:val="1"/>
  </w:num>
  <w:num w:numId="22" w16cid:durableId="1137644731">
    <w:abstractNumId w:val="20"/>
  </w:num>
  <w:num w:numId="23" w16cid:durableId="563838934">
    <w:abstractNumId w:val="7"/>
  </w:num>
  <w:num w:numId="24" w16cid:durableId="852497062">
    <w:abstractNumId w:val="18"/>
  </w:num>
  <w:num w:numId="25" w16cid:durableId="403377409">
    <w:abstractNumId w:val="26"/>
  </w:num>
  <w:num w:numId="26" w16cid:durableId="1102452098">
    <w:abstractNumId w:val="34"/>
  </w:num>
  <w:num w:numId="27" w16cid:durableId="122315933">
    <w:abstractNumId w:val="33"/>
  </w:num>
  <w:num w:numId="28" w16cid:durableId="747651768">
    <w:abstractNumId w:val="25"/>
  </w:num>
  <w:num w:numId="29" w16cid:durableId="1043409185">
    <w:abstractNumId w:val="14"/>
  </w:num>
  <w:num w:numId="30" w16cid:durableId="1199777972">
    <w:abstractNumId w:val="32"/>
  </w:num>
  <w:num w:numId="31" w16cid:durableId="1376194521">
    <w:abstractNumId w:val="19"/>
  </w:num>
  <w:num w:numId="32" w16cid:durableId="416559995">
    <w:abstractNumId w:val="16"/>
  </w:num>
  <w:num w:numId="33" w16cid:durableId="989289972">
    <w:abstractNumId w:val="28"/>
  </w:num>
  <w:num w:numId="34" w16cid:durableId="1349941813">
    <w:abstractNumId w:val="36"/>
  </w:num>
  <w:num w:numId="35" w16cid:durableId="797459104">
    <w:abstractNumId w:val="12"/>
  </w:num>
  <w:num w:numId="36" w16cid:durableId="1229413929">
    <w:abstractNumId w:val="15"/>
  </w:num>
  <w:num w:numId="37" w16cid:durableId="270405072">
    <w:abstractNumId w:val="10"/>
  </w:num>
  <w:num w:numId="38" w16cid:durableId="1269894893">
    <w:abstractNumId w:val="13"/>
  </w:num>
  <w:num w:numId="39" w16cid:durableId="159202248">
    <w:abstractNumId w:val="11"/>
  </w:num>
  <w:num w:numId="40" w16cid:durableId="1603104328">
    <w:abstractNumId w:val="6"/>
  </w:num>
  <w:num w:numId="41" w16cid:durableId="672336254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5361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37985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2B60"/>
    <w:rsid w:val="00073096"/>
    <w:rsid w:val="000749A5"/>
    <w:rsid w:val="00074FB1"/>
    <w:rsid w:val="000758F7"/>
    <w:rsid w:val="00075A3C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40B0"/>
    <w:rsid w:val="00124366"/>
    <w:rsid w:val="00124D4A"/>
    <w:rsid w:val="00125AB7"/>
    <w:rsid w:val="001261C0"/>
    <w:rsid w:val="001264EF"/>
    <w:rsid w:val="00126E23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A49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6D1"/>
    <w:rsid w:val="001C0790"/>
    <w:rsid w:val="001C38D5"/>
    <w:rsid w:val="001C3F76"/>
    <w:rsid w:val="001C3F9A"/>
    <w:rsid w:val="001C6DF3"/>
    <w:rsid w:val="001D08D5"/>
    <w:rsid w:val="001D0948"/>
    <w:rsid w:val="001D0CE5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4845"/>
    <w:rsid w:val="0023537D"/>
    <w:rsid w:val="00235B78"/>
    <w:rsid w:val="00235D87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05E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E7B2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378B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6244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A94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229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7873"/>
    <w:rsid w:val="005100F7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286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23FE"/>
    <w:rsid w:val="006335C3"/>
    <w:rsid w:val="00634145"/>
    <w:rsid w:val="00634B9D"/>
    <w:rsid w:val="0063524A"/>
    <w:rsid w:val="00636340"/>
    <w:rsid w:val="0063645F"/>
    <w:rsid w:val="006368D5"/>
    <w:rsid w:val="006374C9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4679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A93"/>
    <w:rsid w:val="00672C4E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0EC"/>
    <w:rsid w:val="006B62DD"/>
    <w:rsid w:val="006C0669"/>
    <w:rsid w:val="006C1433"/>
    <w:rsid w:val="006C1AE8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188"/>
    <w:rsid w:val="0071055F"/>
    <w:rsid w:val="0071116F"/>
    <w:rsid w:val="007115CD"/>
    <w:rsid w:val="00711A55"/>
    <w:rsid w:val="00712501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A79CB"/>
    <w:rsid w:val="007B074C"/>
    <w:rsid w:val="007B10C8"/>
    <w:rsid w:val="007B19E4"/>
    <w:rsid w:val="007B3385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80F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629"/>
    <w:rsid w:val="008E6C7A"/>
    <w:rsid w:val="008E724E"/>
    <w:rsid w:val="008E7895"/>
    <w:rsid w:val="008F03A9"/>
    <w:rsid w:val="008F09F8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29C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6182"/>
    <w:rsid w:val="00936672"/>
    <w:rsid w:val="00936EFB"/>
    <w:rsid w:val="00937D88"/>
    <w:rsid w:val="00940571"/>
    <w:rsid w:val="009410EB"/>
    <w:rsid w:val="00941226"/>
    <w:rsid w:val="00941C10"/>
    <w:rsid w:val="009438C7"/>
    <w:rsid w:val="00944030"/>
    <w:rsid w:val="00944701"/>
    <w:rsid w:val="00944DFD"/>
    <w:rsid w:val="0094586A"/>
    <w:rsid w:val="00946B00"/>
    <w:rsid w:val="009473EC"/>
    <w:rsid w:val="00947AA5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AFA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468"/>
    <w:rsid w:val="00A124A4"/>
    <w:rsid w:val="00A1358B"/>
    <w:rsid w:val="00A13FD6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4C9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119"/>
    <w:rsid w:val="00BC4D81"/>
    <w:rsid w:val="00BC4DAA"/>
    <w:rsid w:val="00BC7C58"/>
    <w:rsid w:val="00BD0108"/>
    <w:rsid w:val="00BD1B7A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F1342"/>
    <w:rsid w:val="00BF2199"/>
    <w:rsid w:val="00BF2CC1"/>
    <w:rsid w:val="00BF5BCD"/>
    <w:rsid w:val="00BF6AB1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B3"/>
    <w:rsid w:val="00C16213"/>
    <w:rsid w:val="00C16B82"/>
    <w:rsid w:val="00C17446"/>
    <w:rsid w:val="00C177E1"/>
    <w:rsid w:val="00C209F0"/>
    <w:rsid w:val="00C21AEF"/>
    <w:rsid w:val="00C21BB3"/>
    <w:rsid w:val="00C23DF4"/>
    <w:rsid w:val="00C25869"/>
    <w:rsid w:val="00C25C01"/>
    <w:rsid w:val="00C25F61"/>
    <w:rsid w:val="00C276F7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A0685"/>
    <w:rsid w:val="00CA0B10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321C"/>
    <w:rsid w:val="00CB446A"/>
    <w:rsid w:val="00CB4611"/>
    <w:rsid w:val="00CB6000"/>
    <w:rsid w:val="00CB69B0"/>
    <w:rsid w:val="00CC0021"/>
    <w:rsid w:val="00CC0BDB"/>
    <w:rsid w:val="00CC1AFC"/>
    <w:rsid w:val="00CC316F"/>
    <w:rsid w:val="00CC3266"/>
    <w:rsid w:val="00CC4326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7C6F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5425"/>
    <w:rsid w:val="00DF59D0"/>
    <w:rsid w:val="00DF6848"/>
    <w:rsid w:val="00DF68F9"/>
    <w:rsid w:val="00DF7ACC"/>
    <w:rsid w:val="00DF7E74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2DEC"/>
    <w:rsid w:val="00E03E4B"/>
    <w:rsid w:val="00E0550F"/>
    <w:rsid w:val="00E0645C"/>
    <w:rsid w:val="00E06B1A"/>
    <w:rsid w:val="00E07952"/>
    <w:rsid w:val="00E07C0A"/>
    <w:rsid w:val="00E10680"/>
    <w:rsid w:val="00E1078A"/>
    <w:rsid w:val="00E10AD2"/>
    <w:rsid w:val="00E118CA"/>
    <w:rsid w:val="00E12222"/>
    <w:rsid w:val="00E125A7"/>
    <w:rsid w:val="00E12A4D"/>
    <w:rsid w:val="00E13B12"/>
    <w:rsid w:val="00E13B6E"/>
    <w:rsid w:val="00E15B13"/>
    <w:rsid w:val="00E171AD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1E1"/>
    <w:rsid w:val="00E63B24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18C5"/>
    <w:rsid w:val="00EA2415"/>
    <w:rsid w:val="00EA24B5"/>
    <w:rsid w:val="00EA273D"/>
    <w:rsid w:val="00EA2958"/>
    <w:rsid w:val="00EA507A"/>
    <w:rsid w:val="00EA5CF3"/>
    <w:rsid w:val="00EB0234"/>
    <w:rsid w:val="00EB027D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6D59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677E6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5BAD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1FFF"/>
    <w:rsid w:val="00FE2592"/>
    <w:rsid w:val="00FE2998"/>
    <w:rsid w:val="00FE31CC"/>
    <w:rsid w:val="00FE3EA1"/>
    <w:rsid w:val="00FE3F80"/>
    <w:rsid w:val="00FE4867"/>
    <w:rsid w:val="00FE4A7A"/>
    <w:rsid w:val="00FE51BC"/>
    <w:rsid w:val="00FE7147"/>
    <w:rsid w:val="00FE7FF8"/>
    <w:rsid w:val="00FF093A"/>
    <w:rsid w:val="00FF0F51"/>
    <w:rsid w:val="00FF2A9C"/>
    <w:rsid w:val="00FF2CB6"/>
    <w:rsid w:val="00FF4263"/>
    <w:rsid w:val="00FF4720"/>
    <w:rsid w:val="00FF5220"/>
    <w:rsid w:val="00FF6497"/>
    <w:rsid w:val="00FF6AEF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5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link w:val="BodyTextCarattere2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  <w:style w:type="character" w:customStyle="1" w:styleId="BodyTextCarattere2">
    <w:name w:val="Body Text Carattere2"/>
    <w:link w:val="Corpotesto1"/>
    <w:locked/>
    <w:rsid w:val="00E02D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573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3866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6</cp:revision>
  <cp:lastPrinted>2024-02-15T16:32:00Z</cp:lastPrinted>
  <dcterms:created xsi:type="dcterms:W3CDTF">2024-03-06T10:23:00Z</dcterms:created>
  <dcterms:modified xsi:type="dcterms:W3CDTF">2024-03-07T09:10:00Z</dcterms:modified>
</cp:coreProperties>
</file>