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FD53F" w14:textId="77777777" w:rsidR="00082007" w:rsidRDefault="00000000">
      <w:pPr>
        <w:spacing w:after="120"/>
      </w:pPr>
      <w:r>
        <w:rPr>
          <w:rFonts w:ascii="Consolas" w:eastAsia="Consolas" w:hAnsi="Consolas" w:cs="Consolas"/>
          <w:caps/>
          <w:color w:val="B59655"/>
          <w:spacing w:val="40"/>
          <w:sz w:val="16"/>
          <w:szCs w:val="16"/>
        </w:rPr>
        <w:t>Müge Yücel IR Advisory</w:t>
      </w:r>
    </w:p>
    <w:p w14:paraId="283480B8" w14:textId="77777777" w:rsidR="00082007" w:rsidRDefault="00000000">
      <w:pPr>
        <w:spacing w:after="160"/>
      </w:pPr>
      <w:r>
        <w:rPr>
          <w:rFonts w:ascii="Georgia" w:eastAsia="Georgia" w:hAnsi="Georgia" w:cs="Georgia"/>
          <w:b/>
          <w:bCs/>
          <w:color w:val="0B1021"/>
          <w:sz w:val="56"/>
          <w:szCs w:val="56"/>
        </w:rPr>
        <w:t>The Investor Targeting Brief</w:t>
      </w:r>
    </w:p>
    <w:p w14:paraId="013ADA7B" w14:textId="77777777" w:rsidR="00082007" w:rsidRDefault="00082007">
      <w:pPr>
        <w:pBdr>
          <w:bottom w:val="single" w:sz="18" w:space="1" w:color="B59655"/>
        </w:pBdr>
        <w:spacing w:after="200"/>
      </w:pPr>
    </w:p>
    <w:p w14:paraId="49DC46AC" w14:textId="77777777" w:rsidR="00082007" w:rsidRDefault="00000000">
      <w:pPr>
        <w:spacing w:after="200" w:line="300" w:lineRule="auto"/>
      </w:pPr>
      <w:r>
        <w:rPr>
          <w:rFonts w:ascii="Georgia" w:eastAsia="Georgia" w:hAnsi="Georgia" w:cs="Georgia"/>
          <w:color w:val="5A6377"/>
          <w:sz w:val="24"/>
          <w:szCs w:val="24"/>
        </w:rPr>
        <w:t>The brief you complete before you run any screen. What you are looking for, why they should own you now, who you will not pursue, and how you will know it worked.</w:t>
      </w:r>
    </w:p>
    <w:p w14:paraId="229011D9" w14:textId="77777777" w:rsidR="00082007" w:rsidRDefault="00000000">
      <w:pPr>
        <w:pBdr>
          <w:top w:val="single" w:sz="4" w:space="8" w:color="DCDFE8"/>
        </w:pBdr>
        <w:spacing w:after="400"/>
      </w:pPr>
      <w:r>
        <w:rPr>
          <w:rFonts w:ascii="Consolas" w:eastAsia="Consolas" w:hAnsi="Consolas" w:cs="Consolas"/>
          <w:caps/>
          <w:color w:val="8A93A6"/>
          <w:spacing w:val="20"/>
          <w:sz w:val="16"/>
          <w:szCs w:val="16"/>
        </w:rPr>
        <w:t>Müge Yücel · mugeyucel.com  ·  Free download  ·  v1.0 · September 2026</w:t>
      </w:r>
    </w:p>
    <w:p w14:paraId="0C097D37" w14:textId="77777777" w:rsidR="00082007" w:rsidRDefault="00000000">
      <w:pPr>
        <w:pStyle w:val="Heading1"/>
        <w:pBdr>
          <w:top w:val="single" w:sz="12" w:space="8" w:color="0B1021"/>
        </w:pBdr>
        <w:spacing w:before="400" w:after="160"/>
      </w:pPr>
      <w:r>
        <w:rPr>
          <w:rFonts w:ascii="Georgia" w:eastAsia="Georgia" w:hAnsi="Georgia" w:cs="Georgia"/>
          <w:b/>
          <w:bCs/>
          <w:color w:val="0B1021"/>
          <w:sz w:val="30"/>
          <w:szCs w:val="30"/>
        </w:rPr>
        <w:t>Why this exists</w:t>
      </w:r>
    </w:p>
    <w:p w14:paraId="6315501D" w14:textId="77777777" w:rsidR="00082007" w:rsidRDefault="00000000">
      <w:pPr>
        <w:spacing w:after="120" w:line="276" w:lineRule="auto"/>
      </w:pPr>
      <w:r>
        <w:t>Most IR teams already have ownership data and a CRM, and most still report difficulty finding and engaging new investors. The gap is usually not the data. It is that nobody wrote down what a good holder looks like before the screen was run, so the list comes back long, the meetings happen, and nothing in the register changes.</w:t>
      </w:r>
    </w:p>
    <w:p w14:paraId="43AF5E06" w14:textId="77777777" w:rsidR="00082007" w:rsidRDefault="00000000">
      <w:pPr>
        <w:spacing w:after="120" w:line="276" w:lineRule="auto"/>
      </w:pPr>
      <w:r>
        <w:t>This brief is the step that comes first. It takes about forty minutes and it is completed once per campaign, not once per meeting.</w:t>
      </w:r>
    </w:p>
    <w:p w14:paraId="39B6DED4" w14:textId="77777777" w:rsidR="00082007" w:rsidRDefault="00000000">
      <w:pPr>
        <w:pStyle w:val="Heading1"/>
        <w:pBdr>
          <w:top w:val="single" w:sz="12" w:space="8" w:color="0B1021"/>
        </w:pBdr>
        <w:spacing w:before="400" w:after="160"/>
      </w:pPr>
      <w:r>
        <w:rPr>
          <w:rFonts w:ascii="Georgia" w:eastAsia="Georgia" w:hAnsi="Georgia" w:cs="Georgia"/>
          <w:b/>
          <w:bCs/>
          <w:color w:val="0B1021"/>
          <w:sz w:val="30"/>
          <w:szCs w:val="30"/>
        </w:rPr>
        <w:t>Three questions before you start</w:t>
      </w:r>
    </w:p>
    <w:p w14:paraId="378F2BE8" w14:textId="77777777" w:rsidR="00082007" w:rsidRDefault="00000000">
      <w:pPr>
        <w:spacing w:after="180" w:line="276" w:lineRule="auto"/>
      </w:pPr>
      <w:r>
        <w:rPr>
          <w:color w:val="5A6377"/>
          <w:sz w:val="19"/>
          <w:szCs w:val="19"/>
        </w:rPr>
        <w:t>If you cannot answer all three, the brief is not ready and the screen will waste the quarter.</w:t>
      </w:r>
    </w:p>
    <w:p w14:paraId="0A94224D" w14:textId="77777777" w:rsidR="00082007" w:rsidRDefault="00000000">
      <w:pPr>
        <w:keepNext/>
        <w:pBdr>
          <w:left w:val="single" w:sz="18" w:space="8" w:color="B59655"/>
        </w:pBdr>
        <w:spacing w:before="160" w:after="40"/>
        <w:ind w:left="170"/>
      </w:pPr>
      <w:r>
        <w:rPr>
          <w:rFonts w:ascii="Georgia" w:eastAsia="Georgia" w:hAnsi="Georgia" w:cs="Georgia"/>
          <w:b/>
          <w:bCs/>
          <w:color w:val="0B1021"/>
          <w:sz w:val="24"/>
          <w:szCs w:val="24"/>
        </w:rPr>
        <w:t>Can they actually buy?</w:t>
      </w:r>
    </w:p>
    <w:p w14:paraId="6FF48E3B" w14:textId="77777777" w:rsidR="00082007" w:rsidRDefault="00000000">
      <w:pPr>
        <w:pBdr>
          <w:left w:val="single" w:sz="18" w:space="8" w:color="B59655"/>
        </w:pBdr>
        <w:spacing w:after="140" w:line="264" w:lineRule="auto"/>
        <w:ind w:left="170"/>
      </w:pPr>
      <w:r>
        <w:rPr>
          <w:color w:val="5A6377"/>
          <w:sz w:val="19"/>
          <w:szCs w:val="19"/>
        </w:rPr>
        <w:t>Take the position size this investor would want and divide it by your average daily traded value. Then divide again by a realistic participation rate - most institutions trade 10 to 25 percent of a day's volume, never the whole of it. If the answer is months rather than weeks, they cannot build it and will not try.</w:t>
      </w:r>
    </w:p>
    <w:p w14:paraId="1401585C" w14:textId="77777777" w:rsidR="00082007" w:rsidRDefault="00000000">
      <w:pPr>
        <w:keepNext/>
        <w:pBdr>
          <w:left w:val="single" w:sz="18" w:space="8" w:color="B59655"/>
        </w:pBdr>
        <w:spacing w:before="160" w:after="40"/>
        <w:ind w:left="170"/>
      </w:pPr>
      <w:r>
        <w:rPr>
          <w:rFonts w:ascii="Georgia" w:eastAsia="Georgia" w:hAnsi="Georgia" w:cs="Georgia"/>
          <w:b/>
          <w:bCs/>
          <w:color w:val="0B1021"/>
          <w:sz w:val="24"/>
          <w:szCs w:val="24"/>
        </w:rPr>
        <w:t>What changed?</w:t>
      </w:r>
    </w:p>
    <w:p w14:paraId="12A77CB1" w14:textId="77777777" w:rsidR="00082007" w:rsidRDefault="00000000">
      <w:pPr>
        <w:pBdr>
          <w:left w:val="single" w:sz="18" w:space="8" w:color="B59655"/>
        </w:pBdr>
        <w:spacing w:after="140" w:line="264" w:lineRule="auto"/>
        <w:ind w:left="170"/>
      </w:pPr>
      <w:r>
        <w:rPr>
          <w:color w:val="5A6377"/>
          <w:sz w:val="19"/>
          <w:szCs w:val="19"/>
        </w:rPr>
        <w:t>Name something true about this company today that was not true twelve months ago. Investors reallocate on change, not on quality.</w:t>
      </w:r>
    </w:p>
    <w:p w14:paraId="3E675FC7" w14:textId="77777777" w:rsidR="00082007" w:rsidRDefault="00000000">
      <w:pPr>
        <w:keepNext/>
        <w:pBdr>
          <w:left w:val="single" w:sz="18" w:space="8" w:color="B59655"/>
        </w:pBdr>
        <w:spacing w:before="160" w:after="40"/>
        <w:ind w:left="170"/>
      </w:pPr>
      <w:r>
        <w:rPr>
          <w:rFonts w:ascii="Georgia" w:eastAsia="Georgia" w:hAnsi="Georgia" w:cs="Georgia"/>
          <w:b/>
          <w:bCs/>
          <w:color w:val="0B1021"/>
          <w:sz w:val="24"/>
          <w:szCs w:val="24"/>
        </w:rPr>
        <w:t>Would you want them in three years?</w:t>
      </w:r>
    </w:p>
    <w:p w14:paraId="1ED22817" w14:textId="77777777" w:rsidR="00082007" w:rsidRDefault="00000000">
      <w:pPr>
        <w:pBdr>
          <w:left w:val="single" w:sz="18" w:space="8" w:color="B59655"/>
        </w:pBdr>
        <w:spacing w:after="140" w:line="264" w:lineRule="auto"/>
        <w:ind w:left="170"/>
      </w:pPr>
      <w:r>
        <w:rPr>
          <w:color w:val="5A6377"/>
          <w:sz w:val="19"/>
          <w:szCs w:val="19"/>
        </w:rPr>
        <w:t>If the honest answer is that you want the print and not the holder, you are running a placement, not a targeting campaign.</w:t>
      </w:r>
    </w:p>
    <w:p w14:paraId="7F58C92D" w14:textId="77777777" w:rsidR="00082007" w:rsidRDefault="00000000">
      <w:r>
        <w:br w:type="page"/>
      </w:r>
    </w:p>
    <w:p w14:paraId="0C2AC6DA" w14:textId="77777777" w:rsidR="00082007" w:rsidRDefault="00000000">
      <w:pPr>
        <w:pStyle w:val="Heading1"/>
        <w:pBdr>
          <w:top w:val="single" w:sz="12" w:space="8" w:color="0B1021"/>
        </w:pBdr>
        <w:spacing w:before="400" w:after="160"/>
      </w:pPr>
      <w:r>
        <w:rPr>
          <w:rFonts w:ascii="Georgia" w:eastAsia="Georgia" w:hAnsi="Georgia" w:cs="Georgia"/>
          <w:b/>
          <w:bCs/>
          <w:color w:val="0B1021"/>
          <w:sz w:val="30"/>
          <w:szCs w:val="30"/>
        </w:rPr>
        <w:lastRenderedPageBreak/>
        <w:t>The brief</w:t>
      </w:r>
    </w:p>
    <w:p w14:paraId="601B4447" w14:textId="77777777" w:rsidR="00082007" w:rsidRDefault="00000000">
      <w:pPr>
        <w:spacing w:after="200" w:line="276" w:lineRule="auto"/>
      </w:pPr>
      <w:r>
        <w:rPr>
          <w:color w:val="5A6377"/>
          <w:sz w:val="19"/>
          <w:szCs w:val="19"/>
        </w:rPr>
        <w:t>Complete every field. A field left blank is a decision not taken, and it will surface later as a meeting that goes nowhere.</w:t>
      </w:r>
    </w:p>
    <w:p w14:paraId="111742A5" w14:textId="77777777" w:rsidR="00082007" w:rsidRDefault="00000000">
      <w:pPr>
        <w:keepNext/>
        <w:pBdr>
          <w:bottom w:val="single" w:sz="8" w:space="4" w:color="0B1021"/>
        </w:pBdr>
        <w:spacing w:before="100" w:after="140"/>
      </w:pPr>
      <w:r>
        <w:rPr>
          <w:rFonts w:ascii="Consolas" w:eastAsia="Consolas" w:hAnsi="Consolas" w:cs="Consolas"/>
          <w:color w:val="B59655"/>
          <w:spacing w:val="20"/>
          <w:sz w:val="18"/>
          <w:szCs w:val="18"/>
        </w:rPr>
        <w:t xml:space="preserve">A   </w:t>
      </w:r>
      <w:r>
        <w:rPr>
          <w:rFonts w:ascii="Georgia" w:eastAsia="Georgia" w:hAnsi="Georgia" w:cs="Georgia"/>
          <w:b/>
          <w:bCs/>
          <w:color w:val="0B1021"/>
          <w:sz w:val="25"/>
          <w:szCs w:val="25"/>
        </w:rPr>
        <w:t>The target</w:t>
      </w:r>
    </w:p>
    <w:p w14:paraId="4464682B"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A1</w:t>
      </w:r>
      <w:r>
        <w:rPr>
          <w:rFonts w:ascii="Consolas" w:eastAsia="Consolas" w:hAnsi="Consolas" w:cs="Consolas"/>
          <w:color w:val="8A93A6"/>
          <w:spacing w:val="20"/>
          <w:sz w:val="15"/>
          <w:szCs w:val="15"/>
        </w:rPr>
        <w:tab/>
      </w:r>
      <w:r>
        <w:rPr>
          <w:b/>
          <w:bCs/>
          <w:color w:val="0B1021"/>
        </w:rPr>
        <w:t>Ideal holder profile</w:t>
      </w:r>
    </w:p>
    <w:p w14:paraId="5AFD0440" w14:textId="77777777" w:rsidR="00082007" w:rsidRDefault="00000000">
      <w:pPr>
        <w:keepNext/>
        <w:spacing w:after="60" w:line="252" w:lineRule="auto"/>
        <w:ind w:left="620"/>
      </w:pPr>
      <w:r>
        <w:rPr>
          <w:sz w:val="18"/>
          <w:szCs w:val="18"/>
        </w:rPr>
        <w:t>Describe the investor you want, precisely enough that two people on your team would build the same list.</w:t>
      </w:r>
    </w:p>
    <w:p w14:paraId="3798E1CB" w14:textId="3B3E12A9"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 xml:space="preserve">Which investment style would buy this company as it is today </w:t>
      </w:r>
      <w:r w:rsidR="00C7755C">
        <w:rPr>
          <w:color w:val="5A6377"/>
          <w:sz w:val="17"/>
          <w:szCs w:val="17"/>
        </w:rPr>
        <w:t>-</w:t>
      </w:r>
      <w:r>
        <w:rPr>
          <w:color w:val="5A6377"/>
          <w:sz w:val="17"/>
          <w:szCs w:val="17"/>
        </w:rPr>
        <w:t xml:space="preserve"> value, GARP, quality-growth, income, thematic?</w:t>
      </w:r>
    </w:p>
    <w:p w14:paraId="7F1AFAB7"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How long do they typically hold, and does that match how long our story takes to play out?</w:t>
      </w:r>
    </w:p>
    <w:p w14:paraId="491133BE"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position size do they normally take, as a percentage of their fund?</w:t>
      </w:r>
    </w:p>
    <w:p w14:paraId="33FAE434"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Which mandates can hold our listing, our currency and our market classification?</w:t>
      </w:r>
    </w:p>
    <w:p w14:paraId="3B11731C"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range of fund size makes us a sensible position for them? Field A3 will test this.</w:t>
      </w:r>
    </w:p>
    <w:p w14:paraId="2779D94F"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Are they benchmark-constrained, and if so, are we in their benchmark?</w:t>
      </w:r>
    </w:p>
    <w:p w14:paraId="089260E7"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6CEC03B0" w14:textId="77777777">
        <w:tblPrEx>
          <w:tblCellMar>
            <w:top w:w="0" w:type="dxa"/>
            <w:bottom w:w="0" w:type="dxa"/>
          </w:tblCellMar>
        </w:tblPrEx>
        <w:trPr>
          <w:cantSplit/>
          <w:trHeight w:val="1361"/>
        </w:trPr>
        <w:tc>
          <w:tcPr>
            <w:tcW w:w="8406" w:type="dxa"/>
            <w:shd w:val="clear" w:color="auto" w:fill="FAFBFD"/>
            <w:tcMar>
              <w:top w:w="80" w:type="dxa"/>
              <w:left w:w="140" w:type="dxa"/>
              <w:bottom w:w="80" w:type="dxa"/>
              <w:right w:w="140" w:type="dxa"/>
            </w:tcMar>
          </w:tcPr>
          <w:p w14:paraId="729C300B" w14:textId="77777777" w:rsidR="00082007" w:rsidRDefault="00082007"/>
        </w:tc>
      </w:tr>
    </w:tbl>
    <w:p w14:paraId="35567425" w14:textId="77777777" w:rsidR="00082007" w:rsidRDefault="00082007"/>
    <w:p w14:paraId="50B276FF"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A2</w:t>
      </w:r>
      <w:r>
        <w:rPr>
          <w:rFonts w:ascii="Consolas" w:eastAsia="Consolas" w:hAnsi="Consolas" w:cs="Consolas"/>
          <w:color w:val="8A93A6"/>
          <w:spacing w:val="20"/>
          <w:sz w:val="15"/>
          <w:szCs w:val="15"/>
        </w:rPr>
        <w:tab/>
      </w:r>
      <w:r>
        <w:rPr>
          <w:b/>
          <w:bCs/>
          <w:color w:val="0B1021"/>
        </w:rPr>
        <w:t>Why now</w:t>
      </w:r>
    </w:p>
    <w:p w14:paraId="698C0062" w14:textId="77777777" w:rsidR="00082007" w:rsidRDefault="00000000">
      <w:pPr>
        <w:keepNext/>
        <w:spacing w:after="60" w:line="252" w:lineRule="auto"/>
        <w:ind w:left="620"/>
      </w:pPr>
      <w:r>
        <w:rPr>
          <w:sz w:val="18"/>
          <w:szCs w:val="18"/>
        </w:rPr>
        <w:t>Name the change. Investors reallocate on change, not on quality.</w:t>
      </w:r>
    </w:p>
    <w:p w14:paraId="3AF79115"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is true about this company today that was not true twelve months ago?</w:t>
      </w:r>
    </w:p>
    <w:p w14:paraId="4685B888"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Is it visible in the reported numbers yet, or only in what we have said?</w:t>
      </w:r>
    </w:p>
    <w:p w14:paraId="13051472"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If an investor looked at us two years ago and passed, what is different this time?</w:t>
      </w:r>
    </w:p>
    <w:p w14:paraId="44EE277D"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Is the change durable, or is it one period?</w:t>
      </w:r>
    </w:p>
    <w:p w14:paraId="7F6DCA96"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If you cannot name a change, is this a maintenance campaign rather than a targeting one?</w:t>
      </w:r>
    </w:p>
    <w:p w14:paraId="3201D713"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4D6738D5" w14:textId="77777777">
        <w:tblPrEx>
          <w:tblCellMar>
            <w:top w:w="0" w:type="dxa"/>
            <w:bottom w:w="0" w:type="dxa"/>
          </w:tblCellMar>
        </w:tblPrEx>
        <w:trPr>
          <w:cantSplit/>
          <w:trHeight w:val="1247"/>
        </w:trPr>
        <w:tc>
          <w:tcPr>
            <w:tcW w:w="8406" w:type="dxa"/>
            <w:shd w:val="clear" w:color="auto" w:fill="FAFBFD"/>
            <w:tcMar>
              <w:top w:w="80" w:type="dxa"/>
              <w:left w:w="140" w:type="dxa"/>
              <w:bottom w:w="80" w:type="dxa"/>
              <w:right w:w="140" w:type="dxa"/>
            </w:tcMar>
          </w:tcPr>
          <w:p w14:paraId="0BA4D40A" w14:textId="77777777" w:rsidR="00082007" w:rsidRDefault="00082007"/>
        </w:tc>
      </w:tr>
    </w:tbl>
    <w:p w14:paraId="0BFC1BDF" w14:textId="77777777" w:rsidR="00082007" w:rsidRDefault="00082007"/>
    <w:p w14:paraId="61C60157"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A3</w:t>
      </w:r>
      <w:r>
        <w:rPr>
          <w:rFonts w:ascii="Consolas" w:eastAsia="Consolas" w:hAnsi="Consolas" w:cs="Consolas"/>
          <w:color w:val="8A93A6"/>
          <w:spacing w:val="20"/>
          <w:sz w:val="15"/>
          <w:szCs w:val="15"/>
        </w:rPr>
        <w:tab/>
      </w:r>
      <w:r>
        <w:rPr>
          <w:b/>
          <w:bCs/>
          <w:color w:val="0B1021"/>
        </w:rPr>
        <w:t>Capacity check</w:t>
      </w:r>
    </w:p>
    <w:p w14:paraId="042E63D1" w14:textId="683241C4" w:rsidR="00082007" w:rsidRDefault="00000000">
      <w:pPr>
        <w:keepNext/>
        <w:spacing w:after="60" w:line="252" w:lineRule="auto"/>
        <w:ind w:left="620"/>
      </w:pPr>
      <w:r>
        <w:rPr>
          <w:sz w:val="18"/>
          <w:szCs w:val="18"/>
        </w:rPr>
        <w:t xml:space="preserve">Test whether this investor can build a position that matters to them </w:t>
      </w:r>
      <w:r w:rsidR="00C7755C">
        <w:rPr>
          <w:sz w:val="18"/>
          <w:szCs w:val="18"/>
        </w:rPr>
        <w:t>-</w:t>
      </w:r>
      <w:r>
        <w:rPr>
          <w:sz w:val="18"/>
          <w:szCs w:val="18"/>
        </w:rPr>
        <w:t xml:space="preserve"> and get out of it again.</w:t>
      </w:r>
    </w:p>
    <w:p w14:paraId="02B7EA0C"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position size would they want? Their typical weighting multiplied by their fund size.</w:t>
      </w:r>
    </w:p>
    <w:p w14:paraId="649A8CC6"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is our average daily traded value over the last three months, in currency rather than shares?</w:t>
      </w:r>
    </w:p>
    <w:p w14:paraId="18176D8A" w14:textId="35C19D23"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 xml:space="preserve">At a realistic participation rate </w:t>
      </w:r>
      <w:r w:rsidR="00C7755C">
        <w:rPr>
          <w:color w:val="5A6377"/>
          <w:sz w:val="17"/>
          <w:szCs w:val="17"/>
        </w:rPr>
        <w:t>-</w:t>
      </w:r>
      <w:r>
        <w:rPr>
          <w:color w:val="5A6377"/>
          <w:sz w:val="17"/>
          <w:szCs w:val="17"/>
        </w:rPr>
        <w:t xml:space="preserve"> 10 to 25 percent of daily volume </w:t>
      </w:r>
      <w:r w:rsidR="00C7755C">
        <w:rPr>
          <w:color w:val="5A6377"/>
          <w:sz w:val="17"/>
          <w:szCs w:val="17"/>
        </w:rPr>
        <w:t>-</w:t>
      </w:r>
      <w:r>
        <w:rPr>
          <w:color w:val="5A6377"/>
          <w:sz w:val="17"/>
          <w:szCs w:val="17"/>
        </w:rPr>
        <w:t xml:space="preserve"> how many trading days does that position take to build?</w:t>
      </w:r>
    </w:p>
    <w:p w14:paraId="55D1F6F0"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share of our free float is that position?</w:t>
      </w:r>
    </w:p>
    <w:p w14:paraId="72FB2AAE"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Could they exit in a comparable timeframe if they changed their mind? Selling is slower than buying.</w:t>
      </w:r>
    </w:p>
    <w:p w14:paraId="28A138B8"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Above what fund size does this stop working? That number is your ceiling.</w:t>
      </w:r>
    </w:p>
    <w:p w14:paraId="4C09A6B6"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1B40B903" w14:textId="77777777">
        <w:tblPrEx>
          <w:tblCellMar>
            <w:top w:w="0" w:type="dxa"/>
            <w:bottom w:w="0" w:type="dxa"/>
          </w:tblCellMar>
        </w:tblPrEx>
        <w:trPr>
          <w:cantSplit/>
          <w:trHeight w:val="1701"/>
        </w:trPr>
        <w:tc>
          <w:tcPr>
            <w:tcW w:w="8406" w:type="dxa"/>
            <w:shd w:val="clear" w:color="auto" w:fill="FAFBFD"/>
            <w:tcMar>
              <w:top w:w="80" w:type="dxa"/>
              <w:left w:w="140" w:type="dxa"/>
              <w:bottom w:w="80" w:type="dxa"/>
              <w:right w:w="140" w:type="dxa"/>
            </w:tcMar>
          </w:tcPr>
          <w:p w14:paraId="294D72FA" w14:textId="77777777" w:rsidR="00082007" w:rsidRDefault="00082007"/>
        </w:tc>
      </w:tr>
    </w:tbl>
    <w:p w14:paraId="1D0679EA" w14:textId="77777777" w:rsidR="00082007" w:rsidRDefault="00082007"/>
    <w:p w14:paraId="1C7FC6F9"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A4</w:t>
      </w:r>
      <w:r>
        <w:rPr>
          <w:rFonts w:ascii="Consolas" w:eastAsia="Consolas" w:hAnsi="Consolas" w:cs="Consolas"/>
          <w:color w:val="8A93A6"/>
          <w:spacing w:val="20"/>
          <w:sz w:val="15"/>
          <w:szCs w:val="15"/>
        </w:rPr>
        <w:tab/>
      </w:r>
      <w:r>
        <w:rPr>
          <w:b/>
          <w:bCs/>
          <w:color w:val="0B1021"/>
        </w:rPr>
        <w:t>Disqualifiers</w:t>
      </w:r>
    </w:p>
    <w:p w14:paraId="6D010470" w14:textId="77777777" w:rsidR="00082007" w:rsidRDefault="00000000">
      <w:pPr>
        <w:keepNext/>
        <w:spacing w:after="60" w:line="252" w:lineRule="auto"/>
        <w:ind w:left="620"/>
      </w:pPr>
      <w:r>
        <w:rPr>
          <w:sz w:val="18"/>
          <w:szCs w:val="18"/>
        </w:rPr>
        <w:t>Decide who you will not pursue, so the list has an edge. Name at least three.</w:t>
      </w:r>
    </w:p>
    <w:p w14:paraId="5B142F8D"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Which funds are too large to take a position that matters, per A3?</w:t>
      </w:r>
    </w:p>
    <w:p w14:paraId="30711F99"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Which styles will our valuation or our liquidity always screen out?</w:t>
      </w:r>
    </w:p>
    <w:p w14:paraId="7ED5EF38" w14:textId="2974F154"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 xml:space="preserve">Which mandates cannot hold us </w:t>
      </w:r>
      <w:r w:rsidR="00C7755C">
        <w:rPr>
          <w:color w:val="5A6377"/>
          <w:sz w:val="17"/>
          <w:szCs w:val="17"/>
        </w:rPr>
        <w:t>-</w:t>
      </w:r>
      <w:r>
        <w:rPr>
          <w:color w:val="5A6377"/>
          <w:sz w:val="17"/>
          <w:szCs w:val="17"/>
        </w:rPr>
        <w:t xml:space="preserve"> domicile, custody, index membership, exclusion policies?</w:t>
      </w:r>
    </w:p>
    <w:p w14:paraId="704731D9"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Who have we met repeatedly over three years with no result, and do we know why?</w:t>
      </w:r>
    </w:p>
    <w:p w14:paraId="7650516F"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Which holders would we not want on the register even if they bought?</w:t>
      </w:r>
    </w:p>
    <w:p w14:paraId="0250F60E"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4327A5EB" w14:textId="77777777">
        <w:tblPrEx>
          <w:tblCellMar>
            <w:top w:w="0" w:type="dxa"/>
            <w:bottom w:w="0" w:type="dxa"/>
          </w:tblCellMar>
        </w:tblPrEx>
        <w:trPr>
          <w:cantSplit/>
          <w:trHeight w:val="1361"/>
        </w:trPr>
        <w:tc>
          <w:tcPr>
            <w:tcW w:w="8406" w:type="dxa"/>
            <w:shd w:val="clear" w:color="auto" w:fill="FAFBFD"/>
            <w:tcMar>
              <w:top w:w="80" w:type="dxa"/>
              <w:left w:w="140" w:type="dxa"/>
              <w:bottom w:w="80" w:type="dxa"/>
              <w:right w:w="140" w:type="dxa"/>
            </w:tcMar>
          </w:tcPr>
          <w:p w14:paraId="76FC2BC2" w14:textId="77777777" w:rsidR="00082007" w:rsidRDefault="00082007"/>
        </w:tc>
      </w:tr>
    </w:tbl>
    <w:p w14:paraId="6314FD43" w14:textId="77777777" w:rsidR="00082007" w:rsidRDefault="00082007"/>
    <w:p w14:paraId="3744EBD3" w14:textId="77777777" w:rsidR="00082007" w:rsidRDefault="00000000">
      <w:pPr>
        <w:keepNext/>
        <w:pBdr>
          <w:bottom w:val="single" w:sz="8" w:space="4" w:color="0B1021"/>
        </w:pBdr>
        <w:spacing w:before="300" w:after="140"/>
      </w:pPr>
      <w:r>
        <w:rPr>
          <w:rFonts w:ascii="Consolas" w:eastAsia="Consolas" w:hAnsi="Consolas" w:cs="Consolas"/>
          <w:color w:val="B59655"/>
          <w:spacing w:val="20"/>
          <w:sz w:val="18"/>
          <w:szCs w:val="18"/>
        </w:rPr>
        <w:t xml:space="preserve">B   </w:t>
      </w:r>
      <w:r>
        <w:rPr>
          <w:rFonts w:ascii="Georgia" w:eastAsia="Georgia" w:hAnsi="Georgia" w:cs="Georgia"/>
          <w:b/>
          <w:bCs/>
          <w:color w:val="0B1021"/>
          <w:sz w:val="25"/>
          <w:szCs w:val="25"/>
        </w:rPr>
        <w:t>The message</w:t>
      </w:r>
    </w:p>
    <w:p w14:paraId="6A17DA7C"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B1</w:t>
      </w:r>
      <w:r>
        <w:rPr>
          <w:rFonts w:ascii="Consolas" w:eastAsia="Consolas" w:hAnsi="Consolas" w:cs="Consolas"/>
          <w:color w:val="8A93A6"/>
          <w:spacing w:val="20"/>
          <w:sz w:val="15"/>
          <w:szCs w:val="15"/>
        </w:rPr>
        <w:tab/>
      </w:r>
      <w:r>
        <w:rPr>
          <w:b/>
          <w:bCs/>
          <w:color w:val="0B1021"/>
        </w:rPr>
        <w:t>The three things</w:t>
      </w:r>
    </w:p>
    <w:p w14:paraId="3025C946" w14:textId="77777777" w:rsidR="00082007" w:rsidRDefault="00000000">
      <w:pPr>
        <w:keepNext/>
        <w:spacing w:after="60" w:line="252" w:lineRule="auto"/>
        <w:ind w:left="620"/>
      </w:pPr>
      <w:r>
        <w:rPr>
          <w:sz w:val="18"/>
          <w:szCs w:val="18"/>
        </w:rPr>
        <w:t>What they must remember after the meeting. Three, not five.</w:t>
      </w:r>
    </w:p>
    <w:p w14:paraId="34A7506E"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If they remembered one sentence only, which one?</w:t>
      </w:r>
    </w:p>
    <w:p w14:paraId="11C5692D"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are the second and third, and do they support the first or compete with it?</w:t>
      </w:r>
    </w:p>
    <w:p w14:paraId="5D609553"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Could a competitor's IRO say the same three things? If so, they are not yours.</w:t>
      </w:r>
    </w:p>
    <w:p w14:paraId="5D4D70E9"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Does each one connect to the change you named in A2?</w:t>
      </w:r>
    </w:p>
    <w:p w14:paraId="7EF179BA"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did you cut to get to three?</w:t>
      </w:r>
    </w:p>
    <w:p w14:paraId="10D7C1AB"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2CF75038" w14:textId="77777777">
        <w:tblPrEx>
          <w:tblCellMar>
            <w:top w:w="0" w:type="dxa"/>
            <w:bottom w:w="0" w:type="dxa"/>
          </w:tblCellMar>
        </w:tblPrEx>
        <w:trPr>
          <w:cantSplit/>
          <w:trHeight w:val="1361"/>
        </w:trPr>
        <w:tc>
          <w:tcPr>
            <w:tcW w:w="8406" w:type="dxa"/>
            <w:shd w:val="clear" w:color="auto" w:fill="FAFBFD"/>
            <w:tcMar>
              <w:top w:w="80" w:type="dxa"/>
              <w:left w:w="140" w:type="dxa"/>
              <w:bottom w:w="80" w:type="dxa"/>
              <w:right w:w="140" w:type="dxa"/>
            </w:tcMar>
          </w:tcPr>
          <w:p w14:paraId="402D8294" w14:textId="77777777" w:rsidR="00082007" w:rsidRDefault="00082007"/>
        </w:tc>
      </w:tr>
    </w:tbl>
    <w:p w14:paraId="26CD2FC4" w14:textId="77777777" w:rsidR="00082007" w:rsidRDefault="00082007"/>
    <w:p w14:paraId="28AE2741"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B2</w:t>
      </w:r>
      <w:r>
        <w:rPr>
          <w:rFonts w:ascii="Consolas" w:eastAsia="Consolas" w:hAnsi="Consolas" w:cs="Consolas"/>
          <w:color w:val="8A93A6"/>
          <w:spacing w:val="20"/>
          <w:sz w:val="15"/>
          <w:szCs w:val="15"/>
        </w:rPr>
        <w:tab/>
      </w:r>
      <w:r>
        <w:rPr>
          <w:b/>
          <w:bCs/>
          <w:color w:val="0B1021"/>
        </w:rPr>
        <w:t>Proof</w:t>
      </w:r>
    </w:p>
    <w:p w14:paraId="3C24B32B" w14:textId="77777777" w:rsidR="00082007" w:rsidRDefault="00000000">
      <w:pPr>
        <w:keepNext/>
        <w:spacing w:after="60" w:line="252" w:lineRule="auto"/>
        <w:ind w:left="620"/>
      </w:pPr>
      <w:r>
        <w:rPr>
          <w:sz w:val="18"/>
          <w:szCs w:val="18"/>
        </w:rPr>
        <w:t>The number behind each claim, and where it is already public.</w:t>
      </w:r>
    </w:p>
    <w:p w14:paraId="66FA4831" w14:textId="6A96EAA9"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 xml:space="preserve">What figure supports each of the three, and in which disclosed document </w:t>
      </w:r>
      <w:r w:rsidR="00C7755C">
        <w:rPr>
          <w:color w:val="5A6377"/>
          <w:sz w:val="17"/>
          <w:szCs w:val="17"/>
        </w:rPr>
        <w:t>-</w:t>
      </w:r>
      <w:r>
        <w:rPr>
          <w:color w:val="5A6377"/>
          <w:sz w:val="17"/>
          <w:szCs w:val="17"/>
        </w:rPr>
        <w:t xml:space="preserve"> page or note?</w:t>
      </w:r>
    </w:p>
    <w:p w14:paraId="2AB07C42"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Is any of it undisclosed? If so it comes out of the message until it is published.</w:t>
      </w:r>
    </w:p>
    <w:p w14:paraId="4F9BBE80"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Which of the three has no number at all? That one is an assertion, not a proof.</w:t>
      </w:r>
    </w:p>
    <w:p w14:paraId="24E81C21"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Where the evidence is thin, are you willing to say so in the meeting?</w:t>
      </w:r>
    </w:p>
    <w:p w14:paraId="778BD97A"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1E7820B0" w14:textId="77777777">
        <w:tblPrEx>
          <w:tblCellMar>
            <w:top w:w="0" w:type="dxa"/>
            <w:bottom w:w="0" w:type="dxa"/>
          </w:tblCellMar>
        </w:tblPrEx>
        <w:trPr>
          <w:cantSplit/>
          <w:trHeight w:val="1247"/>
        </w:trPr>
        <w:tc>
          <w:tcPr>
            <w:tcW w:w="8406" w:type="dxa"/>
            <w:shd w:val="clear" w:color="auto" w:fill="FAFBFD"/>
            <w:tcMar>
              <w:top w:w="80" w:type="dxa"/>
              <w:left w:w="140" w:type="dxa"/>
              <w:bottom w:w="80" w:type="dxa"/>
              <w:right w:w="140" w:type="dxa"/>
            </w:tcMar>
          </w:tcPr>
          <w:p w14:paraId="4B232610" w14:textId="77777777" w:rsidR="00082007" w:rsidRDefault="00082007"/>
        </w:tc>
      </w:tr>
    </w:tbl>
    <w:p w14:paraId="018AB07F" w14:textId="77777777" w:rsidR="00082007" w:rsidRDefault="00082007"/>
    <w:p w14:paraId="40A1A039"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B3</w:t>
      </w:r>
      <w:r>
        <w:rPr>
          <w:rFonts w:ascii="Consolas" w:eastAsia="Consolas" w:hAnsi="Consolas" w:cs="Consolas"/>
          <w:color w:val="8A93A6"/>
          <w:spacing w:val="20"/>
          <w:sz w:val="15"/>
          <w:szCs w:val="15"/>
        </w:rPr>
        <w:tab/>
      </w:r>
      <w:r>
        <w:rPr>
          <w:b/>
          <w:bCs/>
          <w:color w:val="0B1021"/>
        </w:rPr>
        <w:t>The objection</w:t>
      </w:r>
    </w:p>
    <w:p w14:paraId="138C8B5E" w14:textId="77777777" w:rsidR="00082007" w:rsidRDefault="00000000">
      <w:pPr>
        <w:keepNext/>
        <w:spacing w:after="60" w:line="252" w:lineRule="auto"/>
        <w:ind w:left="620"/>
      </w:pPr>
      <w:r>
        <w:rPr>
          <w:sz w:val="18"/>
          <w:szCs w:val="18"/>
        </w:rPr>
        <w:t>The strongest argument against owning you, written in their words rather than yours.</w:t>
      </w:r>
    </w:p>
    <w:p w14:paraId="11CB603B"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is the argument you hope they do not make?</w:t>
      </w:r>
    </w:p>
    <w:p w14:paraId="42376B0F"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How would a skeptical analyst or a short seller phrase it?</w:t>
      </w:r>
    </w:p>
    <w:p w14:paraId="6312FE0E"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is your answer, and is it supported by something already disclosed?</w:t>
      </w:r>
    </w:p>
    <w:p w14:paraId="6AA95698" w14:textId="5814F21A"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 xml:space="preserve">Where does your answer run out </w:t>
      </w:r>
      <w:r w:rsidR="00C7755C">
        <w:rPr>
          <w:color w:val="5A6377"/>
          <w:sz w:val="17"/>
          <w:szCs w:val="17"/>
        </w:rPr>
        <w:t>-</w:t>
      </w:r>
      <w:r>
        <w:rPr>
          <w:color w:val="5A6377"/>
          <w:sz w:val="17"/>
          <w:szCs w:val="17"/>
        </w:rPr>
        <w:t xml:space="preserve"> what would settle the question that you have not published?</w:t>
      </w:r>
    </w:p>
    <w:p w14:paraId="7D6BFA8E"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Are you prepared to name that gap rather than talk around it?</w:t>
      </w:r>
    </w:p>
    <w:p w14:paraId="327804A9"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5753292E" w14:textId="77777777">
        <w:tblPrEx>
          <w:tblCellMar>
            <w:top w:w="0" w:type="dxa"/>
            <w:bottom w:w="0" w:type="dxa"/>
          </w:tblCellMar>
        </w:tblPrEx>
        <w:trPr>
          <w:cantSplit/>
          <w:trHeight w:val="1474"/>
        </w:trPr>
        <w:tc>
          <w:tcPr>
            <w:tcW w:w="8406" w:type="dxa"/>
            <w:shd w:val="clear" w:color="auto" w:fill="FAFBFD"/>
            <w:tcMar>
              <w:top w:w="80" w:type="dxa"/>
              <w:left w:w="140" w:type="dxa"/>
              <w:bottom w:w="80" w:type="dxa"/>
              <w:right w:w="140" w:type="dxa"/>
            </w:tcMar>
          </w:tcPr>
          <w:p w14:paraId="4157909A" w14:textId="77777777" w:rsidR="00082007" w:rsidRDefault="00082007"/>
        </w:tc>
      </w:tr>
    </w:tbl>
    <w:p w14:paraId="2C5F9D42" w14:textId="77777777" w:rsidR="00082007" w:rsidRDefault="00082007"/>
    <w:p w14:paraId="6B20B4C1" w14:textId="77777777" w:rsidR="00082007" w:rsidRDefault="00000000">
      <w:pPr>
        <w:keepNext/>
        <w:pBdr>
          <w:bottom w:val="single" w:sz="8" w:space="4" w:color="0B1021"/>
        </w:pBdr>
        <w:spacing w:before="300" w:after="140"/>
      </w:pPr>
      <w:r>
        <w:rPr>
          <w:rFonts w:ascii="Consolas" w:eastAsia="Consolas" w:hAnsi="Consolas" w:cs="Consolas"/>
          <w:color w:val="B59655"/>
          <w:spacing w:val="20"/>
          <w:sz w:val="18"/>
          <w:szCs w:val="18"/>
        </w:rPr>
        <w:t xml:space="preserve">C   </w:t>
      </w:r>
      <w:r>
        <w:rPr>
          <w:rFonts w:ascii="Georgia" w:eastAsia="Georgia" w:hAnsi="Georgia" w:cs="Georgia"/>
          <w:b/>
          <w:bCs/>
          <w:color w:val="0B1021"/>
          <w:sz w:val="25"/>
          <w:szCs w:val="25"/>
        </w:rPr>
        <w:t>The test</w:t>
      </w:r>
    </w:p>
    <w:p w14:paraId="60C350C3"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C1</w:t>
      </w:r>
      <w:r>
        <w:rPr>
          <w:rFonts w:ascii="Consolas" w:eastAsia="Consolas" w:hAnsi="Consolas" w:cs="Consolas"/>
          <w:color w:val="8A93A6"/>
          <w:spacing w:val="20"/>
          <w:sz w:val="15"/>
          <w:szCs w:val="15"/>
        </w:rPr>
        <w:tab/>
      </w:r>
      <w:r>
        <w:rPr>
          <w:b/>
          <w:bCs/>
          <w:color w:val="0B1021"/>
        </w:rPr>
        <w:t>Twelve months</w:t>
      </w:r>
    </w:p>
    <w:p w14:paraId="3FFE4466" w14:textId="77777777" w:rsidR="00082007" w:rsidRDefault="00000000">
      <w:pPr>
        <w:keepNext/>
        <w:spacing w:after="60" w:line="252" w:lineRule="auto"/>
        <w:ind w:left="620"/>
      </w:pPr>
      <w:r>
        <w:rPr>
          <w:sz w:val="18"/>
          <w:szCs w:val="18"/>
        </w:rPr>
        <w:t>What would count as this having worked.</w:t>
      </w:r>
    </w:p>
    <w:p w14:paraId="1892C4B0"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Which named targets would hold a position, and at what size?</w:t>
      </w:r>
    </w:p>
    <w:p w14:paraId="5190604A"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By what date?</w:t>
      </w:r>
    </w:p>
    <w:p w14:paraId="2ACAD43F"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would a partial result look like, and would you call it success?</w:t>
      </w:r>
    </w:p>
    <w:p w14:paraId="423D34CD"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Who reads this answer at the end of the period?</w:t>
      </w:r>
    </w:p>
    <w:p w14:paraId="411F73FD"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2D0AAF14" w14:textId="77777777">
        <w:tblPrEx>
          <w:tblCellMar>
            <w:top w:w="0" w:type="dxa"/>
            <w:bottom w:w="0" w:type="dxa"/>
          </w:tblCellMar>
        </w:tblPrEx>
        <w:trPr>
          <w:cantSplit/>
          <w:trHeight w:val="1247"/>
        </w:trPr>
        <w:tc>
          <w:tcPr>
            <w:tcW w:w="8406" w:type="dxa"/>
            <w:shd w:val="clear" w:color="auto" w:fill="FAFBFD"/>
            <w:tcMar>
              <w:top w:w="80" w:type="dxa"/>
              <w:left w:w="140" w:type="dxa"/>
              <w:bottom w:w="80" w:type="dxa"/>
              <w:right w:w="140" w:type="dxa"/>
            </w:tcMar>
          </w:tcPr>
          <w:p w14:paraId="6EB190BE" w14:textId="77777777" w:rsidR="00082007" w:rsidRDefault="00082007"/>
        </w:tc>
      </w:tr>
    </w:tbl>
    <w:p w14:paraId="0DEB5508" w14:textId="77777777" w:rsidR="00082007" w:rsidRDefault="00082007"/>
    <w:p w14:paraId="1829C151"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C2</w:t>
      </w:r>
      <w:r>
        <w:rPr>
          <w:rFonts w:ascii="Consolas" w:eastAsia="Consolas" w:hAnsi="Consolas" w:cs="Consolas"/>
          <w:color w:val="8A93A6"/>
          <w:spacing w:val="20"/>
          <w:sz w:val="15"/>
          <w:szCs w:val="15"/>
        </w:rPr>
        <w:tab/>
      </w:r>
      <w:r>
        <w:rPr>
          <w:b/>
          <w:bCs/>
          <w:color w:val="0B1021"/>
        </w:rPr>
        <w:t>Leading indicator</w:t>
      </w:r>
    </w:p>
    <w:p w14:paraId="14E9F6C0" w14:textId="77777777" w:rsidR="00082007" w:rsidRDefault="00000000">
      <w:pPr>
        <w:keepNext/>
        <w:spacing w:after="60" w:line="252" w:lineRule="auto"/>
        <w:ind w:left="620"/>
      </w:pPr>
      <w:r>
        <w:rPr>
          <w:sz w:val="18"/>
          <w:szCs w:val="18"/>
        </w:rPr>
        <w:t>What you would see first, before any position appears.</w:t>
      </w:r>
    </w:p>
    <w:p w14:paraId="6EABF1AC" w14:textId="188F339C"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 xml:space="preserve">What behavior changes before money moves </w:t>
      </w:r>
      <w:r w:rsidR="00C7755C">
        <w:rPr>
          <w:color w:val="5A6377"/>
          <w:sz w:val="17"/>
          <w:szCs w:val="17"/>
        </w:rPr>
        <w:t>-</w:t>
      </w:r>
      <w:r>
        <w:rPr>
          <w:color w:val="5A6377"/>
          <w:sz w:val="17"/>
          <w:szCs w:val="17"/>
        </w:rPr>
        <w:t xml:space="preserve"> repeat meetings you did not request, model questions, a site visit, contact from a colleague at the same firm?</w:t>
      </w:r>
    </w:p>
    <w:p w14:paraId="55635017"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Which questions would tell you they are building a model rather than maintaining coverage?</w:t>
      </w:r>
    </w:p>
    <w:p w14:paraId="5E045EE4"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How will you record it, and who logs it?</w:t>
      </w:r>
    </w:p>
    <w:p w14:paraId="68B9372E"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How long before the absence of the indicator itself means something?</w:t>
      </w:r>
    </w:p>
    <w:p w14:paraId="2486BE33"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60D9FACD" w14:textId="77777777">
        <w:tblPrEx>
          <w:tblCellMar>
            <w:top w:w="0" w:type="dxa"/>
            <w:bottom w:w="0" w:type="dxa"/>
          </w:tblCellMar>
        </w:tblPrEx>
        <w:trPr>
          <w:cantSplit/>
          <w:trHeight w:val="1361"/>
        </w:trPr>
        <w:tc>
          <w:tcPr>
            <w:tcW w:w="8406" w:type="dxa"/>
            <w:shd w:val="clear" w:color="auto" w:fill="FAFBFD"/>
            <w:tcMar>
              <w:top w:w="80" w:type="dxa"/>
              <w:left w:w="140" w:type="dxa"/>
              <w:bottom w:w="80" w:type="dxa"/>
              <w:right w:w="140" w:type="dxa"/>
            </w:tcMar>
          </w:tcPr>
          <w:p w14:paraId="603B5FE0" w14:textId="77777777" w:rsidR="00082007" w:rsidRDefault="00082007"/>
        </w:tc>
      </w:tr>
    </w:tbl>
    <w:p w14:paraId="25776FED" w14:textId="77777777" w:rsidR="00082007" w:rsidRDefault="00082007"/>
    <w:p w14:paraId="720DAEB0"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C3</w:t>
      </w:r>
      <w:r>
        <w:rPr>
          <w:rFonts w:ascii="Consolas" w:eastAsia="Consolas" w:hAnsi="Consolas" w:cs="Consolas"/>
          <w:color w:val="8A93A6"/>
          <w:spacing w:val="20"/>
          <w:sz w:val="15"/>
          <w:szCs w:val="15"/>
        </w:rPr>
        <w:tab/>
      </w:r>
      <w:r>
        <w:rPr>
          <w:b/>
          <w:bCs/>
          <w:color w:val="0B1021"/>
        </w:rPr>
        <w:t>Stop rule</w:t>
      </w:r>
    </w:p>
    <w:p w14:paraId="11F37CBE" w14:textId="77777777" w:rsidR="00082007" w:rsidRDefault="00000000">
      <w:pPr>
        <w:keepNext/>
        <w:spacing w:after="60" w:line="252" w:lineRule="auto"/>
        <w:ind w:left="620"/>
      </w:pPr>
      <w:r>
        <w:rPr>
          <w:sz w:val="18"/>
          <w:szCs w:val="18"/>
        </w:rPr>
        <w:t>What would make you drop this target, and who decides.</w:t>
      </w:r>
    </w:p>
    <w:p w14:paraId="45054097"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After how many meetings with no movement do you stop?</w:t>
      </w:r>
    </w:p>
    <w:p w14:paraId="758BCA34" w14:textId="61F67E8F"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 xml:space="preserve">What counts as movement </w:t>
      </w:r>
      <w:r w:rsidR="00C7755C">
        <w:rPr>
          <w:color w:val="5A6377"/>
          <w:sz w:val="17"/>
          <w:szCs w:val="17"/>
        </w:rPr>
        <w:t>-</w:t>
      </w:r>
      <w:r>
        <w:rPr>
          <w:color w:val="5A6377"/>
          <w:sz w:val="17"/>
          <w:szCs w:val="17"/>
        </w:rPr>
        <w:t xml:space="preserve"> a model revision, a second-round question, an introduction to a colleague?</w:t>
      </w:r>
    </w:p>
    <w:p w14:paraId="0ED91592"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Who makes the call, and at which review is it made?</w:t>
      </w:r>
    </w:p>
    <w:p w14:paraId="391D2C13" w14:textId="77777777" w:rsidR="00082007" w:rsidRDefault="00000000">
      <w:pPr>
        <w:keepNext/>
        <w:tabs>
          <w:tab w:val="left" w:pos="900"/>
        </w:tabs>
        <w:spacing w:after="30"/>
        <w:ind w:left="900" w:hanging="280"/>
      </w:pPr>
      <w:r>
        <w:rPr>
          <w:color w:val="B59655"/>
          <w:sz w:val="17"/>
          <w:szCs w:val="17"/>
        </w:rPr>
        <w:t>-</w:t>
      </w:r>
      <w:r>
        <w:rPr>
          <w:color w:val="B59655"/>
          <w:sz w:val="17"/>
          <w:szCs w:val="17"/>
        </w:rPr>
        <w:tab/>
      </w:r>
      <w:r>
        <w:rPr>
          <w:color w:val="5A6377"/>
          <w:sz w:val="17"/>
          <w:szCs w:val="17"/>
        </w:rPr>
        <w:t>What happens to a dropped name: removed, or parked with a date to look again?</w:t>
      </w:r>
    </w:p>
    <w:p w14:paraId="2F30AAEC" w14:textId="77777777" w:rsidR="00082007" w:rsidRDefault="00082007">
      <w:pPr>
        <w:spacing w:after="40"/>
      </w:pP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71CAEDA1" w14:textId="77777777">
        <w:tblPrEx>
          <w:tblCellMar>
            <w:top w:w="0" w:type="dxa"/>
            <w:bottom w:w="0" w:type="dxa"/>
          </w:tblCellMar>
        </w:tblPrEx>
        <w:trPr>
          <w:cantSplit/>
          <w:trHeight w:val="1361"/>
        </w:trPr>
        <w:tc>
          <w:tcPr>
            <w:tcW w:w="8406" w:type="dxa"/>
            <w:shd w:val="clear" w:color="auto" w:fill="FAFBFD"/>
            <w:tcMar>
              <w:top w:w="80" w:type="dxa"/>
              <w:left w:w="140" w:type="dxa"/>
              <w:bottom w:w="80" w:type="dxa"/>
              <w:right w:w="140" w:type="dxa"/>
            </w:tcMar>
          </w:tcPr>
          <w:p w14:paraId="7919E74A" w14:textId="77777777" w:rsidR="00082007" w:rsidRDefault="00082007"/>
        </w:tc>
      </w:tr>
    </w:tbl>
    <w:p w14:paraId="110B1B1F" w14:textId="77777777" w:rsidR="00082007" w:rsidRDefault="00082007"/>
    <w:p w14:paraId="721C41CF" w14:textId="77777777" w:rsidR="00082007" w:rsidRDefault="00000000">
      <w:pPr>
        <w:keepNext/>
        <w:pBdr>
          <w:bottom w:val="single" w:sz="8" w:space="4" w:color="0B1021"/>
        </w:pBdr>
        <w:spacing w:before="300" w:after="140"/>
      </w:pPr>
      <w:r>
        <w:rPr>
          <w:rFonts w:ascii="Consolas" w:eastAsia="Consolas" w:hAnsi="Consolas" w:cs="Consolas"/>
          <w:color w:val="B59655"/>
          <w:spacing w:val="20"/>
          <w:sz w:val="18"/>
          <w:szCs w:val="18"/>
        </w:rPr>
        <w:t xml:space="preserve">D   </w:t>
      </w:r>
      <w:r>
        <w:rPr>
          <w:rFonts w:ascii="Georgia" w:eastAsia="Georgia" w:hAnsi="Georgia" w:cs="Georgia"/>
          <w:b/>
          <w:bCs/>
          <w:color w:val="0B1021"/>
          <w:sz w:val="25"/>
          <w:szCs w:val="25"/>
        </w:rPr>
        <w:t>Ownership of this brief</w:t>
      </w:r>
    </w:p>
    <w:p w14:paraId="4115A254" w14:textId="77777777" w:rsidR="00082007" w:rsidRDefault="00000000">
      <w:pPr>
        <w:keepNext/>
        <w:tabs>
          <w:tab w:val="left" w:pos="620"/>
        </w:tabs>
        <w:spacing w:before="240" w:after="60"/>
        <w:ind w:left="620" w:hanging="620"/>
      </w:pPr>
      <w:r>
        <w:rPr>
          <w:rFonts w:ascii="Consolas" w:eastAsia="Consolas" w:hAnsi="Consolas" w:cs="Consolas"/>
          <w:color w:val="8A93A6"/>
          <w:spacing w:val="20"/>
          <w:sz w:val="15"/>
          <w:szCs w:val="15"/>
        </w:rPr>
        <w:t>D1</w:t>
      </w:r>
      <w:r>
        <w:rPr>
          <w:rFonts w:ascii="Consolas" w:eastAsia="Consolas" w:hAnsi="Consolas" w:cs="Consolas"/>
          <w:color w:val="8A93A6"/>
          <w:spacing w:val="20"/>
          <w:sz w:val="15"/>
          <w:szCs w:val="15"/>
        </w:rPr>
        <w:tab/>
      </w:r>
      <w:r>
        <w:rPr>
          <w:b/>
          <w:bCs/>
          <w:color w:val="0B1021"/>
        </w:rPr>
        <w:t>Prepared by / date</w:t>
      </w: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284F7099" w14:textId="77777777">
        <w:tblPrEx>
          <w:tblCellMar>
            <w:top w:w="0" w:type="dxa"/>
            <w:bottom w:w="0" w:type="dxa"/>
          </w:tblCellMar>
        </w:tblPrEx>
        <w:trPr>
          <w:cantSplit/>
          <w:trHeight w:val="680"/>
        </w:trPr>
        <w:tc>
          <w:tcPr>
            <w:tcW w:w="8406" w:type="dxa"/>
            <w:shd w:val="clear" w:color="auto" w:fill="FAFBFD"/>
            <w:tcMar>
              <w:top w:w="80" w:type="dxa"/>
              <w:left w:w="140" w:type="dxa"/>
              <w:bottom w:w="80" w:type="dxa"/>
              <w:right w:w="140" w:type="dxa"/>
            </w:tcMar>
          </w:tcPr>
          <w:p w14:paraId="76013B5E" w14:textId="77777777" w:rsidR="00082007" w:rsidRDefault="00082007"/>
        </w:tc>
      </w:tr>
    </w:tbl>
    <w:p w14:paraId="0A9F6358" w14:textId="77777777" w:rsidR="00082007" w:rsidRDefault="00082007"/>
    <w:p w14:paraId="1FB2DE91" w14:textId="77777777" w:rsidR="00082007" w:rsidRDefault="00000000">
      <w:pPr>
        <w:keepNext/>
        <w:tabs>
          <w:tab w:val="left" w:pos="620"/>
        </w:tabs>
        <w:spacing w:before="240" w:after="60"/>
        <w:ind w:left="620" w:hanging="620"/>
      </w:pPr>
      <w:r>
        <w:rPr>
          <w:rFonts w:ascii="Consolas" w:eastAsia="Consolas" w:hAnsi="Consolas" w:cs="Consolas"/>
          <w:color w:val="8A93A6"/>
          <w:spacing w:val="20"/>
          <w:sz w:val="15"/>
          <w:szCs w:val="15"/>
        </w:rPr>
        <w:t>D2</w:t>
      </w:r>
      <w:r>
        <w:rPr>
          <w:rFonts w:ascii="Consolas" w:eastAsia="Consolas" w:hAnsi="Consolas" w:cs="Consolas"/>
          <w:color w:val="8A93A6"/>
          <w:spacing w:val="20"/>
          <w:sz w:val="15"/>
          <w:szCs w:val="15"/>
        </w:rPr>
        <w:tab/>
      </w:r>
      <w:r>
        <w:rPr>
          <w:b/>
          <w:bCs/>
          <w:color w:val="0B1021"/>
        </w:rPr>
        <w:t>Approved by / date</w:t>
      </w: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2AB6FA5F" w14:textId="77777777">
        <w:tblPrEx>
          <w:tblCellMar>
            <w:top w:w="0" w:type="dxa"/>
            <w:bottom w:w="0" w:type="dxa"/>
          </w:tblCellMar>
        </w:tblPrEx>
        <w:trPr>
          <w:cantSplit/>
          <w:trHeight w:val="680"/>
        </w:trPr>
        <w:tc>
          <w:tcPr>
            <w:tcW w:w="8406" w:type="dxa"/>
            <w:shd w:val="clear" w:color="auto" w:fill="FAFBFD"/>
            <w:tcMar>
              <w:top w:w="80" w:type="dxa"/>
              <w:left w:w="140" w:type="dxa"/>
              <w:bottom w:w="80" w:type="dxa"/>
              <w:right w:w="140" w:type="dxa"/>
            </w:tcMar>
          </w:tcPr>
          <w:p w14:paraId="2C1131F9" w14:textId="77777777" w:rsidR="00082007" w:rsidRDefault="00082007"/>
        </w:tc>
      </w:tr>
    </w:tbl>
    <w:p w14:paraId="48AFCAFB" w14:textId="77777777" w:rsidR="00082007" w:rsidRDefault="00082007"/>
    <w:p w14:paraId="1B0AC911"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D3</w:t>
      </w:r>
      <w:r>
        <w:rPr>
          <w:rFonts w:ascii="Consolas" w:eastAsia="Consolas" w:hAnsi="Consolas" w:cs="Consolas"/>
          <w:color w:val="8A93A6"/>
          <w:spacing w:val="20"/>
          <w:sz w:val="15"/>
          <w:szCs w:val="15"/>
        </w:rPr>
        <w:tab/>
      </w:r>
      <w:r>
        <w:rPr>
          <w:b/>
          <w:bCs/>
          <w:color w:val="0B1021"/>
        </w:rPr>
        <w:t>Source of the target list</w:t>
      </w:r>
    </w:p>
    <w:p w14:paraId="07D04867" w14:textId="77777777" w:rsidR="00082007" w:rsidRDefault="00000000">
      <w:pPr>
        <w:keepNext/>
        <w:spacing w:after="70" w:line="252" w:lineRule="auto"/>
        <w:ind w:left="620"/>
      </w:pPr>
      <w:r>
        <w:rPr>
          <w:sz w:val="18"/>
          <w:szCs w:val="18"/>
        </w:rPr>
        <w:t>Screen, broker, perception study, inbound, other.</w:t>
      </w: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40636D87" w14:textId="77777777">
        <w:tblPrEx>
          <w:tblCellMar>
            <w:top w:w="0" w:type="dxa"/>
            <w:bottom w:w="0" w:type="dxa"/>
          </w:tblCellMar>
        </w:tblPrEx>
        <w:trPr>
          <w:cantSplit/>
          <w:trHeight w:val="794"/>
        </w:trPr>
        <w:tc>
          <w:tcPr>
            <w:tcW w:w="8406" w:type="dxa"/>
            <w:shd w:val="clear" w:color="auto" w:fill="FAFBFD"/>
            <w:tcMar>
              <w:top w:w="80" w:type="dxa"/>
              <w:left w:w="140" w:type="dxa"/>
              <w:bottom w:w="80" w:type="dxa"/>
              <w:right w:w="140" w:type="dxa"/>
            </w:tcMar>
          </w:tcPr>
          <w:p w14:paraId="5C7645DF" w14:textId="77777777" w:rsidR="00082007" w:rsidRDefault="00082007"/>
        </w:tc>
      </w:tr>
    </w:tbl>
    <w:p w14:paraId="416DB500" w14:textId="77777777" w:rsidR="00082007" w:rsidRDefault="00082007"/>
    <w:p w14:paraId="28C59C7D" w14:textId="77777777" w:rsidR="00082007" w:rsidRDefault="00000000">
      <w:pPr>
        <w:keepNext/>
        <w:tabs>
          <w:tab w:val="left" w:pos="620"/>
        </w:tabs>
        <w:spacing w:before="240" w:after="30"/>
        <w:ind w:left="620" w:hanging="620"/>
      </w:pPr>
      <w:r>
        <w:rPr>
          <w:rFonts w:ascii="Consolas" w:eastAsia="Consolas" w:hAnsi="Consolas" w:cs="Consolas"/>
          <w:color w:val="8A93A6"/>
          <w:spacing w:val="20"/>
          <w:sz w:val="15"/>
          <w:szCs w:val="15"/>
        </w:rPr>
        <w:t>D4</w:t>
      </w:r>
      <w:r>
        <w:rPr>
          <w:rFonts w:ascii="Consolas" w:eastAsia="Consolas" w:hAnsi="Consolas" w:cs="Consolas"/>
          <w:color w:val="8A93A6"/>
          <w:spacing w:val="20"/>
          <w:sz w:val="15"/>
          <w:szCs w:val="15"/>
        </w:rPr>
        <w:tab/>
      </w:r>
      <w:r>
        <w:rPr>
          <w:b/>
          <w:bCs/>
          <w:color w:val="0B1021"/>
        </w:rPr>
        <w:t>Review date</w:t>
      </w:r>
    </w:p>
    <w:p w14:paraId="401138EF" w14:textId="77777777" w:rsidR="00082007" w:rsidRDefault="00000000">
      <w:pPr>
        <w:keepNext/>
        <w:spacing w:after="70" w:line="252" w:lineRule="auto"/>
        <w:ind w:left="620"/>
      </w:pPr>
      <w:r>
        <w:rPr>
          <w:sz w:val="18"/>
          <w:szCs w:val="18"/>
        </w:rPr>
        <w:t>When this brief gets re-read, not when the campaign ends.</w:t>
      </w:r>
    </w:p>
    <w:tbl>
      <w:tblPr>
        <w:tblW w:w="8406" w:type="dxa"/>
        <w:tblInd w:w="620" w:type="dxa"/>
        <w:tblBorders>
          <w:top w:val="single" w:sz="2" w:space="0" w:color="DCDFE8"/>
          <w:left w:val="single" w:sz="12" w:space="0" w:color="B59655"/>
          <w:bottom w:val="single" w:sz="2" w:space="0" w:color="DCDFE8"/>
          <w:right w:val="single" w:sz="2" w:space="0" w:color="DCDFE8"/>
        </w:tblBorders>
        <w:tblCellMar>
          <w:left w:w="10" w:type="dxa"/>
          <w:right w:w="10" w:type="dxa"/>
        </w:tblCellMar>
        <w:tblLook w:val="0000" w:firstRow="0" w:lastRow="0" w:firstColumn="0" w:lastColumn="0" w:noHBand="0" w:noVBand="0"/>
      </w:tblPr>
      <w:tblGrid>
        <w:gridCol w:w="8406"/>
      </w:tblGrid>
      <w:tr w:rsidR="00082007" w14:paraId="7EC51E42" w14:textId="77777777">
        <w:tblPrEx>
          <w:tblCellMar>
            <w:top w:w="0" w:type="dxa"/>
            <w:bottom w:w="0" w:type="dxa"/>
          </w:tblCellMar>
        </w:tblPrEx>
        <w:trPr>
          <w:cantSplit/>
          <w:trHeight w:val="680"/>
        </w:trPr>
        <w:tc>
          <w:tcPr>
            <w:tcW w:w="8406" w:type="dxa"/>
            <w:shd w:val="clear" w:color="auto" w:fill="FAFBFD"/>
            <w:tcMar>
              <w:top w:w="80" w:type="dxa"/>
              <w:left w:w="140" w:type="dxa"/>
              <w:bottom w:w="80" w:type="dxa"/>
              <w:right w:w="140" w:type="dxa"/>
            </w:tcMar>
          </w:tcPr>
          <w:p w14:paraId="6FC1F446" w14:textId="77777777" w:rsidR="00082007" w:rsidRDefault="00082007"/>
        </w:tc>
      </w:tr>
    </w:tbl>
    <w:p w14:paraId="6B26BB7E" w14:textId="77777777" w:rsidR="00082007" w:rsidRDefault="00082007"/>
    <w:p w14:paraId="47F3B1CE" w14:textId="77777777" w:rsidR="00082007" w:rsidRDefault="00000000">
      <w:r>
        <w:br w:type="page"/>
      </w:r>
    </w:p>
    <w:p w14:paraId="6AF90E5D" w14:textId="77777777" w:rsidR="00082007" w:rsidRDefault="00000000">
      <w:pPr>
        <w:pStyle w:val="Heading1"/>
        <w:pBdr>
          <w:top w:val="single" w:sz="12" w:space="8" w:color="0B1021"/>
        </w:pBdr>
        <w:spacing w:before="400" w:after="160"/>
      </w:pPr>
      <w:r>
        <w:rPr>
          <w:rFonts w:ascii="Georgia" w:eastAsia="Georgia" w:hAnsi="Georgia" w:cs="Georgia"/>
          <w:b/>
          <w:bCs/>
          <w:color w:val="0B1021"/>
          <w:sz w:val="30"/>
          <w:szCs w:val="30"/>
        </w:rPr>
        <w:lastRenderedPageBreak/>
        <w:t>What a weak answer looks like</w:t>
      </w:r>
    </w:p>
    <w:p w14:paraId="6FA90084" w14:textId="77777777" w:rsidR="00082007" w:rsidRDefault="00000000">
      <w:pPr>
        <w:spacing w:after="180" w:line="276" w:lineRule="auto"/>
      </w:pPr>
      <w:r>
        <w:rPr>
          <w:color w:val="5A6377"/>
          <w:sz w:val="19"/>
          <w:szCs w:val="19"/>
        </w:rPr>
        <w:t>Ten fields, ten ways to fill one in without deciding anything. These are the versions to catch in review.</w:t>
      </w:r>
    </w:p>
    <w:tbl>
      <w:tblPr>
        <w:tblW w:w="9026" w:type="dxa"/>
        <w:tblBorders>
          <w:insideH w:val="single" w:sz="2" w:space="0" w:color="DCDFE8"/>
        </w:tblBorders>
        <w:tblCellMar>
          <w:left w:w="10" w:type="dxa"/>
          <w:right w:w="10" w:type="dxa"/>
        </w:tblCellMar>
        <w:tblLook w:val="0000" w:firstRow="0" w:lastRow="0" w:firstColumn="0" w:lastColumn="0" w:noHBand="0" w:noVBand="0"/>
      </w:tblPr>
      <w:tblGrid>
        <w:gridCol w:w="700"/>
        <w:gridCol w:w="3200"/>
        <w:gridCol w:w="5126"/>
      </w:tblGrid>
      <w:tr w:rsidR="00082007" w14:paraId="51DC9D9B" w14:textId="77777777">
        <w:tblPrEx>
          <w:tblCellMar>
            <w:top w:w="0" w:type="dxa"/>
            <w:bottom w:w="0" w:type="dxa"/>
          </w:tblCellMar>
        </w:tblPrEx>
        <w:trPr>
          <w:cantSplit/>
        </w:trPr>
        <w:tc>
          <w:tcPr>
            <w:tcW w:w="700" w:type="dxa"/>
            <w:tcMar>
              <w:top w:w="100" w:type="dxa"/>
              <w:left w:w="0" w:type="dxa"/>
              <w:bottom w:w="100" w:type="dxa"/>
              <w:right w:w="80" w:type="dxa"/>
            </w:tcMar>
          </w:tcPr>
          <w:p w14:paraId="4185B62C" w14:textId="77777777" w:rsidR="00082007" w:rsidRDefault="00000000">
            <w:r>
              <w:rPr>
                <w:rFonts w:ascii="Consolas" w:eastAsia="Consolas" w:hAnsi="Consolas" w:cs="Consolas"/>
                <w:color w:val="B59655"/>
                <w:spacing w:val="20"/>
                <w:sz w:val="15"/>
                <w:szCs w:val="15"/>
              </w:rPr>
              <w:t>A1</w:t>
            </w:r>
          </w:p>
        </w:tc>
        <w:tc>
          <w:tcPr>
            <w:tcW w:w="3200" w:type="dxa"/>
            <w:tcMar>
              <w:top w:w="100" w:type="dxa"/>
              <w:left w:w="0" w:type="dxa"/>
              <w:bottom w:w="100" w:type="dxa"/>
              <w:right w:w="120" w:type="dxa"/>
            </w:tcMar>
          </w:tcPr>
          <w:p w14:paraId="41AA9751" w14:textId="77777777" w:rsidR="00082007" w:rsidRDefault="00000000">
            <w:pPr>
              <w:spacing w:line="252" w:lineRule="auto"/>
            </w:pPr>
            <w:r>
              <w:rPr>
                <w:color w:val="8C3A3A"/>
                <w:sz w:val="18"/>
                <w:szCs w:val="18"/>
              </w:rPr>
              <w:t>"Long-only institutions in Europe."</w:t>
            </w:r>
          </w:p>
        </w:tc>
        <w:tc>
          <w:tcPr>
            <w:tcW w:w="5126" w:type="dxa"/>
            <w:tcMar>
              <w:top w:w="100" w:type="dxa"/>
              <w:left w:w="0" w:type="dxa"/>
              <w:bottom w:w="100" w:type="dxa"/>
              <w:right w:w="0" w:type="dxa"/>
            </w:tcMar>
          </w:tcPr>
          <w:p w14:paraId="487BD664" w14:textId="77777777" w:rsidR="00082007" w:rsidRDefault="00000000">
            <w:pPr>
              <w:spacing w:line="252" w:lineRule="auto"/>
            </w:pPr>
            <w:r>
              <w:rPr>
                <w:color w:val="5A6377"/>
                <w:sz w:val="18"/>
                <w:szCs w:val="18"/>
              </w:rPr>
              <w:t>That is a category, not a profile. It will return four hundred names and you will work the first twenty alphabetically.</w:t>
            </w:r>
          </w:p>
        </w:tc>
      </w:tr>
      <w:tr w:rsidR="00082007" w14:paraId="1B10934D" w14:textId="77777777">
        <w:tblPrEx>
          <w:tblCellMar>
            <w:top w:w="0" w:type="dxa"/>
            <w:bottom w:w="0" w:type="dxa"/>
          </w:tblCellMar>
        </w:tblPrEx>
        <w:trPr>
          <w:cantSplit/>
        </w:trPr>
        <w:tc>
          <w:tcPr>
            <w:tcW w:w="700" w:type="dxa"/>
            <w:tcMar>
              <w:top w:w="100" w:type="dxa"/>
              <w:left w:w="0" w:type="dxa"/>
              <w:bottom w:w="100" w:type="dxa"/>
              <w:right w:w="80" w:type="dxa"/>
            </w:tcMar>
          </w:tcPr>
          <w:p w14:paraId="17973700" w14:textId="77777777" w:rsidR="00082007" w:rsidRDefault="00000000">
            <w:r>
              <w:rPr>
                <w:rFonts w:ascii="Consolas" w:eastAsia="Consolas" w:hAnsi="Consolas" w:cs="Consolas"/>
                <w:color w:val="B59655"/>
                <w:spacing w:val="20"/>
                <w:sz w:val="15"/>
                <w:szCs w:val="15"/>
              </w:rPr>
              <w:t>A2</w:t>
            </w:r>
          </w:p>
        </w:tc>
        <w:tc>
          <w:tcPr>
            <w:tcW w:w="3200" w:type="dxa"/>
            <w:tcMar>
              <w:top w:w="100" w:type="dxa"/>
              <w:left w:w="0" w:type="dxa"/>
              <w:bottom w:w="100" w:type="dxa"/>
              <w:right w:w="120" w:type="dxa"/>
            </w:tcMar>
          </w:tcPr>
          <w:p w14:paraId="1F25BFDD" w14:textId="77777777" w:rsidR="00082007" w:rsidRDefault="00000000">
            <w:pPr>
              <w:spacing w:line="252" w:lineRule="auto"/>
            </w:pPr>
            <w:r>
              <w:rPr>
                <w:color w:val="8C3A3A"/>
                <w:sz w:val="18"/>
                <w:szCs w:val="18"/>
              </w:rPr>
              <w:t>"Strong fundamentals and an attractive valuation."</w:t>
            </w:r>
          </w:p>
        </w:tc>
        <w:tc>
          <w:tcPr>
            <w:tcW w:w="5126" w:type="dxa"/>
            <w:tcMar>
              <w:top w:w="100" w:type="dxa"/>
              <w:left w:w="0" w:type="dxa"/>
              <w:bottom w:w="100" w:type="dxa"/>
              <w:right w:w="0" w:type="dxa"/>
            </w:tcMar>
          </w:tcPr>
          <w:p w14:paraId="063E31FE" w14:textId="77777777" w:rsidR="00082007" w:rsidRDefault="00000000">
            <w:pPr>
              <w:spacing w:line="252" w:lineRule="auto"/>
            </w:pPr>
            <w:r>
              <w:rPr>
                <w:color w:val="5A6377"/>
                <w:sz w:val="18"/>
                <w:szCs w:val="18"/>
              </w:rPr>
              <w:t>True of every company that has ever written a brief. If nothing changed, the honest answer is that this is a maintenance campaign, and it should be labeled one.</w:t>
            </w:r>
          </w:p>
        </w:tc>
      </w:tr>
      <w:tr w:rsidR="00082007" w14:paraId="3C7455FF" w14:textId="77777777">
        <w:tblPrEx>
          <w:tblCellMar>
            <w:top w:w="0" w:type="dxa"/>
            <w:bottom w:w="0" w:type="dxa"/>
          </w:tblCellMar>
        </w:tblPrEx>
        <w:trPr>
          <w:cantSplit/>
        </w:trPr>
        <w:tc>
          <w:tcPr>
            <w:tcW w:w="700" w:type="dxa"/>
            <w:tcMar>
              <w:top w:w="100" w:type="dxa"/>
              <w:left w:w="0" w:type="dxa"/>
              <w:bottom w:w="100" w:type="dxa"/>
              <w:right w:w="80" w:type="dxa"/>
            </w:tcMar>
          </w:tcPr>
          <w:p w14:paraId="65EFA306" w14:textId="77777777" w:rsidR="00082007" w:rsidRDefault="00000000">
            <w:r>
              <w:rPr>
                <w:rFonts w:ascii="Consolas" w:eastAsia="Consolas" w:hAnsi="Consolas" w:cs="Consolas"/>
                <w:color w:val="B59655"/>
                <w:spacing w:val="20"/>
                <w:sz w:val="15"/>
                <w:szCs w:val="15"/>
              </w:rPr>
              <w:t>A3</w:t>
            </w:r>
          </w:p>
        </w:tc>
        <w:tc>
          <w:tcPr>
            <w:tcW w:w="3200" w:type="dxa"/>
            <w:tcMar>
              <w:top w:w="100" w:type="dxa"/>
              <w:left w:w="0" w:type="dxa"/>
              <w:bottom w:w="100" w:type="dxa"/>
              <w:right w:w="120" w:type="dxa"/>
            </w:tcMar>
          </w:tcPr>
          <w:p w14:paraId="354E03E8" w14:textId="77777777" w:rsidR="00082007" w:rsidRDefault="00000000">
            <w:pPr>
              <w:spacing w:line="252" w:lineRule="auto"/>
            </w:pPr>
            <w:r>
              <w:rPr>
                <w:color w:val="8C3A3A"/>
                <w:sz w:val="18"/>
                <w:szCs w:val="18"/>
              </w:rPr>
              <w:t>Left blank - or days of volume with no participation rate.</w:t>
            </w:r>
          </w:p>
        </w:tc>
        <w:tc>
          <w:tcPr>
            <w:tcW w:w="5126" w:type="dxa"/>
            <w:tcMar>
              <w:top w:w="100" w:type="dxa"/>
              <w:left w:w="0" w:type="dxa"/>
              <w:bottom w:w="100" w:type="dxa"/>
              <w:right w:w="0" w:type="dxa"/>
            </w:tcMar>
          </w:tcPr>
          <w:p w14:paraId="0CF8B63F" w14:textId="77777777" w:rsidR="00082007" w:rsidRDefault="00000000">
            <w:pPr>
              <w:spacing w:line="252" w:lineRule="auto"/>
            </w:pPr>
            <w:r>
              <w:rPr>
                <w:color w:val="5A6377"/>
                <w:sz w:val="18"/>
                <w:szCs w:val="18"/>
              </w:rPr>
              <w:t>The most common single cause of a wasted targeting year. Raw days of volume understates the build time several times over, because no institution trades a whole day's volume. A fund that cannot build a position that matters to it will take the meeting and do nothing.</w:t>
            </w:r>
          </w:p>
        </w:tc>
      </w:tr>
      <w:tr w:rsidR="00082007" w14:paraId="3CAE524D" w14:textId="77777777">
        <w:tblPrEx>
          <w:tblCellMar>
            <w:top w:w="0" w:type="dxa"/>
            <w:bottom w:w="0" w:type="dxa"/>
          </w:tblCellMar>
        </w:tblPrEx>
        <w:trPr>
          <w:cantSplit/>
        </w:trPr>
        <w:tc>
          <w:tcPr>
            <w:tcW w:w="700" w:type="dxa"/>
            <w:tcMar>
              <w:top w:w="100" w:type="dxa"/>
              <w:left w:w="0" w:type="dxa"/>
              <w:bottom w:w="100" w:type="dxa"/>
              <w:right w:w="80" w:type="dxa"/>
            </w:tcMar>
          </w:tcPr>
          <w:p w14:paraId="5613D993" w14:textId="77777777" w:rsidR="00082007" w:rsidRDefault="00000000">
            <w:r>
              <w:rPr>
                <w:rFonts w:ascii="Consolas" w:eastAsia="Consolas" w:hAnsi="Consolas" w:cs="Consolas"/>
                <w:color w:val="B59655"/>
                <w:spacing w:val="20"/>
                <w:sz w:val="15"/>
                <w:szCs w:val="15"/>
              </w:rPr>
              <w:t>A4</w:t>
            </w:r>
          </w:p>
        </w:tc>
        <w:tc>
          <w:tcPr>
            <w:tcW w:w="3200" w:type="dxa"/>
            <w:tcMar>
              <w:top w:w="100" w:type="dxa"/>
              <w:left w:w="0" w:type="dxa"/>
              <w:bottom w:w="100" w:type="dxa"/>
              <w:right w:w="120" w:type="dxa"/>
            </w:tcMar>
          </w:tcPr>
          <w:p w14:paraId="528EB03F" w14:textId="77777777" w:rsidR="00082007" w:rsidRDefault="00000000">
            <w:pPr>
              <w:spacing w:line="252" w:lineRule="auto"/>
            </w:pPr>
            <w:r>
              <w:rPr>
                <w:color w:val="8C3A3A"/>
                <w:sz w:val="18"/>
                <w:szCs w:val="18"/>
              </w:rPr>
              <w:t>"None - we will talk to anyone."</w:t>
            </w:r>
          </w:p>
        </w:tc>
        <w:tc>
          <w:tcPr>
            <w:tcW w:w="5126" w:type="dxa"/>
            <w:tcMar>
              <w:top w:w="100" w:type="dxa"/>
              <w:left w:w="0" w:type="dxa"/>
              <w:bottom w:w="100" w:type="dxa"/>
              <w:right w:w="0" w:type="dxa"/>
            </w:tcMar>
          </w:tcPr>
          <w:p w14:paraId="470C448B" w14:textId="77777777" w:rsidR="00082007" w:rsidRDefault="00000000">
            <w:pPr>
              <w:spacing w:line="252" w:lineRule="auto"/>
            </w:pPr>
            <w:r>
              <w:rPr>
                <w:color w:val="5A6377"/>
                <w:sz w:val="18"/>
                <w:szCs w:val="18"/>
              </w:rPr>
              <w:t>A list with no disqualifiers has not been thought about. Three is the minimum and they should cost you something.</w:t>
            </w:r>
          </w:p>
        </w:tc>
      </w:tr>
      <w:tr w:rsidR="00082007" w14:paraId="4F8F27F1" w14:textId="77777777">
        <w:tblPrEx>
          <w:tblCellMar>
            <w:top w:w="0" w:type="dxa"/>
            <w:bottom w:w="0" w:type="dxa"/>
          </w:tblCellMar>
        </w:tblPrEx>
        <w:trPr>
          <w:cantSplit/>
        </w:trPr>
        <w:tc>
          <w:tcPr>
            <w:tcW w:w="700" w:type="dxa"/>
            <w:tcMar>
              <w:top w:w="100" w:type="dxa"/>
              <w:left w:w="0" w:type="dxa"/>
              <w:bottom w:w="100" w:type="dxa"/>
              <w:right w:w="80" w:type="dxa"/>
            </w:tcMar>
          </w:tcPr>
          <w:p w14:paraId="06982A98" w14:textId="77777777" w:rsidR="00082007" w:rsidRDefault="00000000">
            <w:r>
              <w:rPr>
                <w:rFonts w:ascii="Consolas" w:eastAsia="Consolas" w:hAnsi="Consolas" w:cs="Consolas"/>
                <w:color w:val="B59655"/>
                <w:spacing w:val="20"/>
                <w:sz w:val="15"/>
                <w:szCs w:val="15"/>
              </w:rPr>
              <w:t>B1</w:t>
            </w:r>
          </w:p>
        </w:tc>
        <w:tc>
          <w:tcPr>
            <w:tcW w:w="3200" w:type="dxa"/>
            <w:tcMar>
              <w:top w:w="100" w:type="dxa"/>
              <w:left w:w="0" w:type="dxa"/>
              <w:bottom w:w="100" w:type="dxa"/>
              <w:right w:w="120" w:type="dxa"/>
            </w:tcMar>
          </w:tcPr>
          <w:p w14:paraId="16A6BBCC" w14:textId="77777777" w:rsidR="00082007" w:rsidRDefault="00000000">
            <w:pPr>
              <w:spacing w:line="252" w:lineRule="auto"/>
            </w:pPr>
            <w:r>
              <w:rPr>
                <w:color w:val="8C3A3A"/>
                <w:sz w:val="18"/>
                <w:szCs w:val="18"/>
              </w:rPr>
              <w:t>Five things.</w:t>
            </w:r>
          </w:p>
        </w:tc>
        <w:tc>
          <w:tcPr>
            <w:tcW w:w="5126" w:type="dxa"/>
            <w:tcMar>
              <w:top w:w="100" w:type="dxa"/>
              <w:left w:w="0" w:type="dxa"/>
              <w:bottom w:w="100" w:type="dxa"/>
              <w:right w:w="0" w:type="dxa"/>
            </w:tcMar>
          </w:tcPr>
          <w:p w14:paraId="157F4BE4" w14:textId="77777777" w:rsidR="00082007" w:rsidRDefault="00000000">
            <w:pPr>
              <w:spacing w:line="252" w:lineRule="auto"/>
            </w:pPr>
            <w:r>
              <w:rPr>
                <w:color w:val="5A6377"/>
                <w:sz w:val="18"/>
                <w:szCs w:val="18"/>
              </w:rPr>
              <w:t>Five things is zero things. If the fourth will not go, the first three are not clear enough yet.</w:t>
            </w:r>
          </w:p>
        </w:tc>
      </w:tr>
      <w:tr w:rsidR="00082007" w14:paraId="76ED13C6" w14:textId="77777777">
        <w:tblPrEx>
          <w:tblCellMar>
            <w:top w:w="0" w:type="dxa"/>
            <w:bottom w:w="0" w:type="dxa"/>
          </w:tblCellMar>
        </w:tblPrEx>
        <w:trPr>
          <w:cantSplit/>
        </w:trPr>
        <w:tc>
          <w:tcPr>
            <w:tcW w:w="700" w:type="dxa"/>
            <w:tcMar>
              <w:top w:w="100" w:type="dxa"/>
              <w:left w:w="0" w:type="dxa"/>
              <w:bottom w:w="100" w:type="dxa"/>
              <w:right w:w="80" w:type="dxa"/>
            </w:tcMar>
          </w:tcPr>
          <w:p w14:paraId="41FC38A5" w14:textId="77777777" w:rsidR="00082007" w:rsidRDefault="00000000">
            <w:r>
              <w:rPr>
                <w:rFonts w:ascii="Consolas" w:eastAsia="Consolas" w:hAnsi="Consolas" w:cs="Consolas"/>
                <w:color w:val="B59655"/>
                <w:spacing w:val="20"/>
                <w:sz w:val="15"/>
                <w:szCs w:val="15"/>
              </w:rPr>
              <w:t>B2</w:t>
            </w:r>
          </w:p>
        </w:tc>
        <w:tc>
          <w:tcPr>
            <w:tcW w:w="3200" w:type="dxa"/>
            <w:tcMar>
              <w:top w:w="100" w:type="dxa"/>
              <w:left w:w="0" w:type="dxa"/>
              <w:bottom w:w="100" w:type="dxa"/>
              <w:right w:w="120" w:type="dxa"/>
            </w:tcMar>
          </w:tcPr>
          <w:p w14:paraId="0415E198" w14:textId="77777777" w:rsidR="00082007" w:rsidRDefault="00000000">
            <w:pPr>
              <w:spacing w:line="252" w:lineRule="auto"/>
            </w:pPr>
            <w:r>
              <w:rPr>
                <w:color w:val="8C3A3A"/>
                <w:sz w:val="18"/>
                <w:szCs w:val="18"/>
              </w:rPr>
              <w:t>A number that has not yet been disclosed.</w:t>
            </w:r>
          </w:p>
        </w:tc>
        <w:tc>
          <w:tcPr>
            <w:tcW w:w="5126" w:type="dxa"/>
            <w:tcMar>
              <w:top w:w="100" w:type="dxa"/>
              <w:left w:w="0" w:type="dxa"/>
              <w:bottom w:w="100" w:type="dxa"/>
              <w:right w:w="0" w:type="dxa"/>
            </w:tcMar>
          </w:tcPr>
          <w:p w14:paraId="567C3AEA" w14:textId="77777777" w:rsidR="00082007" w:rsidRDefault="00000000">
            <w:pPr>
              <w:spacing w:line="252" w:lineRule="auto"/>
            </w:pPr>
            <w:r>
              <w:rPr>
                <w:color w:val="5A6377"/>
                <w:sz w:val="18"/>
                <w:szCs w:val="18"/>
              </w:rPr>
              <w:t>Stop. Either it is published before the campaign starts or it is not in the message.</w:t>
            </w:r>
          </w:p>
        </w:tc>
      </w:tr>
      <w:tr w:rsidR="00082007" w14:paraId="5D6B8828" w14:textId="77777777">
        <w:tblPrEx>
          <w:tblCellMar>
            <w:top w:w="0" w:type="dxa"/>
            <w:bottom w:w="0" w:type="dxa"/>
          </w:tblCellMar>
        </w:tblPrEx>
        <w:trPr>
          <w:cantSplit/>
        </w:trPr>
        <w:tc>
          <w:tcPr>
            <w:tcW w:w="700" w:type="dxa"/>
            <w:tcMar>
              <w:top w:w="100" w:type="dxa"/>
              <w:left w:w="0" w:type="dxa"/>
              <w:bottom w:w="100" w:type="dxa"/>
              <w:right w:w="80" w:type="dxa"/>
            </w:tcMar>
          </w:tcPr>
          <w:p w14:paraId="001C7AEF" w14:textId="77777777" w:rsidR="00082007" w:rsidRDefault="00000000">
            <w:r>
              <w:rPr>
                <w:rFonts w:ascii="Consolas" w:eastAsia="Consolas" w:hAnsi="Consolas" w:cs="Consolas"/>
                <w:color w:val="B59655"/>
                <w:spacing w:val="20"/>
                <w:sz w:val="15"/>
                <w:szCs w:val="15"/>
              </w:rPr>
              <w:t>B3</w:t>
            </w:r>
          </w:p>
        </w:tc>
        <w:tc>
          <w:tcPr>
            <w:tcW w:w="3200" w:type="dxa"/>
            <w:tcMar>
              <w:top w:w="100" w:type="dxa"/>
              <w:left w:w="0" w:type="dxa"/>
              <w:bottom w:w="100" w:type="dxa"/>
              <w:right w:w="120" w:type="dxa"/>
            </w:tcMar>
          </w:tcPr>
          <w:p w14:paraId="5FA4DACB" w14:textId="77777777" w:rsidR="00082007" w:rsidRDefault="00000000">
            <w:pPr>
              <w:spacing w:line="252" w:lineRule="auto"/>
            </w:pPr>
            <w:r>
              <w:rPr>
                <w:color w:val="8C3A3A"/>
                <w:sz w:val="18"/>
                <w:szCs w:val="18"/>
              </w:rPr>
              <w:t>An objection you already have a comfortable answer to.</w:t>
            </w:r>
          </w:p>
        </w:tc>
        <w:tc>
          <w:tcPr>
            <w:tcW w:w="5126" w:type="dxa"/>
            <w:tcMar>
              <w:top w:w="100" w:type="dxa"/>
              <w:left w:w="0" w:type="dxa"/>
              <w:bottom w:w="100" w:type="dxa"/>
              <w:right w:w="0" w:type="dxa"/>
            </w:tcMar>
          </w:tcPr>
          <w:p w14:paraId="526A91E3" w14:textId="77777777" w:rsidR="00082007" w:rsidRDefault="00000000">
            <w:pPr>
              <w:spacing w:line="252" w:lineRule="auto"/>
            </w:pPr>
            <w:r>
              <w:rPr>
                <w:color w:val="5A6377"/>
                <w:sz w:val="18"/>
                <w:szCs w:val="18"/>
              </w:rPr>
              <w:t>If answering it is comfortable, it is not the objection. Write the one you hope they do not ask.</w:t>
            </w:r>
          </w:p>
        </w:tc>
      </w:tr>
      <w:tr w:rsidR="00082007" w14:paraId="748A216A" w14:textId="77777777">
        <w:tblPrEx>
          <w:tblCellMar>
            <w:top w:w="0" w:type="dxa"/>
            <w:bottom w:w="0" w:type="dxa"/>
          </w:tblCellMar>
        </w:tblPrEx>
        <w:trPr>
          <w:cantSplit/>
        </w:trPr>
        <w:tc>
          <w:tcPr>
            <w:tcW w:w="700" w:type="dxa"/>
            <w:tcMar>
              <w:top w:w="100" w:type="dxa"/>
              <w:left w:w="0" w:type="dxa"/>
              <w:bottom w:w="100" w:type="dxa"/>
              <w:right w:w="80" w:type="dxa"/>
            </w:tcMar>
          </w:tcPr>
          <w:p w14:paraId="01534672" w14:textId="77777777" w:rsidR="00082007" w:rsidRDefault="00000000">
            <w:r>
              <w:rPr>
                <w:rFonts w:ascii="Consolas" w:eastAsia="Consolas" w:hAnsi="Consolas" w:cs="Consolas"/>
                <w:color w:val="B59655"/>
                <w:spacing w:val="20"/>
                <w:sz w:val="15"/>
                <w:szCs w:val="15"/>
              </w:rPr>
              <w:t>C1</w:t>
            </w:r>
          </w:p>
        </w:tc>
        <w:tc>
          <w:tcPr>
            <w:tcW w:w="3200" w:type="dxa"/>
            <w:tcMar>
              <w:top w:w="100" w:type="dxa"/>
              <w:left w:w="0" w:type="dxa"/>
              <w:bottom w:w="100" w:type="dxa"/>
              <w:right w:w="120" w:type="dxa"/>
            </w:tcMar>
          </w:tcPr>
          <w:p w14:paraId="72C223B5" w14:textId="77777777" w:rsidR="00082007" w:rsidRDefault="00000000">
            <w:pPr>
              <w:spacing w:line="252" w:lineRule="auto"/>
            </w:pPr>
            <w:r>
              <w:rPr>
                <w:color w:val="8C3A3A"/>
                <w:sz w:val="18"/>
                <w:szCs w:val="18"/>
              </w:rPr>
              <w:t>"Increased awareness among target investors."</w:t>
            </w:r>
          </w:p>
        </w:tc>
        <w:tc>
          <w:tcPr>
            <w:tcW w:w="5126" w:type="dxa"/>
            <w:tcMar>
              <w:top w:w="100" w:type="dxa"/>
              <w:left w:w="0" w:type="dxa"/>
              <w:bottom w:w="100" w:type="dxa"/>
              <w:right w:w="0" w:type="dxa"/>
            </w:tcMar>
          </w:tcPr>
          <w:p w14:paraId="1CE0BB9C" w14:textId="77777777" w:rsidR="00082007" w:rsidRDefault="00000000">
            <w:pPr>
              <w:spacing w:line="252" w:lineRule="auto"/>
            </w:pPr>
            <w:r>
              <w:rPr>
                <w:color w:val="5A6377"/>
                <w:sz w:val="18"/>
                <w:szCs w:val="18"/>
              </w:rPr>
              <w:t>Unfalsifiable, which is why it gets written. Name the holder, the size and the date, and accept that you may miss.</w:t>
            </w:r>
          </w:p>
        </w:tc>
      </w:tr>
      <w:tr w:rsidR="00082007" w14:paraId="2668BF73" w14:textId="77777777">
        <w:tblPrEx>
          <w:tblCellMar>
            <w:top w:w="0" w:type="dxa"/>
            <w:bottom w:w="0" w:type="dxa"/>
          </w:tblCellMar>
        </w:tblPrEx>
        <w:trPr>
          <w:cantSplit/>
        </w:trPr>
        <w:tc>
          <w:tcPr>
            <w:tcW w:w="700" w:type="dxa"/>
            <w:tcMar>
              <w:top w:w="100" w:type="dxa"/>
              <w:left w:w="0" w:type="dxa"/>
              <w:bottom w:w="100" w:type="dxa"/>
              <w:right w:w="80" w:type="dxa"/>
            </w:tcMar>
          </w:tcPr>
          <w:p w14:paraId="7230E63A" w14:textId="77777777" w:rsidR="00082007" w:rsidRDefault="00000000">
            <w:r>
              <w:rPr>
                <w:rFonts w:ascii="Consolas" w:eastAsia="Consolas" w:hAnsi="Consolas" w:cs="Consolas"/>
                <w:color w:val="B59655"/>
                <w:spacing w:val="20"/>
                <w:sz w:val="15"/>
                <w:szCs w:val="15"/>
              </w:rPr>
              <w:t>C2</w:t>
            </w:r>
          </w:p>
        </w:tc>
        <w:tc>
          <w:tcPr>
            <w:tcW w:w="3200" w:type="dxa"/>
            <w:tcMar>
              <w:top w:w="100" w:type="dxa"/>
              <w:left w:w="0" w:type="dxa"/>
              <w:bottom w:w="100" w:type="dxa"/>
              <w:right w:w="120" w:type="dxa"/>
            </w:tcMar>
          </w:tcPr>
          <w:p w14:paraId="58FD2FB0" w14:textId="77777777" w:rsidR="00082007" w:rsidRDefault="00000000">
            <w:pPr>
              <w:spacing w:line="252" w:lineRule="auto"/>
            </w:pPr>
            <w:r>
              <w:rPr>
                <w:color w:val="8C3A3A"/>
                <w:sz w:val="18"/>
                <w:szCs w:val="18"/>
              </w:rPr>
              <w:t>Left blank.</w:t>
            </w:r>
          </w:p>
        </w:tc>
        <w:tc>
          <w:tcPr>
            <w:tcW w:w="5126" w:type="dxa"/>
            <w:tcMar>
              <w:top w:w="100" w:type="dxa"/>
              <w:left w:w="0" w:type="dxa"/>
              <w:bottom w:w="100" w:type="dxa"/>
              <w:right w:w="0" w:type="dxa"/>
            </w:tcMar>
          </w:tcPr>
          <w:p w14:paraId="041B4D15" w14:textId="77777777" w:rsidR="00082007" w:rsidRDefault="00000000">
            <w:pPr>
              <w:spacing w:line="252" w:lineRule="auto"/>
            </w:pPr>
            <w:r>
              <w:rPr>
                <w:color w:val="5A6377"/>
                <w:sz w:val="18"/>
                <w:szCs w:val="18"/>
              </w:rPr>
              <w:t>Positions appear late. Without a leading indicator you will not know whether to persist or stop until the year is over.</w:t>
            </w:r>
          </w:p>
        </w:tc>
      </w:tr>
      <w:tr w:rsidR="00082007" w14:paraId="0EDF38DD" w14:textId="77777777">
        <w:tblPrEx>
          <w:tblCellMar>
            <w:top w:w="0" w:type="dxa"/>
            <w:bottom w:w="0" w:type="dxa"/>
          </w:tblCellMar>
        </w:tblPrEx>
        <w:trPr>
          <w:cantSplit/>
        </w:trPr>
        <w:tc>
          <w:tcPr>
            <w:tcW w:w="700" w:type="dxa"/>
            <w:tcMar>
              <w:top w:w="100" w:type="dxa"/>
              <w:left w:w="0" w:type="dxa"/>
              <w:bottom w:w="100" w:type="dxa"/>
              <w:right w:w="80" w:type="dxa"/>
            </w:tcMar>
          </w:tcPr>
          <w:p w14:paraId="1B8567AF" w14:textId="77777777" w:rsidR="00082007" w:rsidRDefault="00000000">
            <w:r>
              <w:rPr>
                <w:rFonts w:ascii="Consolas" w:eastAsia="Consolas" w:hAnsi="Consolas" w:cs="Consolas"/>
                <w:color w:val="B59655"/>
                <w:spacing w:val="20"/>
                <w:sz w:val="15"/>
                <w:szCs w:val="15"/>
              </w:rPr>
              <w:t>C3</w:t>
            </w:r>
          </w:p>
        </w:tc>
        <w:tc>
          <w:tcPr>
            <w:tcW w:w="3200" w:type="dxa"/>
            <w:tcMar>
              <w:top w:w="100" w:type="dxa"/>
              <w:left w:w="0" w:type="dxa"/>
              <w:bottom w:w="100" w:type="dxa"/>
              <w:right w:w="120" w:type="dxa"/>
            </w:tcMar>
          </w:tcPr>
          <w:p w14:paraId="67E7744C" w14:textId="77777777" w:rsidR="00082007" w:rsidRDefault="00000000">
            <w:pPr>
              <w:spacing w:line="252" w:lineRule="auto"/>
            </w:pPr>
            <w:r>
              <w:rPr>
                <w:color w:val="8C3A3A"/>
                <w:sz w:val="18"/>
                <w:szCs w:val="18"/>
              </w:rPr>
              <w:t>No stop rule.</w:t>
            </w:r>
          </w:p>
        </w:tc>
        <w:tc>
          <w:tcPr>
            <w:tcW w:w="5126" w:type="dxa"/>
            <w:tcMar>
              <w:top w:w="100" w:type="dxa"/>
              <w:left w:w="0" w:type="dxa"/>
              <w:bottom w:w="100" w:type="dxa"/>
              <w:right w:w="0" w:type="dxa"/>
            </w:tcMar>
          </w:tcPr>
          <w:p w14:paraId="35656BA4" w14:textId="77777777" w:rsidR="00082007" w:rsidRDefault="00000000">
            <w:pPr>
              <w:spacing w:line="252" w:lineRule="auto"/>
            </w:pPr>
            <w:r>
              <w:rPr>
                <w:color w:val="5A6377"/>
                <w:sz w:val="18"/>
                <w:szCs w:val="18"/>
              </w:rPr>
              <w:t>This is why target lists only ever grow. Without one, names carry forward for years on the strength of having been on the list last year.</w:t>
            </w:r>
          </w:p>
        </w:tc>
      </w:tr>
    </w:tbl>
    <w:p w14:paraId="2495384D" w14:textId="77777777" w:rsidR="00082007" w:rsidRDefault="00000000">
      <w:r>
        <w:br w:type="page"/>
      </w:r>
    </w:p>
    <w:p w14:paraId="0B9D966D" w14:textId="77777777" w:rsidR="00082007" w:rsidRDefault="00000000">
      <w:pPr>
        <w:pStyle w:val="Heading1"/>
        <w:pBdr>
          <w:top w:val="single" w:sz="12" w:space="8" w:color="0B1021"/>
        </w:pBdr>
        <w:spacing w:before="400" w:after="160"/>
      </w:pPr>
      <w:r>
        <w:rPr>
          <w:rFonts w:ascii="Georgia" w:eastAsia="Georgia" w:hAnsi="Georgia" w:cs="Georgia"/>
          <w:b/>
          <w:bCs/>
          <w:color w:val="0B1021"/>
          <w:sz w:val="30"/>
          <w:szCs w:val="30"/>
        </w:rPr>
        <w:lastRenderedPageBreak/>
        <w:t>A completed brief</w:t>
      </w:r>
    </w:p>
    <w:p w14:paraId="37A08CC5" w14:textId="77777777" w:rsidR="00082007" w:rsidRDefault="00000000">
      <w:pPr>
        <w:spacing w:after="180" w:line="276" w:lineRule="auto"/>
      </w:pPr>
      <w:r>
        <w:rPr>
          <w:color w:val="5A6377"/>
          <w:sz w:val="19"/>
          <w:szCs w:val="19"/>
        </w:rPr>
        <w:t>Northvale Industrial is a fictional company, used here to show the level of specificity each field needs. The numbers are invented.</w:t>
      </w:r>
    </w:p>
    <w:p w14:paraId="25452BBF"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A1</w:t>
      </w:r>
      <w:r>
        <w:rPr>
          <w:rFonts w:ascii="Consolas" w:eastAsia="Consolas" w:hAnsi="Consolas" w:cs="Consolas"/>
          <w:color w:val="B59655"/>
          <w:spacing w:val="20"/>
          <w:sz w:val="15"/>
          <w:szCs w:val="15"/>
        </w:rPr>
        <w:tab/>
      </w:r>
      <w:r>
        <w:rPr>
          <w:b/>
          <w:bCs/>
          <w:color w:val="0B1021"/>
          <w:sz w:val="19"/>
          <w:szCs w:val="19"/>
        </w:rPr>
        <w:t>Ideal holder profile</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09278663"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69AC117B" w14:textId="77777777" w:rsidR="00082007" w:rsidRDefault="00000000">
            <w:pPr>
              <w:spacing w:line="264" w:lineRule="auto"/>
            </w:pPr>
            <w:r>
              <w:rPr>
                <w:sz w:val="18"/>
                <w:szCs w:val="18"/>
              </w:rPr>
              <w:t>GARP and quality-growth managers, three to five year horizon, typical position 0.8-1.5% of a €500m-€3bn fund, pan-European or Europe ex-UK mandates, benchmark-aware but not index-constrained. Not sector specialists - our story is margin mix, not end-market.</w:t>
            </w:r>
          </w:p>
        </w:tc>
      </w:tr>
    </w:tbl>
    <w:p w14:paraId="4C5B2A41"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A2</w:t>
      </w:r>
      <w:r>
        <w:rPr>
          <w:rFonts w:ascii="Consolas" w:eastAsia="Consolas" w:hAnsi="Consolas" w:cs="Consolas"/>
          <w:color w:val="B59655"/>
          <w:spacing w:val="20"/>
          <w:sz w:val="15"/>
          <w:szCs w:val="15"/>
        </w:rPr>
        <w:tab/>
      </w:r>
      <w:r>
        <w:rPr>
          <w:b/>
          <w:bCs/>
          <w:color w:val="0B1021"/>
          <w:sz w:val="19"/>
          <w:szCs w:val="19"/>
        </w:rPr>
        <w:t>Why now</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6347B4D7"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6070D27B" w14:textId="77777777" w:rsidR="00082007" w:rsidRDefault="00000000">
            <w:pPr>
              <w:spacing w:line="264" w:lineRule="auto"/>
            </w:pPr>
            <w:r>
              <w:rPr>
                <w:sz w:val="18"/>
                <w:szCs w:val="18"/>
              </w:rPr>
              <w:t>Service contracts passed 40% of revenue at H1, from 28% two years ago. This is the first year the recurring line is large enough to change how the business should be valued.</w:t>
            </w:r>
          </w:p>
        </w:tc>
      </w:tr>
    </w:tbl>
    <w:p w14:paraId="50F1751F"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A3</w:t>
      </w:r>
      <w:r>
        <w:rPr>
          <w:rFonts w:ascii="Consolas" w:eastAsia="Consolas" w:hAnsi="Consolas" w:cs="Consolas"/>
          <w:color w:val="B59655"/>
          <w:spacing w:val="20"/>
          <w:sz w:val="15"/>
          <w:szCs w:val="15"/>
        </w:rPr>
        <w:tab/>
      </w:r>
      <w:r>
        <w:rPr>
          <w:b/>
          <w:bCs/>
          <w:color w:val="0B1021"/>
          <w:sz w:val="19"/>
          <w:szCs w:val="19"/>
        </w:rPr>
        <w:t>Capacity check</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24054516"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5A26F802" w14:textId="74E91D12" w:rsidR="00082007" w:rsidRDefault="00000000">
            <w:pPr>
              <w:spacing w:line="264" w:lineRule="auto"/>
            </w:pPr>
            <w:r>
              <w:rPr>
                <w:sz w:val="18"/>
                <w:szCs w:val="18"/>
              </w:rPr>
              <w:t xml:space="preserve">A 1% position in a €1bn fund is €10m. Our three-month average daily traded value is €2.4m. At a 20% participation rate </w:t>
            </w:r>
            <w:r w:rsidR="00C7755C">
              <w:rPr>
                <w:sz w:val="18"/>
                <w:szCs w:val="18"/>
              </w:rPr>
              <w:t>-</w:t>
            </w:r>
            <w:r>
              <w:rPr>
                <w:sz w:val="18"/>
                <w:szCs w:val="18"/>
              </w:rPr>
              <w:t xml:space="preserve"> what a manager of this type would trade without moving us </w:t>
            </w:r>
            <w:r w:rsidR="00C7755C">
              <w:rPr>
                <w:sz w:val="18"/>
                <w:szCs w:val="18"/>
              </w:rPr>
              <w:t>-</w:t>
            </w:r>
            <w:r>
              <w:rPr>
                <w:sz w:val="18"/>
                <w:szCs w:val="18"/>
              </w:rPr>
              <w:t xml:space="preserve"> that is €480k a day, so roughly 21 trading days to build, about a month. The position is 1.3% of our €780m free float, which is comfortable on the way in and on the way out. At €3bn of fund AUM the same 1% weighting takes about three months to build and longer to exit, so €3bn is our ceiling.</w:t>
            </w:r>
          </w:p>
        </w:tc>
      </w:tr>
    </w:tbl>
    <w:p w14:paraId="79382718"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A4</w:t>
      </w:r>
      <w:r>
        <w:rPr>
          <w:rFonts w:ascii="Consolas" w:eastAsia="Consolas" w:hAnsi="Consolas" w:cs="Consolas"/>
          <w:color w:val="B59655"/>
          <w:spacing w:val="20"/>
          <w:sz w:val="15"/>
          <w:szCs w:val="15"/>
        </w:rPr>
        <w:tab/>
      </w:r>
      <w:r>
        <w:rPr>
          <w:b/>
          <w:bCs/>
          <w:color w:val="0B1021"/>
          <w:sz w:val="19"/>
          <w:szCs w:val="19"/>
        </w:rPr>
        <w:t>Disqualifiers</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1F9AFE13"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7A40B635" w14:textId="4C382513" w:rsidR="00082007" w:rsidRDefault="00000000">
            <w:pPr>
              <w:spacing w:line="264" w:lineRule="auto"/>
            </w:pPr>
            <w:r>
              <w:rPr>
                <w:sz w:val="18"/>
                <w:szCs w:val="18"/>
              </w:rPr>
              <w:t xml:space="preserve">1. Funds above €3bn AUM </w:t>
            </w:r>
            <w:r w:rsidR="00C7755C">
              <w:rPr>
                <w:sz w:val="18"/>
                <w:szCs w:val="18"/>
              </w:rPr>
              <w:t>-</w:t>
            </w:r>
            <w:r>
              <w:rPr>
                <w:sz w:val="18"/>
                <w:szCs w:val="18"/>
              </w:rPr>
              <w:t xml:space="preserve"> capacity, see A3. 2. Momentum and short-horizon quant </w:t>
            </w:r>
            <w:r w:rsidR="00C7755C">
              <w:rPr>
                <w:sz w:val="18"/>
                <w:szCs w:val="18"/>
              </w:rPr>
              <w:t>-</w:t>
            </w:r>
            <w:r>
              <w:rPr>
                <w:sz w:val="18"/>
                <w:szCs w:val="18"/>
              </w:rPr>
              <w:t xml:space="preserve"> our liquidity punishes them and they punish us. 3. Deep-value screens </w:t>
            </w:r>
            <w:r w:rsidR="00C7755C">
              <w:rPr>
                <w:sz w:val="18"/>
                <w:szCs w:val="18"/>
              </w:rPr>
              <w:t>-</w:t>
            </w:r>
            <w:r>
              <w:rPr>
                <w:sz w:val="18"/>
                <w:szCs w:val="18"/>
              </w:rPr>
              <w:t xml:space="preserve"> we screen expensive on trailing earnings and will while the mix shifts. 4. US funds without European custody </w:t>
            </w:r>
            <w:r w:rsidR="00C7755C">
              <w:rPr>
                <w:sz w:val="18"/>
                <w:szCs w:val="18"/>
              </w:rPr>
              <w:t>-</w:t>
            </w:r>
            <w:r>
              <w:rPr>
                <w:sz w:val="18"/>
                <w:szCs w:val="18"/>
              </w:rPr>
              <w:t xml:space="preserve"> conversion rate has been zero over three years.</w:t>
            </w:r>
          </w:p>
        </w:tc>
      </w:tr>
    </w:tbl>
    <w:p w14:paraId="1811EB42"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B1</w:t>
      </w:r>
      <w:r>
        <w:rPr>
          <w:rFonts w:ascii="Consolas" w:eastAsia="Consolas" w:hAnsi="Consolas" w:cs="Consolas"/>
          <w:color w:val="B59655"/>
          <w:spacing w:val="20"/>
          <w:sz w:val="15"/>
          <w:szCs w:val="15"/>
        </w:rPr>
        <w:tab/>
      </w:r>
      <w:r>
        <w:rPr>
          <w:b/>
          <w:bCs/>
          <w:color w:val="0B1021"/>
          <w:sz w:val="19"/>
          <w:szCs w:val="19"/>
        </w:rPr>
        <w:t>The three things</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42D4ABBC"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027AF9FA" w14:textId="77777777" w:rsidR="00082007" w:rsidRDefault="00000000">
            <w:pPr>
              <w:spacing w:line="264" w:lineRule="auto"/>
            </w:pPr>
            <w:r>
              <w:rPr>
                <w:sz w:val="18"/>
                <w:szCs w:val="18"/>
              </w:rPr>
              <w:t>1. Recurring revenue is 40% of the top line and growing faster than equipment. 2. Service gross margin is 2.4 times equipment margin, so mix is the earnings story. 3. Capital intensity falls as the mix shifts, and we have said what we will do with the cash.</w:t>
            </w:r>
          </w:p>
        </w:tc>
      </w:tr>
    </w:tbl>
    <w:p w14:paraId="73CD22D0"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B2</w:t>
      </w:r>
      <w:r>
        <w:rPr>
          <w:rFonts w:ascii="Consolas" w:eastAsia="Consolas" w:hAnsi="Consolas" w:cs="Consolas"/>
          <w:color w:val="B59655"/>
          <w:spacing w:val="20"/>
          <w:sz w:val="15"/>
          <w:szCs w:val="15"/>
        </w:rPr>
        <w:tab/>
      </w:r>
      <w:r>
        <w:rPr>
          <w:b/>
          <w:bCs/>
          <w:color w:val="0B1021"/>
          <w:sz w:val="19"/>
          <w:szCs w:val="19"/>
        </w:rPr>
        <w:t>Proof</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435A3231"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1FBD7C67" w14:textId="0F09DA47" w:rsidR="00082007" w:rsidRDefault="00000000">
            <w:pPr>
              <w:spacing w:line="264" w:lineRule="auto"/>
            </w:pPr>
            <w:r>
              <w:rPr>
                <w:sz w:val="18"/>
                <w:szCs w:val="18"/>
              </w:rPr>
              <w:t xml:space="preserve">40% and 2.4x </w:t>
            </w:r>
            <w:r w:rsidR="00C7755C">
              <w:rPr>
                <w:sz w:val="18"/>
                <w:szCs w:val="18"/>
              </w:rPr>
              <w:t>-</w:t>
            </w:r>
            <w:r>
              <w:rPr>
                <w:sz w:val="18"/>
                <w:szCs w:val="18"/>
              </w:rPr>
              <w:t xml:space="preserve"> H1 2026 results, segment note 4. Capital intensity and use of cash </w:t>
            </w:r>
            <w:r w:rsidR="00C7755C">
              <w:rPr>
                <w:sz w:val="18"/>
                <w:szCs w:val="18"/>
              </w:rPr>
              <w:t>-</w:t>
            </w:r>
            <w:r>
              <w:rPr>
                <w:sz w:val="18"/>
                <w:szCs w:val="18"/>
              </w:rPr>
              <w:t xml:space="preserve"> FY26 outlook statement, page 12. Nothing in the message is undisclosed.</w:t>
            </w:r>
          </w:p>
        </w:tc>
      </w:tr>
    </w:tbl>
    <w:p w14:paraId="7644532B"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B3</w:t>
      </w:r>
      <w:r>
        <w:rPr>
          <w:rFonts w:ascii="Consolas" w:eastAsia="Consolas" w:hAnsi="Consolas" w:cs="Consolas"/>
          <w:color w:val="B59655"/>
          <w:spacing w:val="20"/>
          <w:sz w:val="15"/>
          <w:szCs w:val="15"/>
        </w:rPr>
        <w:tab/>
      </w:r>
      <w:r>
        <w:rPr>
          <w:b/>
          <w:bCs/>
          <w:color w:val="0B1021"/>
          <w:sz w:val="19"/>
          <w:szCs w:val="19"/>
        </w:rPr>
        <w:t>The objection</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0F6FD713"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3637A2DD" w14:textId="77777777" w:rsidR="00082007" w:rsidRDefault="00000000">
            <w:pPr>
              <w:spacing w:line="264" w:lineRule="auto"/>
            </w:pPr>
            <w:r>
              <w:rPr>
                <w:sz w:val="18"/>
                <w:szCs w:val="18"/>
              </w:rPr>
              <w:t>"Service growth is just the installed base aging, and it flattens when equipment sales slow." Our answer: attach rate on new units is 71% against 44% five years ago, which is disclosed, and that is a commercial change rather than a demographic one. We have not published the cohort data that would settle it. That is our gap and we should say so.</w:t>
            </w:r>
          </w:p>
        </w:tc>
      </w:tr>
    </w:tbl>
    <w:p w14:paraId="509A9EC3"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C1</w:t>
      </w:r>
      <w:r>
        <w:rPr>
          <w:rFonts w:ascii="Consolas" w:eastAsia="Consolas" w:hAnsi="Consolas" w:cs="Consolas"/>
          <w:color w:val="B59655"/>
          <w:spacing w:val="20"/>
          <w:sz w:val="15"/>
          <w:szCs w:val="15"/>
        </w:rPr>
        <w:tab/>
      </w:r>
      <w:r>
        <w:rPr>
          <w:b/>
          <w:bCs/>
          <w:color w:val="0B1021"/>
          <w:sz w:val="19"/>
          <w:szCs w:val="19"/>
        </w:rPr>
        <w:t>Twelve months</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0992039D"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56C974C8" w14:textId="77777777" w:rsidR="00082007" w:rsidRDefault="00000000">
            <w:pPr>
              <w:spacing w:line="264" w:lineRule="auto"/>
            </w:pPr>
            <w:r>
              <w:rPr>
                <w:sz w:val="18"/>
                <w:szCs w:val="18"/>
              </w:rPr>
              <w:t>Two of the eight named targets holding a position by Q3 2027, at least one above 0.5%. Named holders, not "a new institutional shareholder".</w:t>
            </w:r>
          </w:p>
        </w:tc>
      </w:tr>
    </w:tbl>
    <w:p w14:paraId="41A1412D"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t>C2</w:t>
      </w:r>
      <w:r>
        <w:rPr>
          <w:rFonts w:ascii="Consolas" w:eastAsia="Consolas" w:hAnsi="Consolas" w:cs="Consolas"/>
          <w:color w:val="B59655"/>
          <w:spacing w:val="20"/>
          <w:sz w:val="15"/>
          <w:szCs w:val="15"/>
        </w:rPr>
        <w:tab/>
      </w:r>
      <w:r>
        <w:rPr>
          <w:b/>
          <w:bCs/>
          <w:color w:val="0B1021"/>
          <w:sz w:val="19"/>
          <w:szCs w:val="19"/>
        </w:rPr>
        <w:t>Leading indicator</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6E721790"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624E3C74" w14:textId="77777777" w:rsidR="00082007" w:rsidRDefault="00000000">
            <w:pPr>
              <w:spacing w:line="264" w:lineRule="auto"/>
            </w:pPr>
            <w:r>
              <w:rPr>
                <w:sz w:val="18"/>
                <w:szCs w:val="18"/>
              </w:rPr>
              <w:t>Repeat meetings we did not request, and model questions moving from equipment volumes to service attach rate.</w:t>
            </w:r>
          </w:p>
        </w:tc>
      </w:tr>
    </w:tbl>
    <w:p w14:paraId="29FEDEF5" w14:textId="77777777" w:rsidR="00082007" w:rsidRDefault="00000000">
      <w:pPr>
        <w:keepNext/>
        <w:tabs>
          <w:tab w:val="left" w:pos="620"/>
        </w:tabs>
        <w:spacing w:before="200" w:after="50"/>
        <w:ind w:left="620" w:hanging="620"/>
      </w:pPr>
      <w:r>
        <w:rPr>
          <w:rFonts w:ascii="Consolas" w:eastAsia="Consolas" w:hAnsi="Consolas" w:cs="Consolas"/>
          <w:color w:val="B59655"/>
          <w:spacing w:val="20"/>
          <w:sz w:val="15"/>
          <w:szCs w:val="15"/>
        </w:rPr>
        <w:lastRenderedPageBreak/>
        <w:t>C3</w:t>
      </w:r>
      <w:r>
        <w:rPr>
          <w:rFonts w:ascii="Consolas" w:eastAsia="Consolas" w:hAnsi="Consolas" w:cs="Consolas"/>
          <w:color w:val="B59655"/>
          <w:spacing w:val="20"/>
          <w:sz w:val="15"/>
          <w:szCs w:val="15"/>
        </w:rPr>
        <w:tab/>
      </w:r>
      <w:r>
        <w:rPr>
          <w:b/>
          <w:bCs/>
          <w:color w:val="0B1021"/>
          <w:sz w:val="19"/>
          <w:szCs w:val="19"/>
        </w:rPr>
        <w:t>Stop rule</w:t>
      </w:r>
    </w:p>
    <w:tbl>
      <w:tblPr>
        <w:tblW w:w="8406" w:type="dxa"/>
        <w:tblInd w:w="620" w:type="dxa"/>
        <w:tblBorders>
          <w:left w:val="single" w:sz="8" w:space="0" w:color="DCDFE8"/>
        </w:tblBorders>
        <w:tblCellMar>
          <w:left w:w="10" w:type="dxa"/>
          <w:right w:w="10" w:type="dxa"/>
        </w:tblCellMar>
        <w:tblLook w:val="0000" w:firstRow="0" w:lastRow="0" w:firstColumn="0" w:lastColumn="0" w:noHBand="0" w:noVBand="0"/>
      </w:tblPr>
      <w:tblGrid>
        <w:gridCol w:w="8406"/>
      </w:tblGrid>
      <w:tr w:rsidR="00082007" w14:paraId="1A8B656C" w14:textId="77777777">
        <w:tblPrEx>
          <w:tblCellMar>
            <w:top w:w="0" w:type="dxa"/>
            <w:bottom w:w="0" w:type="dxa"/>
          </w:tblCellMar>
        </w:tblPrEx>
        <w:trPr>
          <w:cantSplit/>
        </w:trPr>
        <w:tc>
          <w:tcPr>
            <w:tcW w:w="8406" w:type="dxa"/>
            <w:shd w:val="clear" w:color="auto" w:fill="F7F8FB"/>
            <w:tcMar>
              <w:top w:w="110" w:type="dxa"/>
              <w:left w:w="160" w:type="dxa"/>
              <w:bottom w:w="110" w:type="dxa"/>
              <w:right w:w="160" w:type="dxa"/>
            </w:tcMar>
          </w:tcPr>
          <w:p w14:paraId="31BC295B" w14:textId="77777777" w:rsidR="00082007" w:rsidRDefault="00000000">
            <w:pPr>
              <w:spacing w:line="264" w:lineRule="auto"/>
            </w:pPr>
            <w:r>
              <w:rPr>
                <w:sz w:val="18"/>
                <w:szCs w:val="18"/>
              </w:rPr>
              <w:t>Drop a target after three meetings with no model revision and no second-round question. The IR head decides at the quarterly review. No target carries past two reviews without a written reason.</w:t>
            </w:r>
          </w:p>
        </w:tc>
      </w:tr>
    </w:tbl>
    <w:p w14:paraId="70BEA025" w14:textId="77777777" w:rsidR="00082007" w:rsidRDefault="00000000">
      <w:pPr>
        <w:pStyle w:val="Heading1"/>
        <w:pBdr>
          <w:top w:val="single" w:sz="12" w:space="8" w:color="0B1021"/>
        </w:pBdr>
        <w:spacing w:before="400" w:after="160"/>
      </w:pPr>
      <w:r>
        <w:rPr>
          <w:rFonts w:ascii="Georgia" w:eastAsia="Georgia" w:hAnsi="Georgia" w:cs="Georgia"/>
          <w:b/>
          <w:bCs/>
          <w:color w:val="0B1021"/>
          <w:sz w:val="30"/>
          <w:szCs w:val="30"/>
        </w:rPr>
        <w:t>Using it well</w:t>
      </w:r>
    </w:p>
    <w:p w14:paraId="5C12A952" w14:textId="77777777" w:rsidR="00082007" w:rsidRDefault="00000000">
      <w:pPr>
        <w:spacing w:after="140" w:line="276" w:lineRule="auto"/>
      </w:pPr>
      <w:r>
        <w:t>Two habits decide whether this brief changes anything.</w:t>
      </w:r>
    </w:p>
    <w:p w14:paraId="52F68E9F" w14:textId="77777777" w:rsidR="00082007" w:rsidRDefault="00000000">
      <w:pPr>
        <w:pStyle w:val="ListParagraph"/>
        <w:numPr>
          <w:ilvl w:val="0"/>
          <w:numId w:val="1"/>
        </w:numPr>
        <w:spacing w:after="120" w:line="276" w:lineRule="auto"/>
      </w:pPr>
      <w:r>
        <w:rPr>
          <w:b/>
          <w:bCs/>
          <w:color w:val="B59655"/>
        </w:rPr>
        <w:t xml:space="preserve">Complete it before the screen, not after. </w:t>
      </w:r>
      <w:r>
        <w:t>A brief written to justify a list you already have is a summary. Written first, it is a filter, and it is the filter that saves the quarter.</w:t>
      </w:r>
    </w:p>
    <w:p w14:paraId="57CA4FD0" w14:textId="77777777" w:rsidR="00082007" w:rsidRDefault="00000000">
      <w:pPr>
        <w:pStyle w:val="ListParagraph"/>
        <w:numPr>
          <w:ilvl w:val="0"/>
          <w:numId w:val="1"/>
        </w:numPr>
        <w:spacing w:after="120" w:line="276" w:lineRule="auto"/>
      </w:pPr>
      <w:r>
        <w:rPr>
          <w:b/>
          <w:bCs/>
          <w:color w:val="B59655"/>
        </w:rPr>
        <w:t xml:space="preserve">Read it again at the review. </w:t>
      </w:r>
      <w:r>
        <w:t>Field C3 only works if someone opens the brief and applies it. Put the review date in the calendar when you write it, not when the campaign ends.</w:t>
      </w:r>
    </w:p>
    <w:p w14:paraId="0764C78A" w14:textId="77777777" w:rsidR="00082007" w:rsidRDefault="00000000">
      <w:pPr>
        <w:spacing w:after="320" w:line="276" w:lineRule="auto"/>
      </w:pPr>
      <w:r>
        <w:t>One brief covers one campaign and one investor profile. If you are pursuing two profiles, that is two briefs, and the disqualifiers on each should exclude the other.</w:t>
      </w:r>
    </w:p>
    <w:p w14:paraId="4047BEF7" w14:textId="77777777" w:rsidR="00082007" w:rsidRDefault="00000000">
      <w:pPr>
        <w:pBdr>
          <w:top w:val="single" w:sz="4" w:space="8" w:color="DCDFE8"/>
        </w:pBdr>
        <w:spacing w:before="200" w:line="264" w:lineRule="auto"/>
      </w:pPr>
      <w:r>
        <w:rPr>
          <w:color w:val="8A93A6"/>
          <w:sz w:val="16"/>
          <w:szCs w:val="16"/>
        </w:rPr>
        <w:t>Müge Yücel IR Advisory - investor relations advisory, training and speaking. This brief is provided for professional use and is not legal, financial or disclosure advice. Nothing in a completed brief should contain undisclosed information.  mugeyucel.com</w:t>
      </w:r>
    </w:p>
    <w:sectPr w:rsidR="00082007">
      <w:footerReference w:type="default" r:id="rId7"/>
      <w:head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357C" w14:textId="77777777" w:rsidR="00175A0A" w:rsidRDefault="00175A0A">
      <w:r>
        <w:separator/>
      </w:r>
    </w:p>
  </w:endnote>
  <w:endnote w:type="continuationSeparator" w:id="0">
    <w:p w14:paraId="59C93664" w14:textId="77777777" w:rsidR="00175A0A" w:rsidRDefault="00175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BC338" w14:textId="77777777" w:rsidR="00082007" w:rsidRDefault="00000000">
    <w:pPr>
      <w:pBdr>
        <w:top w:val="single" w:sz="2" w:space="6" w:color="DCDFE8"/>
      </w:pBdr>
      <w:tabs>
        <w:tab w:val="right" w:pos="9026"/>
      </w:tabs>
    </w:pPr>
    <w:r>
      <w:rPr>
        <w:rFonts w:ascii="Consolas" w:eastAsia="Consolas" w:hAnsi="Consolas" w:cs="Consolas"/>
        <w:color w:val="8A93A6"/>
        <w:sz w:val="13"/>
        <w:szCs w:val="13"/>
      </w:rPr>
      <w:t>The Investor Targeting Brief  ·  Müge Yücel IR Advisory</w:t>
    </w:r>
    <w:r>
      <w:rPr>
        <w:rFonts w:ascii="Consolas" w:eastAsia="Consolas" w:hAnsi="Consolas" w:cs="Consolas"/>
        <w:color w:val="8A93A6"/>
        <w:sz w:val="13"/>
        <w:szCs w:val="13"/>
      </w:rPr>
      <w:tab/>
      <w:t xml:space="preserve">v1.0 · September 2026   </w:t>
    </w:r>
    <w:r>
      <w:rPr>
        <w:rFonts w:ascii="Consolas" w:eastAsia="Consolas" w:hAnsi="Consolas" w:cs="Consolas"/>
        <w:color w:val="8A93A6"/>
        <w:sz w:val="13"/>
        <w:szCs w:val="13"/>
      </w:rPr>
      <w:fldChar w:fldCharType="begin"/>
    </w:r>
    <w:r>
      <w:rPr>
        <w:rFonts w:ascii="Consolas" w:eastAsia="Consolas" w:hAnsi="Consolas" w:cs="Consolas"/>
        <w:color w:val="8A93A6"/>
        <w:sz w:val="13"/>
        <w:szCs w:val="13"/>
      </w:rPr>
      <w:instrText>PAGE</w:instrText>
    </w:r>
    <w:r>
      <w:rPr>
        <w:rFonts w:ascii="Consolas" w:eastAsia="Consolas" w:hAnsi="Consolas" w:cs="Consolas"/>
        <w:color w:val="8A93A6"/>
        <w:sz w:val="13"/>
        <w:szCs w:val="13"/>
      </w:rPr>
      <w:fldChar w:fldCharType="separate"/>
    </w:r>
    <w:r w:rsidR="00C7755C">
      <w:rPr>
        <w:rFonts w:ascii="Consolas" w:eastAsia="Consolas" w:hAnsi="Consolas" w:cs="Consolas"/>
        <w:noProof/>
        <w:color w:val="8A93A6"/>
        <w:sz w:val="13"/>
        <w:szCs w:val="13"/>
      </w:rPr>
      <w:t>1</w:t>
    </w:r>
    <w:r>
      <w:rPr>
        <w:rFonts w:ascii="Consolas" w:eastAsia="Consolas" w:hAnsi="Consolas" w:cs="Consolas"/>
        <w:color w:val="8A93A6"/>
        <w:sz w:val="13"/>
        <w:szCs w:val="13"/>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E567C" w14:textId="77777777" w:rsidR="00175A0A" w:rsidRDefault="00175A0A">
      <w:r>
        <w:separator/>
      </w:r>
    </w:p>
  </w:footnote>
  <w:footnote w:type="continuationSeparator" w:id="0">
    <w:p w14:paraId="2A00EEC7" w14:textId="77777777" w:rsidR="00175A0A" w:rsidRDefault="00175A0A">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F7748"/>
    <w:multiLevelType w:val="hybridMultilevel"/>
    <w:tmpl w:val="9C10B65E"/>
    <w:lvl w:ilvl="0" w:tplc="E5301CE8">
      <w:start w:val="1"/>
      <w:numFmt w:val="bullet"/>
      <w:lvlText w:val="●"/>
      <w:lvlJc w:val="left"/>
      <w:pPr>
        <w:ind w:left="720" w:hanging="360"/>
      </w:pPr>
    </w:lvl>
    <w:lvl w:ilvl="1" w:tplc="72EE9F24">
      <w:start w:val="1"/>
      <w:numFmt w:val="bullet"/>
      <w:lvlText w:val="○"/>
      <w:lvlJc w:val="left"/>
      <w:pPr>
        <w:ind w:left="1440" w:hanging="360"/>
      </w:pPr>
    </w:lvl>
    <w:lvl w:ilvl="2" w:tplc="90AA379E">
      <w:start w:val="1"/>
      <w:numFmt w:val="bullet"/>
      <w:lvlText w:val="■"/>
      <w:lvlJc w:val="left"/>
      <w:pPr>
        <w:ind w:left="2160" w:hanging="360"/>
      </w:pPr>
    </w:lvl>
    <w:lvl w:ilvl="3" w:tplc="296EED42">
      <w:start w:val="1"/>
      <w:numFmt w:val="bullet"/>
      <w:lvlText w:val="●"/>
      <w:lvlJc w:val="left"/>
      <w:pPr>
        <w:ind w:left="2880" w:hanging="360"/>
      </w:pPr>
    </w:lvl>
    <w:lvl w:ilvl="4" w:tplc="9EB02EBA">
      <w:start w:val="1"/>
      <w:numFmt w:val="bullet"/>
      <w:lvlText w:val="○"/>
      <w:lvlJc w:val="left"/>
      <w:pPr>
        <w:ind w:left="3600" w:hanging="360"/>
      </w:pPr>
    </w:lvl>
    <w:lvl w:ilvl="5" w:tplc="2116A05E">
      <w:start w:val="1"/>
      <w:numFmt w:val="bullet"/>
      <w:lvlText w:val="■"/>
      <w:lvlJc w:val="left"/>
      <w:pPr>
        <w:ind w:left="4320" w:hanging="360"/>
      </w:pPr>
    </w:lvl>
    <w:lvl w:ilvl="6" w:tplc="C6F665D2">
      <w:start w:val="1"/>
      <w:numFmt w:val="bullet"/>
      <w:lvlText w:val="●"/>
      <w:lvlJc w:val="left"/>
      <w:pPr>
        <w:ind w:left="5040" w:hanging="360"/>
      </w:pPr>
    </w:lvl>
    <w:lvl w:ilvl="7" w:tplc="BB58D274">
      <w:start w:val="1"/>
      <w:numFmt w:val="bullet"/>
      <w:lvlText w:val="●"/>
      <w:lvlJc w:val="left"/>
      <w:pPr>
        <w:ind w:left="5760" w:hanging="360"/>
      </w:pPr>
    </w:lvl>
    <w:lvl w:ilvl="8" w:tplc="2B4EBCB2">
      <w:start w:val="1"/>
      <w:numFmt w:val="bullet"/>
      <w:lvlText w:val="●"/>
      <w:lvlJc w:val="left"/>
      <w:pPr>
        <w:ind w:left="6480" w:hanging="360"/>
      </w:pPr>
    </w:lvl>
  </w:abstractNum>
  <w:num w:numId="1" w16cid:durableId="12579006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007"/>
    <w:rsid w:val="00082007"/>
    <w:rsid w:val="00175A0A"/>
    <w:rsid w:val="008C6225"/>
    <w:rsid w:val="00C77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2512"/>
  <w15:docId w15:val="{D6AEC83A-4B9A-4CE1-831A-BF9EDCDA2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91F3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2143</Words>
  <Characters>9840</Characters>
  <Application>Microsoft Office Word</Application>
  <DocSecurity>0</DocSecurity>
  <Lines>1968</Lines>
  <Paragraphs>921</Paragraphs>
  <ScaleCrop>false</ScaleCrop>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Investor Targeting Brief</dc:title>
  <dc:creator>Müge Yücel IR Advisory</dc:creator>
  <dc:description>The brief you complete before you run any screen. What you are looking for, why they should own you now, who you will not pursue, and how you will know it worked.</dc:description>
  <cp:lastModifiedBy>Muge Yucel</cp:lastModifiedBy>
  <cp:revision>2</cp:revision>
  <dcterms:created xsi:type="dcterms:W3CDTF">2026-09-13T17:29:00Z</dcterms:created>
  <dcterms:modified xsi:type="dcterms:W3CDTF">2026-09-16T09:02:00Z</dcterms:modified>
</cp:coreProperties>
</file>