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B236C" w:rsidRDefault="00000000" w14:paraId="0D187C0E" w14:textId="77777777">
      <w:pPr>
        <w:ind w:right="-360"/>
        <w:jc w:val="center"/>
        <w:rPr>
          <w:rFonts w:ascii="Lato Black" w:hAnsi="Lato Black" w:eastAsia="Lato Black" w:cs="Lato Black"/>
          <w:color w:val="4791CE"/>
          <w:sz w:val="24"/>
          <w:szCs w:val="24"/>
        </w:rPr>
      </w:pPr>
      <w:r>
        <w:rPr>
          <w:rFonts w:ascii="Lato Black" w:hAnsi="Lato Black" w:eastAsia="Lato Black" w:cs="Lato Black"/>
          <w:color w:val="4791CE"/>
          <w:sz w:val="24"/>
          <w:szCs w:val="24"/>
        </w:rPr>
        <w:t>SAMPLE INVESTMENT POLICY STATEMENT</w:t>
      </w:r>
    </w:p>
    <w:p w:rsidR="009B236C" w:rsidRDefault="009B236C" w14:paraId="0D187C0F" w14:textId="77777777">
      <w:pPr>
        <w:ind w:right="-360"/>
        <w:jc w:val="center"/>
        <w:rPr>
          <w:rFonts w:ascii="Lato Black" w:hAnsi="Lato Black" w:eastAsia="Lato Black" w:cs="Lato Black"/>
          <w:color w:val="4791CE"/>
          <w:sz w:val="24"/>
          <w:szCs w:val="24"/>
        </w:rPr>
      </w:pPr>
    </w:p>
    <w:p w:rsidR="009B236C" w:rsidRDefault="00000000" w14:paraId="0D187C10" w14:textId="77777777">
      <w:pPr>
        <w:ind w:right="-360"/>
        <w:jc w:val="both"/>
        <w:rPr>
          <w:rFonts w:ascii="Lato" w:hAnsi="Lato" w:eastAsia="Lato" w:cs="Lato"/>
          <w:i/>
          <w:color w:val="4791CE"/>
        </w:rPr>
      </w:pPr>
      <w:r>
        <w:rPr>
          <w:rFonts w:ascii="Lato" w:hAnsi="Lato" w:eastAsia="Lato" w:cs="Lato"/>
          <w:b/>
          <w:i/>
          <w:color w:val="434344"/>
          <w:sz w:val="20"/>
          <w:szCs w:val="20"/>
        </w:rPr>
        <w:t xml:space="preserve">Disclaimer: </w:t>
      </w:r>
      <w:r>
        <w:rPr>
          <w:rFonts w:ascii="Lato" w:hAnsi="Lato" w:eastAsia="Lato" w:cs="Lato"/>
          <w:i/>
          <w:color w:val="434344"/>
          <w:sz w:val="20"/>
          <w:szCs w:val="20"/>
        </w:rPr>
        <w:t xml:space="preserve">This IPS </w:t>
      </w:r>
      <w:proofErr w:type="gramStart"/>
      <w:r>
        <w:rPr>
          <w:rFonts w:ascii="Lato" w:hAnsi="Lato" w:eastAsia="Lato" w:cs="Lato"/>
          <w:i/>
          <w:color w:val="434344"/>
          <w:sz w:val="20"/>
          <w:szCs w:val="20"/>
        </w:rPr>
        <w:t>is presented</w:t>
      </w:r>
      <w:proofErr w:type="gramEnd"/>
      <w:r>
        <w:rPr>
          <w:rFonts w:ascii="Lato" w:hAnsi="Lato" w:eastAsia="Lato" w:cs="Lato"/>
          <w:i/>
          <w:color w:val="434344"/>
          <w:sz w:val="20"/>
          <w:szCs w:val="20"/>
        </w:rPr>
        <w:t xml:space="preserve"> as a sample document and is hypothetical and presented for informational purposes only. Please consult with your legal counsel and financial advisor(s) when drafting your IPS.</w:t>
      </w:r>
    </w:p>
    <w:p w:rsidR="009B236C" w:rsidRDefault="009B236C" w14:paraId="0D187C11" w14:textId="77777777">
      <w:pPr>
        <w:ind w:right="-360"/>
        <w:jc w:val="both"/>
        <w:rPr>
          <w:rFonts w:ascii="Lato" w:hAnsi="Lato" w:eastAsia="Lato" w:cs="Lato"/>
          <w:b/>
          <w:color w:val="4791CE"/>
          <w:sz w:val="24"/>
          <w:szCs w:val="24"/>
        </w:rPr>
      </w:pPr>
    </w:p>
    <w:p w:rsidR="009B236C" w:rsidRDefault="00000000" w14:paraId="0D187C12" w14:textId="77777777">
      <w:pPr>
        <w:ind w:right="-360"/>
        <w:jc w:val="both"/>
        <w:rPr>
          <w:rFonts w:ascii="Lato" w:hAnsi="Lato" w:eastAsia="Lato" w:cs="Lato"/>
          <w:b/>
          <w:color w:val="4791CE"/>
          <w:sz w:val="24"/>
          <w:szCs w:val="24"/>
        </w:rPr>
      </w:pPr>
      <w:r>
        <w:rPr>
          <w:rFonts w:ascii="Lato" w:hAnsi="Lato" w:eastAsia="Lato" w:cs="Lato"/>
          <w:b/>
          <w:color w:val="4791CE"/>
          <w:sz w:val="24"/>
          <w:szCs w:val="24"/>
        </w:rPr>
        <w:t>----------------------------------------------------------------------------------------------------------------</w:t>
      </w:r>
    </w:p>
    <w:p w:rsidR="009B236C" w:rsidRDefault="009B236C" w14:paraId="0D187C13" w14:textId="77777777">
      <w:pPr>
        <w:ind w:right="-360"/>
        <w:jc w:val="both"/>
        <w:rPr>
          <w:rFonts w:ascii="Lato" w:hAnsi="Lato" w:eastAsia="Lato" w:cs="Lato"/>
          <w:b/>
          <w:color w:val="434344"/>
          <w:sz w:val="20"/>
          <w:szCs w:val="20"/>
        </w:rPr>
      </w:pPr>
    </w:p>
    <w:p w:rsidR="009B236C" w:rsidP="237C7DF0" w:rsidRDefault="00000000" w14:paraId="0D187C14" w14:textId="36992B2A">
      <w:pPr>
        <w:ind w:right="-360"/>
        <w:jc w:val="both"/>
        <w:rPr>
          <w:rFonts w:ascii="Lato" w:hAnsi="Lato" w:eastAsia="Lato" w:cs="Lato"/>
          <w:b w:val="1"/>
          <w:bCs w:val="1"/>
          <w:color w:val="434344"/>
          <w:sz w:val="20"/>
          <w:szCs w:val="20"/>
        </w:rPr>
      </w:pPr>
      <w:r w:rsidRPr="237C7DF0" w:rsidR="00000000">
        <w:rPr>
          <w:rFonts w:ascii="Lato" w:hAnsi="Lato" w:eastAsia="Lato" w:cs="Lato"/>
          <w:b w:val="1"/>
          <w:bCs w:val="1"/>
          <w:color w:val="434344"/>
          <w:sz w:val="20"/>
          <w:szCs w:val="20"/>
        </w:rPr>
        <w:t>[COMPANY NAME]</w:t>
      </w:r>
      <w:r>
        <w:tab/>
      </w:r>
      <w:r>
        <w:tab/>
      </w:r>
      <w:r>
        <w:tab/>
      </w:r>
      <w:r>
        <w:tab/>
      </w:r>
      <w:r>
        <w:tab/>
      </w:r>
      <w:r>
        <w:tab/>
      </w:r>
      <w:r>
        <w:tab/>
      </w:r>
      <w:r>
        <w:tab/>
      </w:r>
      <w:r>
        <w:tab/>
      </w:r>
      <w:r w:rsidRPr="237C7DF0" w:rsidR="00000000">
        <w:rPr>
          <w:rFonts w:ascii="Lato" w:hAnsi="Lato" w:eastAsia="Lato" w:cs="Lato"/>
          <w:b w:val="1"/>
          <w:bCs w:val="1"/>
          <w:color w:val="434344"/>
          <w:sz w:val="20"/>
          <w:szCs w:val="20"/>
        </w:rPr>
        <w:t xml:space="preserve">    </w:t>
      </w:r>
      <w:r w:rsidRPr="237C7DF0" w:rsidR="00000000">
        <w:rPr>
          <w:rFonts w:ascii="Lato" w:hAnsi="Lato" w:eastAsia="Lato" w:cs="Lato"/>
          <w:b w:val="1"/>
          <w:bCs w:val="1"/>
          <w:color w:val="434344"/>
          <w:sz w:val="20"/>
          <w:szCs w:val="20"/>
        </w:rPr>
        <w:t xml:space="preserve">   </w:t>
      </w:r>
      <w:r>
        <w:br/>
      </w:r>
      <w:r w:rsidRPr="237C7DF0" w:rsidR="00000000">
        <w:rPr>
          <w:rFonts w:ascii="Lato" w:hAnsi="Lato" w:eastAsia="Lato" w:cs="Lato"/>
          <w:b w:val="1"/>
          <w:bCs w:val="1"/>
          <w:color w:val="434344"/>
          <w:sz w:val="20"/>
          <w:szCs w:val="20"/>
        </w:rPr>
        <w:t>[</w:t>
      </w:r>
      <w:r w:rsidRPr="237C7DF0" w:rsidR="00000000">
        <w:rPr>
          <w:rFonts w:ascii="Lato" w:hAnsi="Lato" w:eastAsia="Lato" w:cs="Lato"/>
          <w:b w:val="1"/>
          <w:bCs w:val="1"/>
          <w:color w:val="434344"/>
          <w:sz w:val="20"/>
          <w:szCs w:val="20"/>
        </w:rPr>
        <w:t>COMPANY LOGO]</w:t>
      </w:r>
    </w:p>
    <w:p w:rsidR="009B236C" w:rsidRDefault="00000000" w14:paraId="0D187C15" w14:textId="77777777">
      <w:pPr>
        <w:ind w:right="-360"/>
        <w:jc w:val="both"/>
        <w:rPr>
          <w:rFonts w:ascii="Lato" w:hAnsi="Lato" w:eastAsia="Lato" w:cs="Lato"/>
          <w:b/>
          <w:color w:val="434344"/>
          <w:sz w:val="24"/>
          <w:szCs w:val="24"/>
        </w:rPr>
      </w:pPr>
      <w:r>
        <w:rPr>
          <w:rFonts w:ascii="Lato" w:hAnsi="Lato" w:eastAsia="Lato" w:cs="Lato"/>
          <w:b/>
          <w:color w:val="434344"/>
          <w:sz w:val="24"/>
          <w:szCs w:val="24"/>
        </w:rPr>
        <w:t>Investment Policy Statement</w:t>
      </w:r>
    </w:p>
    <w:p w:rsidR="009B236C" w:rsidRDefault="00000000" w14:paraId="0D187C16" w14:textId="77777777">
      <w:pPr>
        <w:ind w:right="-360"/>
        <w:jc w:val="both"/>
        <w:rPr>
          <w:rFonts w:ascii="Lato" w:hAnsi="Lato" w:eastAsia="Lato" w:cs="Lato"/>
          <w:b/>
          <w:color w:val="434344"/>
          <w:sz w:val="20"/>
          <w:szCs w:val="20"/>
        </w:rPr>
      </w:pPr>
      <w:r>
        <w:rPr>
          <w:rFonts w:ascii="Lato" w:hAnsi="Lato" w:eastAsia="Lato" w:cs="Lato"/>
          <w:b/>
          <w:color w:val="434344"/>
          <w:sz w:val="20"/>
          <w:szCs w:val="20"/>
        </w:rPr>
        <w:t>[DATE]</w:t>
      </w:r>
    </w:p>
    <w:p w:rsidR="009B236C" w:rsidRDefault="009B236C" w14:paraId="0D187C17" w14:textId="77777777">
      <w:pPr>
        <w:ind w:right="-360"/>
        <w:jc w:val="both"/>
        <w:rPr>
          <w:rFonts w:ascii="Lato" w:hAnsi="Lato" w:eastAsia="Lato" w:cs="Lato"/>
          <w:b/>
          <w:color w:val="434344"/>
          <w:sz w:val="20"/>
          <w:szCs w:val="20"/>
        </w:rPr>
      </w:pPr>
    </w:p>
    <w:p w:rsidR="009B236C" w:rsidRDefault="00000000" w14:paraId="0D187C18" w14:textId="77777777">
      <w:pPr>
        <w:ind w:right="-360"/>
        <w:jc w:val="both"/>
        <w:rPr>
          <w:rFonts w:ascii="Lato" w:hAnsi="Lato" w:eastAsia="Lato" w:cs="Lato"/>
          <w:b/>
          <w:color w:val="434344"/>
          <w:sz w:val="24"/>
          <w:szCs w:val="24"/>
        </w:rPr>
      </w:pPr>
      <w:r>
        <w:rPr>
          <w:rFonts w:ascii="Lato" w:hAnsi="Lato" w:eastAsia="Lato" w:cs="Lato"/>
          <w:b/>
          <w:color w:val="434344"/>
          <w:sz w:val="24"/>
          <w:szCs w:val="24"/>
        </w:rPr>
        <w:t>Investment Objectives</w:t>
      </w:r>
    </w:p>
    <w:p w:rsidR="009B236C" w:rsidRDefault="00000000" w14:paraId="0D187C19" w14:textId="77777777">
      <w:pPr>
        <w:ind w:right="-360"/>
        <w:jc w:val="both"/>
        <w:rPr>
          <w:rFonts w:ascii="Lato" w:hAnsi="Lato" w:eastAsia="Lato" w:cs="Lato"/>
          <w:color w:val="434344"/>
          <w:sz w:val="24"/>
          <w:szCs w:val="24"/>
        </w:rPr>
      </w:pPr>
      <w:r>
        <w:rPr>
          <w:rFonts w:ascii="Lato" w:hAnsi="Lato" w:eastAsia="Lato" w:cs="Lato"/>
          <w:color w:val="434344"/>
          <w:sz w:val="24"/>
          <w:szCs w:val="24"/>
        </w:rPr>
        <w:t>The company’s primary investment objectives for its strategic capital are, in order of importance:</w:t>
      </w:r>
    </w:p>
    <w:p w:rsidR="009B236C" w:rsidRDefault="00000000" w14:paraId="0D187C1A" w14:textId="77777777">
      <w:pPr>
        <w:numPr>
          <w:ilvl w:val="0"/>
          <w:numId w:val="1"/>
        </w:numPr>
        <w:ind w:right="-360"/>
        <w:jc w:val="both"/>
        <w:rPr>
          <w:rFonts w:ascii="Lato" w:hAnsi="Lato" w:eastAsia="Lato" w:cs="Lato"/>
          <w:color w:val="434344"/>
          <w:sz w:val="24"/>
          <w:szCs w:val="24"/>
        </w:rPr>
      </w:pPr>
      <w:r>
        <w:rPr>
          <w:rFonts w:ascii="Lato" w:hAnsi="Lato" w:eastAsia="Lato" w:cs="Lato"/>
          <w:color w:val="434344"/>
          <w:sz w:val="24"/>
          <w:szCs w:val="24"/>
        </w:rPr>
        <w:t>Preservation of capital and safety of funds and investments</w:t>
      </w:r>
    </w:p>
    <w:p w:rsidR="009B236C" w:rsidRDefault="00000000" w14:paraId="0D187C1B" w14:textId="77777777">
      <w:pPr>
        <w:numPr>
          <w:ilvl w:val="0"/>
          <w:numId w:val="1"/>
        </w:numPr>
        <w:ind w:right="-360"/>
        <w:jc w:val="both"/>
        <w:rPr>
          <w:rFonts w:ascii="Lato" w:hAnsi="Lato" w:eastAsia="Lato" w:cs="Lato"/>
          <w:color w:val="434344"/>
          <w:sz w:val="24"/>
          <w:szCs w:val="24"/>
        </w:rPr>
      </w:pPr>
      <w:r>
        <w:rPr>
          <w:rFonts w:ascii="Lato" w:hAnsi="Lato" w:eastAsia="Lato" w:cs="Lato"/>
          <w:color w:val="434344"/>
          <w:sz w:val="24"/>
          <w:szCs w:val="24"/>
        </w:rPr>
        <w:t xml:space="preserve">Sufficient liquidity to avoid unreasonable </w:t>
      </w:r>
      <w:proofErr w:type="gramStart"/>
      <w:r>
        <w:rPr>
          <w:rFonts w:ascii="Lato" w:hAnsi="Lato" w:eastAsia="Lato" w:cs="Lato"/>
          <w:color w:val="434344"/>
          <w:sz w:val="24"/>
          <w:szCs w:val="24"/>
        </w:rPr>
        <w:t>risks</w:t>
      </w:r>
      <w:proofErr w:type="gramEnd"/>
    </w:p>
    <w:p w:rsidR="009B236C" w:rsidRDefault="00000000" w14:paraId="0D187C1C" w14:textId="77777777">
      <w:pPr>
        <w:numPr>
          <w:ilvl w:val="0"/>
          <w:numId w:val="1"/>
        </w:numPr>
        <w:ind w:right="-360"/>
        <w:jc w:val="both"/>
        <w:rPr>
          <w:rFonts w:ascii="Lato" w:hAnsi="Lato" w:eastAsia="Lato" w:cs="Lato"/>
          <w:color w:val="434344"/>
          <w:sz w:val="24"/>
          <w:szCs w:val="24"/>
        </w:rPr>
      </w:pPr>
      <w:r>
        <w:rPr>
          <w:rFonts w:ascii="Lato" w:hAnsi="Lato" w:eastAsia="Lato" w:cs="Lato"/>
          <w:color w:val="434344"/>
          <w:sz w:val="24"/>
          <w:szCs w:val="24"/>
        </w:rPr>
        <w:t>A total return consistent with the designated benchmark</w:t>
      </w:r>
    </w:p>
    <w:p w:rsidR="009B236C" w:rsidRDefault="009B236C" w14:paraId="0D187C1D" w14:textId="77777777">
      <w:pPr>
        <w:ind w:right="-360"/>
        <w:jc w:val="both"/>
        <w:rPr>
          <w:rFonts w:ascii="Lato" w:hAnsi="Lato" w:eastAsia="Lato" w:cs="Lato"/>
          <w:color w:val="434344"/>
          <w:sz w:val="24"/>
          <w:szCs w:val="24"/>
        </w:rPr>
      </w:pPr>
    </w:p>
    <w:p w:rsidR="009B236C" w:rsidRDefault="00000000" w14:paraId="0D187C1E" w14:textId="77777777">
      <w:pPr>
        <w:ind w:right="-360"/>
        <w:jc w:val="both"/>
        <w:rPr>
          <w:rFonts w:ascii="Lato" w:hAnsi="Lato" w:eastAsia="Lato" w:cs="Lato"/>
          <w:b/>
          <w:color w:val="434344"/>
          <w:sz w:val="24"/>
          <w:szCs w:val="24"/>
        </w:rPr>
      </w:pPr>
      <w:r>
        <w:rPr>
          <w:rFonts w:ascii="Lato" w:hAnsi="Lato" w:eastAsia="Lato" w:cs="Lato"/>
          <w:b/>
          <w:color w:val="434344"/>
          <w:sz w:val="24"/>
          <w:szCs w:val="24"/>
        </w:rPr>
        <w:t>Roles and Responsibilities</w:t>
      </w:r>
    </w:p>
    <w:p w:rsidR="009B236C" w:rsidRDefault="00000000" w14:paraId="0D187C1F" w14:textId="77777777">
      <w:pPr>
        <w:ind w:right="-360"/>
        <w:jc w:val="both"/>
        <w:rPr>
          <w:rFonts w:ascii="Lato" w:hAnsi="Lato" w:eastAsia="Lato" w:cs="Lato"/>
          <w:color w:val="434344"/>
          <w:sz w:val="24"/>
          <w:szCs w:val="24"/>
        </w:rPr>
      </w:pPr>
      <w:r>
        <w:rPr>
          <w:rFonts w:ascii="Lato" w:hAnsi="Lato" w:eastAsia="Lato" w:cs="Lato"/>
          <w:color w:val="434344"/>
          <w:sz w:val="24"/>
          <w:szCs w:val="24"/>
        </w:rPr>
        <w:t xml:space="preserve">The company’s Board of Directors, Chief Executive Officer, and Chief Financial Officer will review the company’s cash flow requirements and determine the amount of liquidity required for working capital. Funds </w:t>
      </w:r>
      <w:proofErr w:type="gramStart"/>
      <w:r>
        <w:rPr>
          <w:rFonts w:ascii="Lato" w:hAnsi="Lato" w:eastAsia="Lato" w:cs="Lato"/>
          <w:color w:val="434344"/>
          <w:sz w:val="24"/>
          <w:szCs w:val="24"/>
        </w:rPr>
        <w:t>in excess of</w:t>
      </w:r>
      <w:proofErr w:type="gramEnd"/>
      <w:r>
        <w:rPr>
          <w:rFonts w:ascii="Lato" w:hAnsi="Lato" w:eastAsia="Lato" w:cs="Lato"/>
          <w:color w:val="434344"/>
          <w:sz w:val="24"/>
          <w:szCs w:val="24"/>
        </w:rPr>
        <w:t xml:space="preserve"> that liquidity requirement will be designated strategic cash and will be invested in a managed portfolio of fixed income securities according to the guidelines established below. </w:t>
      </w:r>
    </w:p>
    <w:p w:rsidR="009B236C" w:rsidRDefault="009B236C" w14:paraId="0D187C20" w14:textId="77777777">
      <w:pPr>
        <w:ind w:right="-360"/>
        <w:jc w:val="both"/>
        <w:rPr>
          <w:rFonts w:ascii="Lato" w:hAnsi="Lato" w:eastAsia="Lato" w:cs="Lato"/>
          <w:color w:val="434344"/>
          <w:sz w:val="24"/>
          <w:szCs w:val="24"/>
        </w:rPr>
      </w:pPr>
    </w:p>
    <w:p w:rsidR="009B236C" w:rsidRDefault="00000000" w14:paraId="0D187C21" w14:textId="77777777">
      <w:pPr>
        <w:ind w:right="-360"/>
        <w:jc w:val="both"/>
        <w:rPr>
          <w:rFonts w:ascii="Lato" w:hAnsi="Lato" w:eastAsia="Lato" w:cs="Lato"/>
          <w:color w:val="434344"/>
          <w:sz w:val="24"/>
          <w:szCs w:val="24"/>
        </w:rPr>
      </w:pPr>
      <w:r>
        <w:rPr>
          <w:rFonts w:ascii="Lato" w:hAnsi="Lato" w:eastAsia="Lato" w:cs="Lato"/>
          <w:color w:val="434344"/>
          <w:sz w:val="24"/>
          <w:szCs w:val="24"/>
        </w:rPr>
        <w:t xml:space="preserve">The company’s Board of Directors, Chief Executive Officer, and Chief Financial Officer will review the investment policy statement annually to ensure it is consistent with company goals. Changes to the policy statement must </w:t>
      </w:r>
      <w:proofErr w:type="gramStart"/>
      <w:r>
        <w:rPr>
          <w:rFonts w:ascii="Lato" w:hAnsi="Lato" w:eastAsia="Lato" w:cs="Lato"/>
          <w:color w:val="434344"/>
          <w:sz w:val="24"/>
          <w:szCs w:val="24"/>
        </w:rPr>
        <w:t>be approved</w:t>
      </w:r>
      <w:proofErr w:type="gramEnd"/>
      <w:r>
        <w:rPr>
          <w:rFonts w:ascii="Lato" w:hAnsi="Lato" w:eastAsia="Lato" w:cs="Lato"/>
          <w:color w:val="434344"/>
          <w:sz w:val="24"/>
          <w:szCs w:val="24"/>
        </w:rPr>
        <w:t xml:space="preserve"> by the Board of Directors and the Chief Executive Officer. </w:t>
      </w:r>
    </w:p>
    <w:p w:rsidR="009B236C" w:rsidRDefault="009B236C" w14:paraId="0D187C22" w14:textId="77777777">
      <w:pPr>
        <w:ind w:right="-360"/>
        <w:jc w:val="both"/>
        <w:rPr>
          <w:rFonts w:ascii="Lato" w:hAnsi="Lato" w:eastAsia="Lato" w:cs="Lato"/>
          <w:color w:val="434344"/>
          <w:sz w:val="24"/>
          <w:szCs w:val="24"/>
        </w:rPr>
      </w:pPr>
    </w:p>
    <w:p w:rsidR="009B236C" w:rsidRDefault="00000000" w14:paraId="0D187C23" w14:textId="6A3231D0">
      <w:pPr>
        <w:ind w:right="-360"/>
        <w:jc w:val="both"/>
        <w:rPr>
          <w:rFonts w:ascii="Lato" w:hAnsi="Lato" w:eastAsia="Lato" w:cs="Lato"/>
          <w:color w:val="434344"/>
          <w:sz w:val="24"/>
          <w:szCs w:val="24"/>
        </w:rPr>
      </w:pPr>
      <w:r w:rsidRPr="237C7DF0" w:rsidR="00000000">
        <w:rPr>
          <w:rFonts w:ascii="Lato" w:hAnsi="Lato" w:eastAsia="Lato" w:cs="Lato"/>
          <w:color w:val="434344"/>
          <w:sz w:val="24"/>
          <w:szCs w:val="24"/>
        </w:rPr>
        <w:t xml:space="preserve">The company may employ the services of a Registered Investment Advisor to direct some or </w:t>
      </w:r>
      <w:r w:rsidRPr="237C7DF0" w:rsidR="00000000">
        <w:rPr>
          <w:rFonts w:ascii="Lato" w:hAnsi="Lato" w:eastAsia="Lato" w:cs="Lato"/>
          <w:color w:val="434344"/>
          <w:sz w:val="24"/>
          <w:szCs w:val="24"/>
        </w:rPr>
        <w:t>all of</w:t>
      </w:r>
      <w:r w:rsidRPr="237C7DF0" w:rsidR="00000000">
        <w:rPr>
          <w:rFonts w:ascii="Lato" w:hAnsi="Lato" w:eastAsia="Lato" w:cs="Lato"/>
          <w:color w:val="434344"/>
          <w:sz w:val="24"/>
          <w:szCs w:val="24"/>
        </w:rPr>
        <w:t xml:space="preserve"> the investments according to the requirements of this investment policy. The Chief Financial Officer will review and recommend any outside investment management services, and final approval will rest with the Board of Directors and the Chief Executive Officer. The performance of any outside investment management will be </w:t>
      </w:r>
      <w:r w:rsidRPr="237C7DF0" w:rsidR="008041B6">
        <w:rPr>
          <w:rFonts w:ascii="Lato" w:hAnsi="Lato" w:eastAsia="Lato" w:cs="Lato"/>
          <w:color w:val="434344"/>
          <w:sz w:val="24"/>
          <w:szCs w:val="24"/>
        </w:rPr>
        <w:t>review</w:t>
      </w:r>
      <w:r w:rsidRPr="237C7DF0" w:rsidR="008041B6">
        <w:rPr>
          <w:rFonts w:ascii="Lato" w:hAnsi="Lato" w:eastAsia="Lato" w:cs="Lato"/>
          <w:color w:val="434344"/>
          <w:sz w:val="24"/>
          <w:szCs w:val="24"/>
        </w:rPr>
        <w:t>ed</w:t>
      </w:r>
      <w:r w:rsidRPr="237C7DF0" w:rsidR="008041B6">
        <w:rPr>
          <w:rFonts w:ascii="Lato" w:hAnsi="Lato" w:eastAsia="Lato" w:cs="Lato"/>
          <w:color w:val="434344"/>
          <w:sz w:val="24"/>
          <w:szCs w:val="24"/>
        </w:rPr>
        <w:t xml:space="preserve"> </w:t>
      </w:r>
      <w:r w:rsidRPr="237C7DF0" w:rsidR="00000000">
        <w:rPr>
          <w:rFonts w:ascii="Lato" w:hAnsi="Lato" w:eastAsia="Lato" w:cs="Lato"/>
          <w:color w:val="434344"/>
          <w:sz w:val="24"/>
          <w:szCs w:val="24"/>
        </w:rPr>
        <w:t xml:space="preserve">no less than four times annually by the Board of Directors, the Chief Executive Officer, and the Chief Financial Officer. The Board of Directors and the Chief Executive Officer must approve the opening or closing of any investment accounts. </w:t>
      </w:r>
    </w:p>
    <w:p w:rsidR="009B236C" w:rsidRDefault="009B236C" w14:paraId="0D187C24" w14:textId="77777777">
      <w:pPr>
        <w:ind w:right="-360"/>
        <w:jc w:val="both"/>
        <w:rPr>
          <w:rFonts w:ascii="Lato" w:hAnsi="Lato" w:eastAsia="Lato" w:cs="Lato"/>
          <w:color w:val="434344"/>
          <w:sz w:val="24"/>
          <w:szCs w:val="24"/>
        </w:rPr>
      </w:pPr>
    </w:p>
    <w:p w:rsidR="009B236C" w:rsidRDefault="00000000" w14:paraId="0D187C25" w14:textId="77777777">
      <w:pPr>
        <w:ind w:right="-360"/>
        <w:jc w:val="both"/>
        <w:rPr>
          <w:rFonts w:ascii="Lato" w:hAnsi="Lato" w:eastAsia="Lato" w:cs="Lato"/>
          <w:color w:val="434344"/>
          <w:sz w:val="24"/>
          <w:szCs w:val="24"/>
        </w:rPr>
      </w:pPr>
      <w:r>
        <w:rPr>
          <w:rFonts w:ascii="Lato" w:hAnsi="Lato" w:eastAsia="Lato" w:cs="Lato"/>
          <w:color w:val="434344"/>
          <w:sz w:val="24"/>
          <w:szCs w:val="24"/>
        </w:rPr>
        <w:t xml:space="preserve">The Chief Financial Officer or any individual designated by the Chief Financial Officer will be responsible for execution of the investment policy statement and adhering to the requirements set forth in it. </w:t>
      </w:r>
    </w:p>
    <w:p w:rsidR="009B236C" w:rsidRDefault="009B236C" w14:paraId="0D187C26" w14:textId="77777777">
      <w:pPr>
        <w:ind w:right="-360"/>
        <w:jc w:val="both"/>
        <w:rPr>
          <w:rFonts w:ascii="Lato" w:hAnsi="Lato" w:eastAsia="Lato" w:cs="Lato"/>
          <w:color w:val="434344"/>
          <w:sz w:val="24"/>
          <w:szCs w:val="24"/>
        </w:rPr>
      </w:pPr>
    </w:p>
    <w:p w:rsidR="009B236C" w:rsidRDefault="00000000" w14:paraId="0D187C27" w14:textId="77777777">
      <w:pPr>
        <w:ind w:right="-360"/>
        <w:jc w:val="both"/>
        <w:rPr>
          <w:rFonts w:ascii="Lato" w:hAnsi="Lato" w:eastAsia="Lato" w:cs="Lato"/>
          <w:b/>
          <w:color w:val="434344"/>
          <w:sz w:val="24"/>
          <w:szCs w:val="24"/>
        </w:rPr>
      </w:pPr>
      <w:r>
        <w:rPr>
          <w:rFonts w:ascii="Lato" w:hAnsi="Lato" w:eastAsia="Lato" w:cs="Lato"/>
          <w:b/>
          <w:color w:val="434344"/>
          <w:sz w:val="24"/>
          <w:szCs w:val="24"/>
        </w:rPr>
        <w:t>Investment Guidelines</w:t>
      </w:r>
    </w:p>
    <w:p w:rsidR="009B236C" w:rsidP="237C7DF0" w:rsidRDefault="00000000" w14:paraId="0D187C28" w14:textId="77777777" w14:noSpellErr="1">
      <w:pPr>
        <w:spacing w:after="240"/>
        <w:ind w:right="-360"/>
        <w:jc w:val="both"/>
        <w:rPr>
          <w:rFonts w:ascii="Lato" w:hAnsi="Lato" w:eastAsia="Lato" w:cs="Lato"/>
          <w:color w:val="434344"/>
          <w:sz w:val="24"/>
          <w:szCs w:val="24"/>
        </w:rPr>
      </w:pPr>
      <w:r w:rsidRPr="237C7DF0" w:rsidR="00000000">
        <w:rPr>
          <w:rFonts w:ascii="Lato" w:hAnsi="Lato" w:eastAsia="Lato" w:cs="Lato"/>
          <w:color w:val="434344"/>
          <w:sz w:val="24"/>
          <w:szCs w:val="24"/>
        </w:rPr>
        <w:t xml:space="preserve">Funds will </w:t>
      </w:r>
      <w:r w:rsidRPr="237C7DF0" w:rsidR="00000000">
        <w:rPr>
          <w:rFonts w:ascii="Lato" w:hAnsi="Lato" w:eastAsia="Lato" w:cs="Lato"/>
          <w:color w:val="434344"/>
          <w:sz w:val="24"/>
          <w:szCs w:val="24"/>
        </w:rPr>
        <w:t>be invested</w:t>
      </w:r>
      <w:r w:rsidRPr="237C7DF0" w:rsidR="00000000">
        <w:rPr>
          <w:rFonts w:ascii="Lato" w:hAnsi="Lato" w:eastAsia="Lato" w:cs="Lato"/>
          <w:color w:val="434344"/>
          <w:sz w:val="24"/>
          <w:szCs w:val="24"/>
        </w:rPr>
        <w:t xml:space="preserve"> only in instruments denominated and payable in US dollars.</w:t>
      </w:r>
    </w:p>
    <w:p w:rsidR="009B236C" w:rsidRDefault="00000000" w14:paraId="0D187C29" w14:textId="77777777">
      <w:pPr>
        <w:ind w:right="-360"/>
        <w:jc w:val="both"/>
        <w:rPr>
          <w:rFonts w:ascii="Lato" w:hAnsi="Lato" w:eastAsia="Lato" w:cs="Lato"/>
          <w:color w:val="434344"/>
          <w:sz w:val="24"/>
          <w:szCs w:val="24"/>
        </w:rPr>
      </w:pPr>
      <w:r>
        <w:rPr>
          <w:rFonts w:ascii="Lato" w:hAnsi="Lato" w:eastAsia="Lato" w:cs="Lato"/>
          <w:color w:val="434344"/>
          <w:sz w:val="24"/>
          <w:szCs w:val="24"/>
        </w:rPr>
        <w:t>Approved investments include:</w:t>
      </w:r>
    </w:p>
    <w:p w:rsidR="008041B6" w:rsidRDefault="008041B6" w14:paraId="67C32DF7" w14:textId="536CAE01">
      <w:pPr>
        <w:numPr>
          <w:ilvl w:val="0"/>
          <w:numId w:val="3"/>
        </w:numPr>
        <w:ind w:right="-360"/>
        <w:jc w:val="both"/>
        <w:rPr>
          <w:rFonts w:ascii="Lato" w:hAnsi="Lato" w:eastAsia="Lato" w:cs="Lato"/>
          <w:color w:val="434344"/>
          <w:sz w:val="24"/>
          <w:szCs w:val="24"/>
        </w:rPr>
      </w:pPr>
      <w:r w:rsidRPr="237C7DF0" w:rsidR="008041B6">
        <w:rPr>
          <w:rFonts w:ascii="Lato" w:hAnsi="Lato" w:eastAsia="Lato" w:cs="Lato"/>
          <w:color w:val="434344"/>
          <w:sz w:val="24"/>
          <w:szCs w:val="24"/>
        </w:rPr>
        <w:t>US Treasuries</w:t>
      </w:r>
    </w:p>
    <w:p w:rsidR="009B236C" w:rsidRDefault="00000000" w14:paraId="0D187C2C" w14:textId="77777777" w14:noSpellErr="1">
      <w:pPr>
        <w:numPr>
          <w:ilvl w:val="0"/>
          <w:numId w:val="3"/>
        </w:numPr>
        <w:ind w:right="-360"/>
        <w:jc w:val="both"/>
        <w:rPr>
          <w:rFonts w:ascii="Lato" w:hAnsi="Lato" w:eastAsia="Lato" w:cs="Lato"/>
          <w:color w:val="434344"/>
          <w:sz w:val="24"/>
          <w:szCs w:val="24"/>
        </w:rPr>
      </w:pPr>
      <w:r w:rsidRPr="237C7DF0" w:rsidR="00000000">
        <w:rPr>
          <w:rFonts w:ascii="Lato" w:hAnsi="Lato" w:eastAsia="Lato" w:cs="Lato"/>
          <w:color w:val="434344"/>
          <w:sz w:val="24"/>
          <w:szCs w:val="24"/>
        </w:rPr>
        <w:t>Money market funds registered according to SEC Rule 2a-7 of the Investment Company Act of 1940</w:t>
      </w:r>
    </w:p>
    <w:p w:rsidR="008041B6" w:rsidP="237C7DF0" w:rsidRDefault="00F972A9" w14:paraId="6C2F9FAF" w14:textId="0E496312" w14:noSpellErr="1">
      <w:pPr>
        <w:numPr>
          <w:ilvl w:val="0"/>
          <w:numId w:val="3"/>
        </w:numPr>
        <w:spacing w:after="240"/>
        <w:ind w:right="-360"/>
        <w:jc w:val="both"/>
        <w:rPr>
          <w:rFonts w:ascii="Lato" w:hAnsi="Lato" w:eastAsia="Lato" w:cs="Lato"/>
          <w:color w:val="434344"/>
          <w:sz w:val="24"/>
          <w:szCs w:val="24"/>
        </w:rPr>
      </w:pPr>
      <w:r w:rsidRPr="237C7DF0" w:rsidR="00F972A9">
        <w:rPr>
          <w:rFonts w:ascii="Lato" w:hAnsi="Lato" w:eastAsia="Lato" w:cs="Lato"/>
          <w:color w:val="434344"/>
          <w:sz w:val="24"/>
          <w:szCs w:val="24"/>
        </w:rPr>
        <w:t>Fully FDIC-insured, interest-bearing bank deposits</w:t>
      </w:r>
    </w:p>
    <w:p w:rsidR="009B236C" w:rsidRDefault="00000000" w14:paraId="0D187C2D" w14:textId="77777777">
      <w:pPr>
        <w:ind w:right="-360"/>
        <w:jc w:val="both"/>
        <w:rPr>
          <w:rFonts w:ascii="Lato" w:hAnsi="Lato" w:eastAsia="Lato" w:cs="Lato"/>
          <w:color w:val="434344"/>
          <w:sz w:val="24"/>
          <w:szCs w:val="24"/>
        </w:rPr>
      </w:pPr>
      <w:r>
        <w:rPr>
          <w:rFonts w:ascii="Lato" w:hAnsi="Lato" w:eastAsia="Lato" w:cs="Lato"/>
          <w:color w:val="434344"/>
          <w:sz w:val="24"/>
          <w:szCs w:val="24"/>
        </w:rPr>
        <w:t>Prohibited investments include:</w:t>
      </w:r>
    </w:p>
    <w:p w:rsidR="00B102CF" w:rsidRDefault="00B102CF" w14:paraId="72D7C2B8" w14:textId="6C05AA62" w14:noSpellErr="1">
      <w:pPr>
        <w:numPr>
          <w:ilvl w:val="0"/>
          <w:numId w:val="4"/>
        </w:numPr>
        <w:ind w:right="-360"/>
        <w:jc w:val="both"/>
        <w:rPr>
          <w:rFonts w:ascii="Lato" w:hAnsi="Lato" w:eastAsia="Lato" w:cs="Lato"/>
          <w:color w:val="434344"/>
          <w:sz w:val="24"/>
          <w:szCs w:val="24"/>
        </w:rPr>
      </w:pPr>
      <w:r w:rsidRPr="237C7DF0" w:rsidR="00B102CF">
        <w:rPr>
          <w:rFonts w:ascii="Lato" w:hAnsi="Lato" w:eastAsia="Lato" w:cs="Lato"/>
          <w:color w:val="434344"/>
          <w:sz w:val="24"/>
          <w:szCs w:val="24"/>
        </w:rPr>
        <w:t>Certificates of Deposit (CDs)</w:t>
      </w:r>
    </w:p>
    <w:p w:rsidR="009B236C" w:rsidRDefault="00000000" w14:paraId="0D187C2E" w14:textId="689337FD">
      <w:pPr>
        <w:numPr>
          <w:ilvl w:val="0"/>
          <w:numId w:val="4"/>
        </w:numPr>
        <w:ind w:right="-360"/>
        <w:jc w:val="both"/>
        <w:rPr>
          <w:rFonts w:ascii="Lato" w:hAnsi="Lato" w:eastAsia="Lato" w:cs="Lato"/>
          <w:color w:val="434344"/>
          <w:sz w:val="24"/>
          <w:szCs w:val="24"/>
        </w:rPr>
      </w:pPr>
      <w:r>
        <w:rPr>
          <w:rFonts w:ascii="Lato" w:hAnsi="Lato" w:eastAsia="Lato" w:cs="Lato"/>
          <w:color w:val="434344"/>
          <w:sz w:val="24"/>
          <w:szCs w:val="24"/>
        </w:rPr>
        <w:t>Commercial paper</w:t>
      </w:r>
    </w:p>
    <w:p w:rsidR="009B236C" w:rsidRDefault="00000000" w14:paraId="0D187C2F" w14:textId="77777777">
      <w:pPr>
        <w:numPr>
          <w:ilvl w:val="0"/>
          <w:numId w:val="4"/>
        </w:numPr>
        <w:ind w:right="-360"/>
        <w:jc w:val="both"/>
        <w:rPr>
          <w:rFonts w:ascii="Lato" w:hAnsi="Lato" w:eastAsia="Lato" w:cs="Lato"/>
          <w:color w:val="434344"/>
          <w:sz w:val="24"/>
          <w:szCs w:val="24"/>
        </w:rPr>
      </w:pPr>
      <w:r>
        <w:rPr>
          <w:rFonts w:ascii="Lato" w:hAnsi="Lato" w:eastAsia="Lato" w:cs="Lato"/>
          <w:color w:val="434344"/>
          <w:sz w:val="24"/>
          <w:szCs w:val="24"/>
        </w:rPr>
        <w:t>Corporate bonds</w:t>
      </w:r>
    </w:p>
    <w:p w:rsidR="009B236C" w:rsidRDefault="00000000" w14:paraId="0D187C30" w14:textId="77777777">
      <w:pPr>
        <w:numPr>
          <w:ilvl w:val="0"/>
          <w:numId w:val="4"/>
        </w:numPr>
        <w:ind w:right="-360"/>
        <w:jc w:val="both"/>
        <w:rPr>
          <w:rFonts w:ascii="Lato" w:hAnsi="Lato" w:eastAsia="Lato" w:cs="Lato"/>
          <w:color w:val="434344"/>
          <w:sz w:val="24"/>
          <w:szCs w:val="24"/>
        </w:rPr>
      </w:pPr>
      <w:r>
        <w:rPr>
          <w:rFonts w:ascii="Lato" w:hAnsi="Lato" w:eastAsia="Lato" w:cs="Lato"/>
          <w:color w:val="434344"/>
          <w:sz w:val="24"/>
          <w:szCs w:val="24"/>
        </w:rPr>
        <w:t>Asset-backed securities</w:t>
      </w:r>
    </w:p>
    <w:p w:rsidR="009B236C" w:rsidRDefault="00000000" w14:paraId="0D187C31" w14:textId="77777777">
      <w:pPr>
        <w:numPr>
          <w:ilvl w:val="0"/>
          <w:numId w:val="4"/>
        </w:numPr>
        <w:ind w:right="-360"/>
        <w:jc w:val="both"/>
        <w:rPr>
          <w:rFonts w:ascii="Lato" w:hAnsi="Lato" w:eastAsia="Lato" w:cs="Lato"/>
          <w:color w:val="434344"/>
          <w:sz w:val="24"/>
          <w:szCs w:val="24"/>
        </w:rPr>
      </w:pPr>
      <w:r>
        <w:rPr>
          <w:rFonts w:ascii="Lato" w:hAnsi="Lato" w:eastAsia="Lato" w:cs="Lato"/>
          <w:color w:val="434344"/>
          <w:sz w:val="24"/>
          <w:szCs w:val="24"/>
        </w:rPr>
        <w:t>Municipal obligations</w:t>
      </w:r>
    </w:p>
    <w:p w:rsidR="009B236C" w:rsidRDefault="00000000" w14:paraId="0D187C32" w14:textId="77777777">
      <w:pPr>
        <w:numPr>
          <w:ilvl w:val="0"/>
          <w:numId w:val="4"/>
        </w:numPr>
        <w:ind w:right="-360"/>
        <w:jc w:val="both"/>
        <w:rPr>
          <w:rFonts w:ascii="Lato" w:hAnsi="Lato" w:eastAsia="Lato" w:cs="Lato"/>
          <w:color w:val="434344"/>
          <w:sz w:val="24"/>
          <w:szCs w:val="24"/>
        </w:rPr>
      </w:pPr>
      <w:r>
        <w:rPr>
          <w:rFonts w:ascii="Lato" w:hAnsi="Lato" w:eastAsia="Lato" w:cs="Lato"/>
          <w:color w:val="434344"/>
          <w:sz w:val="24"/>
          <w:szCs w:val="24"/>
        </w:rPr>
        <w:t>Collateralized debt or loan obligations</w:t>
      </w:r>
    </w:p>
    <w:p w:rsidR="009B236C" w:rsidRDefault="00000000" w14:paraId="0D187C33" w14:textId="77777777">
      <w:pPr>
        <w:numPr>
          <w:ilvl w:val="0"/>
          <w:numId w:val="4"/>
        </w:numPr>
        <w:ind w:right="-360"/>
        <w:jc w:val="both"/>
        <w:rPr>
          <w:rFonts w:ascii="Lato" w:hAnsi="Lato" w:eastAsia="Lato" w:cs="Lato"/>
          <w:color w:val="434344"/>
          <w:sz w:val="24"/>
          <w:szCs w:val="24"/>
        </w:rPr>
      </w:pPr>
      <w:r>
        <w:rPr>
          <w:rFonts w:ascii="Lato" w:hAnsi="Lato" w:eastAsia="Lato" w:cs="Lato"/>
          <w:color w:val="434344"/>
          <w:sz w:val="24"/>
          <w:szCs w:val="24"/>
        </w:rPr>
        <w:t>Auction rate securities</w:t>
      </w:r>
    </w:p>
    <w:p w:rsidR="009B236C" w:rsidRDefault="009B236C" w14:paraId="0D187C34" w14:textId="77777777">
      <w:pPr>
        <w:ind w:right="-360"/>
        <w:jc w:val="both"/>
        <w:rPr>
          <w:rFonts w:ascii="Lato" w:hAnsi="Lato" w:eastAsia="Lato" w:cs="Lato"/>
          <w:color w:val="434344"/>
          <w:sz w:val="24"/>
          <w:szCs w:val="24"/>
        </w:rPr>
      </w:pPr>
    </w:p>
    <w:p w:rsidR="009B236C" w:rsidRDefault="00000000" w14:paraId="0D187C35" w14:textId="77777777">
      <w:pPr>
        <w:ind w:right="-360"/>
        <w:jc w:val="both"/>
        <w:rPr>
          <w:rFonts w:ascii="Lato" w:hAnsi="Lato" w:eastAsia="Lato" w:cs="Lato"/>
          <w:color w:val="434344"/>
          <w:sz w:val="24"/>
          <w:szCs w:val="24"/>
          <w:u w:val="single"/>
        </w:rPr>
      </w:pPr>
      <w:r>
        <w:rPr>
          <w:rFonts w:ascii="Lato" w:hAnsi="Lato" w:eastAsia="Lato" w:cs="Lato"/>
          <w:color w:val="434344"/>
          <w:sz w:val="24"/>
          <w:szCs w:val="24"/>
          <w:u w:val="single"/>
        </w:rPr>
        <w:t>Credit standards</w:t>
      </w:r>
    </w:p>
    <w:p w:rsidR="009B236C" w:rsidRDefault="00000000" w14:paraId="0D187C36" w14:textId="77777777">
      <w:pPr>
        <w:numPr>
          <w:ilvl w:val="0"/>
          <w:numId w:val="2"/>
        </w:numPr>
        <w:ind w:right="-360"/>
        <w:jc w:val="both"/>
        <w:rPr>
          <w:rFonts w:ascii="Lato" w:hAnsi="Lato" w:eastAsia="Lato" w:cs="Lato"/>
          <w:color w:val="434344"/>
          <w:sz w:val="24"/>
          <w:szCs w:val="24"/>
        </w:rPr>
      </w:pPr>
      <w:r>
        <w:rPr>
          <w:rFonts w:ascii="Lato" w:hAnsi="Lato" w:eastAsia="Lato" w:cs="Lato"/>
          <w:color w:val="434344"/>
          <w:sz w:val="24"/>
          <w:szCs w:val="24"/>
        </w:rPr>
        <w:t xml:space="preserve">At purchase, short-term credit instruments must </w:t>
      </w:r>
      <w:proofErr w:type="gramStart"/>
      <w:r>
        <w:rPr>
          <w:rFonts w:ascii="Lato" w:hAnsi="Lato" w:eastAsia="Lato" w:cs="Lato"/>
          <w:color w:val="434344"/>
          <w:sz w:val="24"/>
          <w:szCs w:val="24"/>
        </w:rPr>
        <w:t>be rated</w:t>
      </w:r>
      <w:proofErr w:type="gramEnd"/>
      <w:r>
        <w:rPr>
          <w:rFonts w:ascii="Lato" w:hAnsi="Lato" w:eastAsia="Lato" w:cs="Lato"/>
          <w:color w:val="434344"/>
          <w:sz w:val="24"/>
          <w:szCs w:val="24"/>
        </w:rPr>
        <w:t xml:space="preserve"> A-1, P-1, F1 at a minimum by at least one Nationally Recognized Statistical Ratings Organizations (NRSROs). </w:t>
      </w:r>
    </w:p>
    <w:p w:rsidR="009B236C" w:rsidRDefault="00000000" w14:paraId="0D187C37" w14:textId="77777777">
      <w:pPr>
        <w:numPr>
          <w:ilvl w:val="0"/>
          <w:numId w:val="2"/>
        </w:numPr>
        <w:ind w:right="-360"/>
        <w:jc w:val="both"/>
        <w:rPr>
          <w:rFonts w:ascii="Lato" w:hAnsi="Lato" w:eastAsia="Lato" w:cs="Lato"/>
          <w:color w:val="434344"/>
          <w:sz w:val="24"/>
          <w:szCs w:val="24"/>
        </w:rPr>
      </w:pPr>
      <w:r>
        <w:rPr>
          <w:rFonts w:ascii="Lato" w:hAnsi="Lato" w:eastAsia="Lato" w:cs="Lato"/>
          <w:color w:val="434344"/>
          <w:sz w:val="24"/>
          <w:szCs w:val="24"/>
        </w:rPr>
        <w:t xml:space="preserve">Money market funds must </w:t>
      </w:r>
      <w:proofErr w:type="gramStart"/>
      <w:r>
        <w:rPr>
          <w:rFonts w:ascii="Lato" w:hAnsi="Lato" w:eastAsia="Lato" w:cs="Lato"/>
          <w:color w:val="434344"/>
          <w:sz w:val="24"/>
          <w:szCs w:val="24"/>
        </w:rPr>
        <w:t>be rated</w:t>
      </w:r>
      <w:proofErr w:type="gramEnd"/>
      <w:r>
        <w:rPr>
          <w:rFonts w:ascii="Lato" w:hAnsi="Lato" w:eastAsia="Lato" w:cs="Lato"/>
          <w:color w:val="434344"/>
          <w:sz w:val="24"/>
          <w:szCs w:val="24"/>
        </w:rPr>
        <w:t xml:space="preserve"> AAA/Aaa/AAA by at least one NRSRO.</w:t>
      </w:r>
    </w:p>
    <w:p w:rsidR="009B236C" w:rsidRDefault="00000000" w14:paraId="0D187C38" w14:textId="77777777">
      <w:pPr>
        <w:numPr>
          <w:ilvl w:val="0"/>
          <w:numId w:val="2"/>
        </w:numPr>
        <w:ind w:right="-360"/>
        <w:jc w:val="both"/>
        <w:rPr>
          <w:rFonts w:ascii="Lato" w:hAnsi="Lato" w:eastAsia="Lato" w:cs="Lato"/>
          <w:color w:val="434344"/>
          <w:sz w:val="24"/>
          <w:szCs w:val="24"/>
        </w:rPr>
      </w:pPr>
      <w:r>
        <w:rPr>
          <w:rFonts w:ascii="Lato" w:hAnsi="Lato" w:eastAsia="Lato" w:cs="Lato"/>
          <w:color w:val="434344"/>
          <w:sz w:val="24"/>
          <w:szCs w:val="24"/>
        </w:rPr>
        <w:t xml:space="preserve">If securities or funds </w:t>
      </w:r>
      <w:proofErr w:type="gramStart"/>
      <w:r>
        <w:rPr>
          <w:rFonts w:ascii="Lato" w:hAnsi="Lato" w:eastAsia="Lato" w:cs="Lato"/>
          <w:color w:val="434344"/>
          <w:sz w:val="24"/>
          <w:szCs w:val="24"/>
        </w:rPr>
        <w:t>are downgraded</w:t>
      </w:r>
      <w:proofErr w:type="gramEnd"/>
      <w:r>
        <w:rPr>
          <w:rFonts w:ascii="Lato" w:hAnsi="Lato" w:eastAsia="Lato" w:cs="Lato"/>
          <w:color w:val="434344"/>
          <w:sz w:val="24"/>
          <w:szCs w:val="24"/>
        </w:rPr>
        <w:t xml:space="preserve"> below the minimum ratings noted above, the company must be notified within two business days of the downgrade and provided with a recommended action. </w:t>
      </w:r>
    </w:p>
    <w:p w:rsidR="009B236C" w:rsidRDefault="00000000" w14:paraId="0D187C39" w14:textId="77777777">
      <w:pPr>
        <w:numPr>
          <w:ilvl w:val="0"/>
          <w:numId w:val="2"/>
        </w:numPr>
        <w:ind w:right="-360"/>
        <w:jc w:val="both"/>
        <w:rPr>
          <w:rFonts w:ascii="Lato" w:hAnsi="Lato" w:eastAsia="Lato" w:cs="Lato"/>
          <w:color w:val="434344"/>
          <w:sz w:val="24"/>
          <w:szCs w:val="24"/>
        </w:rPr>
      </w:pPr>
      <w:r>
        <w:rPr>
          <w:rFonts w:ascii="Lato" w:hAnsi="Lato" w:eastAsia="Lato" w:cs="Lato"/>
          <w:color w:val="434344"/>
          <w:sz w:val="24"/>
          <w:szCs w:val="24"/>
        </w:rPr>
        <w:t>Repurchase agreements will be 102% collateralized with securities issued by the US Government or its agencies.</w:t>
      </w:r>
    </w:p>
    <w:p w:rsidR="009B236C" w:rsidRDefault="009B236C" w14:paraId="0D187C3A" w14:textId="77777777">
      <w:pPr>
        <w:ind w:right="-360"/>
        <w:jc w:val="both"/>
        <w:rPr>
          <w:rFonts w:ascii="Lato" w:hAnsi="Lato" w:eastAsia="Lato" w:cs="Lato"/>
          <w:color w:val="434344"/>
          <w:sz w:val="24"/>
          <w:szCs w:val="24"/>
        </w:rPr>
      </w:pPr>
    </w:p>
    <w:p w:rsidR="009B236C" w:rsidRDefault="00000000" w14:paraId="0D187C3B" w14:textId="77777777">
      <w:pPr>
        <w:ind w:right="-360"/>
        <w:jc w:val="both"/>
        <w:rPr>
          <w:rFonts w:ascii="Lato" w:hAnsi="Lato" w:eastAsia="Lato" w:cs="Lato"/>
          <w:b/>
          <w:color w:val="434344"/>
          <w:sz w:val="24"/>
          <w:szCs w:val="24"/>
        </w:rPr>
      </w:pPr>
      <w:r>
        <w:rPr>
          <w:rFonts w:ascii="Lato" w:hAnsi="Lato" w:eastAsia="Lato" w:cs="Lato"/>
          <w:b/>
          <w:color w:val="434344"/>
          <w:sz w:val="24"/>
          <w:szCs w:val="24"/>
        </w:rPr>
        <w:t>Asset Allocation Requirements</w:t>
      </w:r>
    </w:p>
    <w:p w:rsidR="009B236C" w:rsidRDefault="00000000" w14:paraId="0D187C3C" w14:textId="7EFBAF4E">
      <w:pPr>
        <w:ind w:right="-360"/>
        <w:jc w:val="both"/>
        <w:rPr>
          <w:rFonts w:ascii="Lato" w:hAnsi="Lato" w:eastAsia="Lato" w:cs="Lato"/>
          <w:color w:val="434344"/>
          <w:sz w:val="24"/>
          <w:szCs w:val="24"/>
        </w:rPr>
      </w:pPr>
      <w:r w:rsidRPr="237C7DF0" w:rsidR="00000000">
        <w:rPr>
          <w:rFonts w:ascii="Lato" w:hAnsi="Lato" w:eastAsia="Lato" w:cs="Lato"/>
          <w:color w:val="434344"/>
          <w:sz w:val="24"/>
          <w:szCs w:val="24"/>
        </w:rPr>
        <w:t xml:space="preserve">At least 95% of the company’s overall portfolio must </w:t>
      </w:r>
      <w:r w:rsidRPr="237C7DF0" w:rsidR="00000000">
        <w:rPr>
          <w:rFonts w:ascii="Lato" w:hAnsi="Lato" w:eastAsia="Lato" w:cs="Lato"/>
          <w:color w:val="434344"/>
          <w:sz w:val="24"/>
          <w:szCs w:val="24"/>
        </w:rPr>
        <w:t>be invested</w:t>
      </w:r>
      <w:r w:rsidRPr="237C7DF0" w:rsidR="00000000">
        <w:rPr>
          <w:rFonts w:ascii="Lato" w:hAnsi="Lato" w:eastAsia="Lato" w:cs="Lato"/>
          <w:color w:val="434344"/>
          <w:sz w:val="24"/>
          <w:szCs w:val="24"/>
        </w:rPr>
        <w:t xml:space="preserve"> in US Treasury </w:t>
      </w:r>
      <w:r w:rsidRPr="237C7DF0" w:rsidR="00000000">
        <w:rPr>
          <w:rFonts w:ascii="Lato" w:hAnsi="Lato" w:eastAsia="Lato" w:cs="Lato"/>
          <w:color w:val="434344"/>
          <w:sz w:val="24"/>
          <w:szCs w:val="24"/>
        </w:rPr>
        <w:t>securities</w:t>
      </w:r>
      <w:r w:rsidRPr="237C7DF0" w:rsidR="007343E9">
        <w:rPr>
          <w:rFonts w:ascii="Lato" w:hAnsi="Lato" w:eastAsia="Lato" w:cs="Lato"/>
          <w:color w:val="434344"/>
          <w:sz w:val="24"/>
          <w:szCs w:val="24"/>
        </w:rPr>
        <w:t>, money market funds, and fully FDIC-insured, interest-bearing bank deposits</w:t>
      </w:r>
      <w:r w:rsidRPr="237C7DF0" w:rsidR="00000000">
        <w:rPr>
          <w:rFonts w:ascii="Lato" w:hAnsi="Lato" w:eastAsia="Lato" w:cs="Lato"/>
          <w:color w:val="434344"/>
          <w:sz w:val="24"/>
          <w:szCs w:val="24"/>
        </w:rPr>
        <w:t xml:space="preserve">. </w:t>
      </w:r>
    </w:p>
    <w:p w:rsidR="009B236C" w:rsidRDefault="009B236C" w14:paraId="0D187C3D" w14:textId="77777777">
      <w:pPr>
        <w:ind w:right="-360"/>
        <w:jc w:val="both"/>
        <w:rPr>
          <w:rFonts w:ascii="Lato" w:hAnsi="Lato" w:eastAsia="Lato" w:cs="Lato"/>
          <w:color w:val="434344"/>
          <w:sz w:val="24"/>
          <w:szCs w:val="24"/>
        </w:rPr>
      </w:pPr>
    </w:p>
    <w:p w:rsidR="009B236C" w:rsidRDefault="00000000" w14:paraId="0D187C3E" w14:textId="77777777">
      <w:pPr>
        <w:ind w:right="-360"/>
        <w:jc w:val="both"/>
        <w:rPr>
          <w:rFonts w:ascii="Lato" w:hAnsi="Lato" w:eastAsia="Lato" w:cs="Lato"/>
          <w:b/>
          <w:color w:val="434344"/>
          <w:sz w:val="24"/>
          <w:szCs w:val="24"/>
        </w:rPr>
      </w:pPr>
      <w:r>
        <w:rPr>
          <w:rFonts w:ascii="Lato" w:hAnsi="Lato" w:eastAsia="Lato" w:cs="Lato"/>
          <w:b/>
          <w:color w:val="434344"/>
          <w:sz w:val="24"/>
          <w:szCs w:val="24"/>
        </w:rPr>
        <w:t>Liquidity Requirements</w:t>
      </w:r>
    </w:p>
    <w:p w:rsidR="009B236C" w:rsidRDefault="00000000" w14:paraId="0D187C3F" w14:textId="77777777">
      <w:pPr>
        <w:ind w:right="-360"/>
        <w:jc w:val="both"/>
        <w:rPr>
          <w:rFonts w:ascii="Lato" w:hAnsi="Lato" w:eastAsia="Lato" w:cs="Lato"/>
          <w:color w:val="434344"/>
          <w:sz w:val="24"/>
          <w:szCs w:val="24"/>
        </w:rPr>
      </w:pPr>
      <w:r>
        <w:rPr>
          <w:rFonts w:ascii="Lato" w:hAnsi="Lato" w:eastAsia="Lato" w:cs="Lato"/>
          <w:color w:val="434344"/>
          <w:sz w:val="24"/>
          <w:szCs w:val="24"/>
        </w:rPr>
        <w:t xml:space="preserve">All securities held must be readily marketable with publicly available pricing and liquidity provided </w:t>
      </w:r>
      <w:proofErr w:type="gramStart"/>
      <w:r>
        <w:rPr>
          <w:rFonts w:ascii="Lato" w:hAnsi="Lato" w:eastAsia="Lato" w:cs="Lato"/>
          <w:color w:val="434344"/>
          <w:sz w:val="24"/>
          <w:szCs w:val="24"/>
        </w:rPr>
        <w:t>on a daily basis</w:t>
      </w:r>
      <w:proofErr w:type="gramEnd"/>
      <w:r>
        <w:rPr>
          <w:rFonts w:ascii="Lato" w:hAnsi="Lato" w:eastAsia="Lato" w:cs="Lato"/>
          <w:color w:val="434344"/>
          <w:sz w:val="24"/>
          <w:szCs w:val="24"/>
        </w:rPr>
        <w:t>.</w:t>
      </w:r>
    </w:p>
    <w:p w:rsidR="009B236C" w:rsidRDefault="009B236C" w14:paraId="0D187C40" w14:textId="77777777">
      <w:pPr>
        <w:ind w:right="-360"/>
        <w:jc w:val="both"/>
        <w:rPr>
          <w:rFonts w:ascii="Lato" w:hAnsi="Lato" w:eastAsia="Lato" w:cs="Lato"/>
          <w:color w:val="434344"/>
          <w:sz w:val="24"/>
          <w:szCs w:val="24"/>
        </w:rPr>
      </w:pPr>
    </w:p>
    <w:p w:rsidR="009B236C" w:rsidP="237C7DF0" w:rsidRDefault="009B236C" w14:paraId="0D187C42" w14:noSpellErr="1" w14:textId="4B6929A3">
      <w:pPr>
        <w:pStyle w:val="Normal"/>
        <w:ind w:right="-360"/>
        <w:jc w:val="both"/>
        <w:rPr>
          <w:rFonts w:ascii="Lato" w:hAnsi="Lato" w:eastAsia="Lato" w:cs="Lato"/>
          <w:b w:val="1"/>
          <w:bCs w:val="1"/>
          <w:color w:val="434344"/>
          <w:sz w:val="24"/>
          <w:szCs w:val="24"/>
        </w:rPr>
      </w:pPr>
    </w:p>
    <w:p w:rsidR="009B236C" w:rsidRDefault="00000000" w14:paraId="0D187C43" w14:textId="77777777">
      <w:pPr>
        <w:ind w:right="-360"/>
        <w:jc w:val="both"/>
        <w:rPr>
          <w:rFonts w:ascii="Lato" w:hAnsi="Lato" w:eastAsia="Lato" w:cs="Lato"/>
          <w:b/>
          <w:color w:val="434344"/>
          <w:sz w:val="24"/>
          <w:szCs w:val="24"/>
        </w:rPr>
      </w:pPr>
      <w:r>
        <w:rPr>
          <w:rFonts w:ascii="Lato" w:hAnsi="Lato" w:eastAsia="Lato" w:cs="Lato"/>
          <w:b/>
          <w:color w:val="434344"/>
          <w:sz w:val="24"/>
          <w:szCs w:val="24"/>
        </w:rPr>
        <w:t>Maturity Requirements</w:t>
      </w:r>
    </w:p>
    <w:p w:rsidR="009B236C" w:rsidRDefault="00000000" w14:paraId="0D187C44" w14:textId="77777777">
      <w:pPr>
        <w:numPr>
          <w:ilvl w:val="0"/>
          <w:numId w:val="6"/>
        </w:numPr>
        <w:ind w:right="-360"/>
        <w:jc w:val="both"/>
        <w:rPr>
          <w:rFonts w:ascii="Lato" w:hAnsi="Lato" w:eastAsia="Lato" w:cs="Lato"/>
          <w:color w:val="434344"/>
          <w:sz w:val="24"/>
          <w:szCs w:val="24"/>
        </w:rPr>
      </w:pPr>
      <w:r>
        <w:rPr>
          <w:rFonts w:ascii="Lato" w:hAnsi="Lato" w:eastAsia="Lato" w:cs="Lato"/>
          <w:color w:val="434344"/>
          <w:sz w:val="24"/>
          <w:szCs w:val="24"/>
        </w:rPr>
        <w:t xml:space="preserve">At time of purchase, the maturity of each security in the portfolio will not exceed 397 days. </w:t>
      </w:r>
    </w:p>
    <w:p w:rsidR="009B236C" w:rsidRDefault="00000000" w14:paraId="0D187C45" w14:textId="77777777">
      <w:pPr>
        <w:numPr>
          <w:ilvl w:val="0"/>
          <w:numId w:val="6"/>
        </w:numPr>
        <w:ind w:right="-360"/>
        <w:jc w:val="both"/>
        <w:rPr>
          <w:rFonts w:ascii="Lato" w:hAnsi="Lato" w:eastAsia="Lato" w:cs="Lato"/>
          <w:color w:val="434344"/>
          <w:sz w:val="24"/>
          <w:szCs w:val="24"/>
        </w:rPr>
      </w:pPr>
      <w:r>
        <w:rPr>
          <w:rFonts w:ascii="Lato" w:hAnsi="Lato" w:eastAsia="Lato" w:cs="Lato"/>
          <w:color w:val="434344"/>
          <w:sz w:val="24"/>
          <w:szCs w:val="24"/>
        </w:rPr>
        <w:t>The weighted average of any mutual funds held by the company will not exceed 397 days.</w:t>
      </w:r>
    </w:p>
    <w:p w:rsidR="009B236C" w:rsidRDefault="009B236C" w14:paraId="0D187C46" w14:textId="77777777">
      <w:pPr>
        <w:ind w:right="-360"/>
        <w:jc w:val="both"/>
        <w:rPr>
          <w:rFonts w:ascii="Lato" w:hAnsi="Lato" w:eastAsia="Lato" w:cs="Lato"/>
          <w:color w:val="434344"/>
          <w:sz w:val="24"/>
          <w:szCs w:val="24"/>
        </w:rPr>
      </w:pPr>
    </w:p>
    <w:p w:rsidR="009B236C" w:rsidRDefault="00000000" w14:paraId="0D187C47" w14:textId="77777777">
      <w:pPr>
        <w:ind w:right="-360"/>
        <w:jc w:val="both"/>
        <w:rPr>
          <w:rFonts w:ascii="Lato" w:hAnsi="Lato" w:eastAsia="Lato" w:cs="Lato"/>
          <w:b/>
          <w:color w:val="434344"/>
          <w:sz w:val="24"/>
          <w:szCs w:val="24"/>
        </w:rPr>
      </w:pPr>
      <w:r>
        <w:rPr>
          <w:rFonts w:ascii="Lato" w:hAnsi="Lato" w:eastAsia="Lato" w:cs="Lato"/>
          <w:b/>
          <w:color w:val="434344"/>
          <w:sz w:val="24"/>
          <w:szCs w:val="24"/>
        </w:rPr>
        <w:t>Performance Measurement</w:t>
      </w:r>
    </w:p>
    <w:p w:rsidR="009B236C" w:rsidRDefault="00000000" w14:paraId="0D187C48" w14:textId="77777777">
      <w:pPr>
        <w:numPr>
          <w:ilvl w:val="0"/>
          <w:numId w:val="5"/>
        </w:numPr>
        <w:ind w:right="-360"/>
        <w:jc w:val="both"/>
        <w:rPr>
          <w:rFonts w:ascii="Lato" w:hAnsi="Lato" w:eastAsia="Lato" w:cs="Lato"/>
          <w:color w:val="434344"/>
          <w:sz w:val="24"/>
          <w:szCs w:val="24"/>
        </w:rPr>
      </w:pPr>
      <w:r>
        <w:rPr>
          <w:rFonts w:ascii="Lato" w:hAnsi="Lato" w:eastAsia="Lato" w:cs="Lato"/>
          <w:color w:val="434344"/>
          <w:sz w:val="24"/>
          <w:szCs w:val="24"/>
        </w:rPr>
        <w:t>The investment manager must verify compliance with the CFA Institute’s Global Investment Performance Standards (GIPS).</w:t>
      </w:r>
    </w:p>
    <w:p w:rsidR="009B236C" w:rsidRDefault="00000000" w14:paraId="0D187C49" w14:textId="77777777">
      <w:pPr>
        <w:numPr>
          <w:ilvl w:val="0"/>
          <w:numId w:val="5"/>
        </w:numPr>
        <w:ind w:right="-360"/>
        <w:jc w:val="both"/>
        <w:rPr>
          <w:rFonts w:ascii="Lato" w:hAnsi="Lato" w:eastAsia="Lato" w:cs="Lato"/>
          <w:color w:val="434344"/>
          <w:sz w:val="24"/>
          <w:szCs w:val="24"/>
        </w:rPr>
      </w:pPr>
      <w:r>
        <w:rPr>
          <w:rFonts w:ascii="Lato" w:hAnsi="Lato" w:eastAsia="Lato" w:cs="Lato"/>
          <w:color w:val="434344"/>
          <w:sz w:val="24"/>
          <w:szCs w:val="24"/>
        </w:rPr>
        <w:t xml:space="preserve">The portfolio total return performance should be consistent with Lipper Institutional Money Market Fund Average. </w:t>
      </w:r>
    </w:p>
    <w:p w:rsidR="009B236C" w:rsidRDefault="00000000" w14:paraId="0D187C4A" w14:textId="77777777">
      <w:pPr>
        <w:numPr>
          <w:ilvl w:val="0"/>
          <w:numId w:val="5"/>
        </w:numPr>
        <w:ind w:right="-360"/>
        <w:jc w:val="both"/>
        <w:rPr>
          <w:rFonts w:ascii="Lato" w:hAnsi="Lato" w:eastAsia="Lato" w:cs="Lato"/>
          <w:color w:val="434344"/>
          <w:sz w:val="24"/>
          <w:szCs w:val="24"/>
        </w:rPr>
      </w:pPr>
      <w:r>
        <w:rPr>
          <w:rFonts w:ascii="Lato" w:hAnsi="Lato" w:eastAsia="Lato" w:cs="Lato"/>
          <w:color w:val="434344"/>
          <w:sz w:val="24"/>
          <w:szCs w:val="24"/>
        </w:rPr>
        <w:t>The investment manager will meet with the company no less than four times annually and will be available for regular telephone contact.</w:t>
      </w:r>
    </w:p>
    <w:p w:rsidR="009B236C" w:rsidRDefault="00000000" w14:paraId="0D187C4B" w14:textId="77777777">
      <w:pPr>
        <w:numPr>
          <w:ilvl w:val="0"/>
          <w:numId w:val="5"/>
        </w:numPr>
        <w:ind w:right="-360"/>
        <w:jc w:val="both"/>
        <w:rPr>
          <w:rFonts w:ascii="Lato" w:hAnsi="Lato" w:eastAsia="Lato" w:cs="Lato"/>
          <w:color w:val="434344"/>
          <w:sz w:val="24"/>
          <w:szCs w:val="24"/>
        </w:rPr>
      </w:pPr>
      <w:r>
        <w:rPr>
          <w:rFonts w:ascii="Lato" w:hAnsi="Lato" w:eastAsia="Lato" w:cs="Lato"/>
          <w:color w:val="434344"/>
          <w:sz w:val="24"/>
          <w:szCs w:val="24"/>
        </w:rPr>
        <w:t xml:space="preserve">The investment manager will provide monthly statements of transactions and market valuation of portfolio assets. </w:t>
      </w:r>
    </w:p>
    <w:p w:rsidR="009B236C" w:rsidRDefault="009B236C" w14:paraId="0D187C4C" w14:textId="77777777">
      <w:pPr>
        <w:ind w:right="-360"/>
        <w:jc w:val="both"/>
        <w:rPr>
          <w:rFonts w:ascii="Lato" w:hAnsi="Lato" w:eastAsia="Lato" w:cs="Lato"/>
          <w:color w:val="434344"/>
          <w:sz w:val="24"/>
          <w:szCs w:val="24"/>
        </w:rPr>
      </w:pPr>
    </w:p>
    <w:p w:rsidR="009B236C" w:rsidRDefault="00000000" w14:paraId="0D187C4D" w14:textId="77777777">
      <w:pPr>
        <w:ind w:right="-360"/>
        <w:jc w:val="both"/>
        <w:rPr>
          <w:rFonts w:ascii="Lato" w:hAnsi="Lato" w:eastAsia="Lato" w:cs="Lato"/>
          <w:b/>
          <w:color w:val="434344"/>
          <w:sz w:val="24"/>
          <w:szCs w:val="24"/>
        </w:rPr>
      </w:pPr>
      <w:r>
        <w:rPr>
          <w:rFonts w:ascii="Lato" w:hAnsi="Lato" w:eastAsia="Lato" w:cs="Lato"/>
          <w:b/>
          <w:color w:val="434344"/>
          <w:sz w:val="24"/>
          <w:szCs w:val="24"/>
        </w:rPr>
        <w:t>Transparency</w:t>
      </w:r>
    </w:p>
    <w:p w:rsidR="009B236C" w:rsidRDefault="00000000" w14:paraId="0D187C4E" w14:textId="77777777">
      <w:pPr>
        <w:ind w:right="-360"/>
        <w:jc w:val="both"/>
        <w:rPr>
          <w:rFonts w:ascii="Lato" w:hAnsi="Lato" w:eastAsia="Lato" w:cs="Lato"/>
          <w:color w:val="434344"/>
          <w:sz w:val="24"/>
          <w:szCs w:val="24"/>
        </w:rPr>
      </w:pPr>
      <w:r>
        <w:rPr>
          <w:rFonts w:ascii="Lato" w:hAnsi="Lato" w:eastAsia="Lato" w:cs="Lato"/>
          <w:color w:val="434344"/>
          <w:sz w:val="24"/>
          <w:szCs w:val="24"/>
        </w:rPr>
        <w:t xml:space="preserve">Assets are to </w:t>
      </w:r>
      <w:proofErr w:type="gramStart"/>
      <w:r>
        <w:rPr>
          <w:rFonts w:ascii="Lato" w:hAnsi="Lato" w:eastAsia="Lato" w:cs="Lato"/>
          <w:color w:val="434344"/>
          <w:sz w:val="24"/>
          <w:szCs w:val="24"/>
        </w:rPr>
        <w:t>be held</w:t>
      </w:r>
      <w:proofErr w:type="gramEnd"/>
      <w:r>
        <w:rPr>
          <w:rFonts w:ascii="Lato" w:hAnsi="Lato" w:eastAsia="Lato" w:cs="Lato"/>
          <w:color w:val="434344"/>
          <w:sz w:val="24"/>
          <w:szCs w:val="24"/>
        </w:rPr>
        <w:t xml:space="preserve"> in a third-party custodial account with a separate agreement between the custodian and the company. The custodian will provide an annual SSAE 16 report.</w:t>
      </w:r>
    </w:p>
    <w:p w:rsidR="009B236C" w:rsidRDefault="009B236C" w14:paraId="0D187C4F" w14:textId="77777777">
      <w:pPr>
        <w:ind w:right="-360"/>
        <w:jc w:val="both"/>
        <w:rPr>
          <w:rFonts w:ascii="Lato" w:hAnsi="Lato" w:eastAsia="Lato" w:cs="Lato"/>
          <w:color w:val="434344"/>
          <w:sz w:val="24"/>
          <w:szCs w:val="24"/>
        </w:rPr>
      </w:pPr>
    </w:p>
    <w:p w:rsidR="009B236C" w:rsidRDefault="009B236C" w14:paraId="0D187C50" w14:textId="77777777">
      <w:pPr>
        <w:ind w:right="-360"/>
        <w:jc w:val="both"/>
        <w:rPr>
          <w:rFonts w:ascii="Lato" w:hAnsi="Lato" w:eastAsia="Lato" w:cs="Lato"/>
          <w:color w:val="434344"/>
          <w:sz w:val="24"/>
          <w:szCs w:val="24"/>
        </w:rPr>
      </w:pPr>
    </w:p>
    <w:p w:rsidR="009B236C" w:rsidRDefault="009B236C" w14:paraId="0D187C51" w14:textId="77777777">
      <w:pPr>
        <w:ind w:right="-360"/>
        <w:jc w:val="both"/>
        <w:rPr>
          <w:rFonts w:ascii="Lato" w:hAnsi="Lato" w:eastAsia="Lato" w:cs="Lato"/>
          <w:color w:val="434344"/>
          <w:sz w:val="24"/>
          <w:szCs w:val="24"/>
        </w:rPr>
      </w:pPr>
    </w:p>
    <w:p w:rsidR="009B236C" w:rsidRDefault="009B236C" w14:paraId="0D187C52" w14:textId="77777777">
      <w:pPr>
        <w:ind w:right="-360"/>
        <w:jc w:val="both"/>
        <w:rPr>
          <w:rFonts w:ascii="Lato" w:hAnsi="Lato" w:eastAsia="Lato" w:cs="Lato"/>
          <w:color w:val="434344"/>
          <w:sz w:val="24"/>
          <w:szCs w:val="24"/>
        </w:rPr>
      </w:pPr>
    </w:p>
    <w:p w:rsidR="009B236C" w:rsidP="237C7DF0" w:rsidRDefault="00000000" w14:paraId="0D187C53" w14:textId="16FAC30F">
      <w:pPr>
        <w:spacing w:after="120"/>
        <w:ind w:right="-360"/>
        <w:jc w:val="both"/>
        <w:rPr>
          <w:rFonts w:ascii="Lato" w:hAnsi="Lato" w:eastAsia="Lato" w:cs="Lato"/>
          <w:color w:val="434344"/>
          <w:sz w:val="24"/>
          <w:szCs w:val="24"/>
        </w:rPr>
      </w:pPr>
      <w:r w:rsidRPr="237C7DF0" w:rsidR="00000000">
        <w:rPr>
          <w:rFonts w:ascii="Lato" w:hAnsi="Lato" w:eastAsia="Lato" w:cs="Lato"/>
          <w:color w:val="434344"/>
          <w:sz w:val="24"/>
          <w:szCs w:val="24"/>
        </w:rPr>
        <w:t>____________________________________</w:t>
      </w:r>
      <w:r w:rsidRPr="237C7DF0" w:rsidR="005E1F0C">
        <w:rPr>
          <w:rFonts w:ascii="Lato" w:hAnsi="Lato" w:eastAsia="Lato" w:cs="Lato"/>
          <w:color w:val="434344"/>
          <w:sz w:val="24"/>
          <w:szCs w:val="24"/>
        </w:rPr>
        <w:t>____</w:t>
      </w:r>
      <w:r>
        <w:tab/>
      </w:r>
      <w:r>
        <w:tab/>
      </w:r>
      <w:r>
        <w:tab/>
      </w:r>
      <w:r w:rsidRPr="237C7DF0" w:rsidR="000D7474">
        <w:rPr>
          <w:rFonts w:ascii="Lato" w:hAnsi="Lato" w:eastAsia="Lato" w:cs="Lato"/>
          <w:b w:val="1"/>
          <w:bCs w:val="1"/>
          <w:color w:val="434344"/>
          <w:sz w:val="24"/>
          <w:szCs w:val="24"/>
        </w:rPr>
        <w:t xml:space="preserve">Date: </w:t>
      </w:r>
      <w:r w:rsidRPr="237C7DF0" w:rsidR="00000000">
        <w:rPr>
          <w:rFonts w:ascii="Lato" w:hAnsi="Lato" w:eastAsia="Lato" w:cs="Lato"/>
          <w:color w:val="434344"/>
          <w:sz w:val="24"/>
          <w:szCs w:val="24"/>
        </w:rPr>
        <w:t>______________________</w:t>
      </w:r>
    </w:p>
    <w:p w:rsidR="009B236C" w:rsidP="237C7DF0" w:rsidRDefault="00000000" w14:paraId="0D187C54" w14:textId="5A889725">
      <w:pPr>
        <w:spacing w:after="120"/>
        <w:ind w:right="-360"/>
        <w:jc w:val="both"/>
        <w:rPr>
          <w:rFonts w:ascii="Lato" w:hAnsi="Lato" w:eastAsia="Lato" w:cs="Lato"/>
          <w:b w:val="1"/>
          <w:bCs w:val="1"/>
          <w:color w:val="434344"/>
          <w:sz w:val="24"/>
          <w:szCs w:val="24"/>
        </w:rPr>
      </w:pPr>
      <w:r w:rsidRPr="237C7DF0" w:rsidR="00000000">
        <w:rPr>
          <w:rFonts w:ascii="Lato" w:hAnsi="Lato" w:eastAsia="Lato" w:cs="Lato"/>
          <w:b w:val="1"/>
          <w:bCs w:val="1"/>
          <w:color w:val="434344"/>
          <w:sz w:val="24"/>
          <w:szCs w:val="24"/>
        </w:rPr>
        <w:t>Name</w:t>
      </w:r>
      <w:r w:rsidRPr="237C7DF0" w:rsidR="006052A1">
        <w:rPr>
          <w:rFonts w:ascii="Lato" w:hAnsi="Lato" w:eastAsia="Lato" w:cs="Lato"/>
          <w:b w:val="1"/>
          <w:bCs w:val="1"/>
          <w:color w:val="434344"/>
          <w:sz w:val="24"/>
          <w:szCs w:val="24"/>
        </w:rPr>
        <w:t xml:space="preserve">: </w:t>
      </w:r>
      <w:r w:rsidRPr="237C7DF0" w:rsidR="006052A1">
        <w:rPr>
          <w:rFonts w:ascii="Lato" w:hAnsi="Lato" w:eastAsia="Lato" w:cs="Lato"/>
          <w:color w:val="434344"/>
          <w:sz w:val="24"/>
          <w:szCs w:val="24"/>
        </w:rPr>
        <w:t>______________________________</w:t>
      </w:r>
      <w:r w:rsidRPr="237C7DF0" w:rsidR="005E1F0C">
        <w:rPr>
          <w:rFonts w:ascii="Lato" w:hAnsi="Lato" w:eastAsia="Lato" w:cs="Lato"/>
          <w:color w:val="434344"/>
          <w:sz w:val="24"/>
          <w:szCs w:val="24"/>
        </w:rPr>
        <w:t>___</w:t>
      </w:r>
      <w:r>
        <w:tab/>
      </w:r>
      <w:r>
        <w:tab/>
      </w:r>
      <w:r>
        <w:tab/>
      </w:r>
    </w:p>
    <w:p w:rsidR="009B236C" w:rsidRDefault="006052A1" w14:paraId="0D187C55" w14:textId="024AE17E" w14:noSpellErr="1">
      <w:pPr>
        <w:ind w:right="-360"/>
        <w:jc w:val="both"/>
        <w:rPr>
          <w:rFonts w:ascii="Lato" w:hAnsi="Lato" w:eastAsia="Lato" w:cs="Lato"/>
          <w:color w:val="434344"/>
          <w:sz w:val="20"/>
          <w:szCs w:val="20"/>
        </w:rPr>
      </w:pPr>
      <w:r w:rsidRPr="237C7DF0" w:rsidR="006052A1">
        <w:rPr>
          <w:rFonts w:ascii="Lato" w:hAnsi="Lato" w:eastAsia="Lato" w:cs="Lato"/>
          <w:b w:val="1"/>
          <w:bCs w:val="1"/>
          <w:color w:val="434344"/>
          <w:sz w:val="24"/>
          <w:szCs w:val="24"/>
        </w:rPr>
        <w:t>Title</w:t>
      </w:r>
      <w:r w:rsidRPr="237C7DF0" w:rsidR="006052A1">
        <w:rPr>
          <w:rFonts w:ascii="Lato" w:hAnsi="Lato" w:eastAsia="Lato" w:cs="Lato"/>
          <w:b w:val="1"/>
          <w:bCs w:val="1"/>
          <w:color w:val="434344"/>
          <w:sz w:val="24"/>
          <w:szCs w:val="24"/>
        </w:rPr>
        <w:t xml:space="preserve">: </w:t>
      </w:r>
      <w:r w:rsidRPr="237C7DF0" w:rsidR="005E1F0C">
        <w:rPr>
          <w:rFonts w:ascii="Lato" w:hAnsi="Lato" w:eastAsia="Lato" w:cs="Lato"/>
          <w:b w:val="1"/>
          <w:bCs w:val="1"/>
          <w:color w:val="434344"/>
          <w:sz w:val="24"/>
          <w:szCs w:val="24"/>
        </w:rPr>
        <w:t>__________________________________</w:t>
      </w:r>
    </w:p>
    <w:sectPr w:rsidR="009B236C">
      <w:headerReference w:type="default" r:id="rId11"/>
      <w:footerReference w:type="even" r:id="rId12"/>
      <w:footerReference w:type="default" r:id="rId13"/>
      <w:pgSz w:w="12240" w:h="15840" w:orient="portrait"/>
      <w:pgMar w:top="1440" w:right="1440" w:bottom="1440" w:left="1080" w:header="0" w:footer="720" w:gutter="0"/>
      <w:pgNumType w:start="1"/>
      <w:cols w:space="720"/>
      <w:titlePg/>
      <w:headerReference w:type="even" r:id="Ra86a8ae5c0ac4f76"/>
      <w:headerReference w:type="first" r:id="Rf64f8972b2d54718"/>
      <w:footerReference w:type="first" r:id="Rd20582d0db5b4a4a"/>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923B2" w:rsidRDefault="002923B2" w14:paraId="37851D7F" w14:textId="77777777">
      <w:pPr>
        <w:spacing w:line="240" w:lineRule="auto"/>
      </w:pPr>
      <w:r>
        <w:separator/>
      </w:r>
    </w:p>
  </w:endnote>
  <w:endnote w:type="continuationSeparator" w:id="0">
    <w:p w:rsidR="002923B2" w:rsidRDefault="002923B2" w14:paraId="32E30171"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Black">
    <w:charset w:val="00"/>
    <w:family w:val="swiss"/>
    <w:pitch w:val="variable"/>
    <w:sig w:usb0="E10002FF" w:usb1="5000ECFF" w:usb2="00000021" w:usb3="00000000" w:csb0="0000019F"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4B17DF" w:rsidRDefault="004B17DF" w14:paraId="2122B958" w14:textId="7A5255A4">
    <w:pPr>
      <w:pStyle w:val="Footer"/>
    </w:pPr>
    <w:r>
      <w:rPr>
        <w:noProof/>
      </w:rPr>
      <w:drawing>
        <wp:anchor distT="114300" distB="114300" distL="114300" distR="114300" simplePos="0" relativeHeight="251660288" behindDoc="1" locked="0" layoutInCell="1" hidden="0" allowOverlap="1" wp14:anchorId="43AC7F7F" wp14:editId="368CE66C">
          <wp:simplePos x="0" y="0"/>
          <wp:positionH relativeFrom="page">
            <wp:align>center</wp:align>
          </wp:positionH>
          <wp:positionV relativeFrom="paragraph">
            <wp:posOffset>-205740</wp:posOffset>
          </wp:positionV>
          <wp:extent cx="7749138" cy="816216"/>
          <wp:effectExtent l="0" t="0" r="4445" b="3175"/>
          <wp:wrapNone/>
          <wp:docPr id="1331789664" name="Picture 1331789664"/>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749138" cy="816216"/>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9B236C" w:rsidRDefault="00000000" w14:paraId="0D187C58" w14:textId="77777777">
    <w:pPr>
      <w:ind w:left="-1080"/>
      <w:jc w:val="center"/>
      <w:rPr>
        <w:rFonts w:ascii="Lato" w:hAnsi="Lato" w:eastAsia="Lato" w:cs="Lato"/>
        <w:sz w:val="16"/>
        <w:szCs w:val="16"/>
      </w:rPr>
    </w:pPr>
    <w:r>
      <w:rPr>
        <w:noProof/>
      </w:rPr>
      <w:drawing>
        <wp:anchor distT="114300" distB="114300" distL="114300" distR="114300" simplePos="0" relativeHeight="251658240" behindDoc="1" locked="0" layoutInCell="1" hidden="0" allowOverlap="1" wp14:anchorId="0D187C5C" wp14:editId="0D187C5D">
          <wp:simplePos x="0" y="0"/>
          <wp:positionH relativeFrom="column">
            <wp:posOffset>-666749</wp:posOffset>
          </wp:positionH>
          <wp:positionV relativeFrom="paragraph">
            <wp:posOffset>-62483</wp:posOffset>
          </wp:positionV>
          <wp:extent cx="7749138" cy="816216"/>
          <wp:effectExtent l="0" t="0" r="0" b="0"/>
          <wp:wrapNone/>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749138" cy="816216"/>
                  </a:xfrm>
                  <a:prstGeom prst="rect">
                    <a:avLst/>
                  </a:prstGeom>
                  <a:ln/>
                </pic:spPr>
              </pic:pic>
            </a:graphicData>
          </a:graphic>
        </wp:anchor>
      </w:drawing>
    </w:r>
  </w:p>
  <w:p w:rsidR="009B236C" w:rsidRDefault="009B236C" w14:paraId="0D187C59" w14:textId="77777777">
    <w:pPr>
      <w:ind w:left="-1080"/>
      <w:jc w:val="center"/>
      <w:rPr>
        <w:rFonts w:ascii="Lato" w:hAnsi="Lato" w:eastAsia="Lato" w:cs="Lato"/>
        <w:color w:val="434344"/>
        <w:sz w:val="16"/>
        <w:szCs w:val="16"/>
      </w:rPr>
    </w:pPr>
  </w:p>
</w:ftr>
</file>

<file path=word/footer3.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240"/>
      <w:gridCol w:w="3240"/>
      <w:gridCol w:w="3240"/>
    </w:tblGrid>
    <w:tr w:rsidR="237C7DF0" w:rsidTr="237C7DF0" w14:paraId="3AE2AA39">
      <w:trPr>
        <w:trHeight w:val="300"/>
      </w:trPr>
      <w:tc>
        <w:tcPr>
          <w:tcW w:w="3240" w:type="dxa"/>
          <w:tcMar/>
        </w:tcPr>
        <w:p w:rsidR="237C7DF0" w:rsidP="237C7DF0" w:rsidRDefault="237C7DF0" w14:paraId="63C7E7FC" w14:textId="55382818">
          <w:pPr>
            <w:pStyle w:val="Header"/>
            <w:bidi w:val="0"/>
            <w:ind w:left="-115"/>
            <w:jc w:val="left"/>
          </w:pPr>
        </w:p>
      </w:tc>
      <w:tc>
        <w:tcPr>
          <w:tcW w:w="3240" w:type="dxa"/>
          <w:tcMar/>
        </w:tcPr>
        <w:p w:rsidR="237C7DF0" w:rsidP="237C7DF0" w:rsidRDefault="237C7DF0" w14:paraId="00B0251F" w14:textId="65E64A80">
          <w:pPr>
            <w:pStyle w:val="Header"/>
            <w:bidi w:val="0"/>
            <w:jc w:val="center"/>
          </w:pPr>
        </w:p>
      </w:tc>
      <w:tc>
        <w:tcPr>
          <w:tcW w:w="3240" w:type="dxa"/>
          <w:tcMar/>
        </w:tcPr>
        <w:p w:rsidR="237C7DF0" w:rsidP="237C7DF0" w:rsidRDefault="237C7DF0" w14:paraId="4D9E244A" w14:textId="1FDE8EBE">
          <w:pPr>
            <w:pStyle w:val="Header"/>
            <w:bidi w:val="0"/>
            <w:ind w:right="-115"/>
            <w:jc w:val="right"/>
          </w:pPr>
        </w:p>
      </w:tc>
    </w:tr>
  </w:tbl>
  <w:p w:rsidR="237C7DF0" w:rsidP="237C7DF0" w:rsidRDefault="237C7DF0" w14:paraId="54AE032A" w14:textId="026B9313">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923B2" w:rsidRDefault="002923B2" w14:paraId="2E2B47FC" w14:textId="77777777">
      <w:pPr>
        <w:spacing w:line="240" w:lineRule="auto"/>
      </w:pPr>
      <w:r>
        <w:separator/>
      </w:r>
    </w:p>
  </w:footnote>
  <w:footnote w:type="continuationSeparator" w:id="0">
    <w:p w:rsidR="002923B2" w:rsidRDefault="002923B2" w14:paraId="2A6C4412"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B236C" w:rsidRDefault="009B236C" w14:paraId="0D187C57" w14:textId="77777777">
    <w:pPr>
      <w:ind w:left="-1080" w:right="-1440"/>
      <w:jc w:val="center"/>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240"/>
      <w:gridCol w:w="3240"/>
      <w:gridCol w:w="3240"/>
    </w:tblGrid>
    <w:tr w:rsidR="237C7DF0" w:rsidTr="237C7DF0" w14:paraId="4C694554">
      <w:trPr>
        <w:trHeight w:val="300"/>
      </w:trPr>
      <w:tc>
        <w:tcPr>
          <w:tcW w:w="3240" w:type="dxa"/>
          <w:tcMar/>
        </w:tcPr>
        <w:p w:rsidR="237C7DF0" w:rsidP="237C7DF0" w:rsidRDefault="237C7DF0" w14:paraId="6C7FA688" w14:textId="6F85669F">
          <w:pPr>
            <w:pStyle w:val="Header"/>
            <w:bidi w:val="0"/>
            <w:ind w:left="-115"/>
            <w:jc w:val="left"/>
          </w:pPr>
        </w:p>
      </w:tc>
      <w:tc>
        <w:tcPr>
          <w:tcW w:w="3240" w:type="dxa"/>
          <w:tcMar/>
        </w:tcPr>
        <w:p w:rsidR="237C7DF0" w:rsidP="237C7DF0" w:rsidRDefault="237C7DF0" w14:paraId="2D8A8E0E" w14:textId="10CF93F1">
          <w:pPr>
            <w:pStyle w:val="Header"/>
            <w:bidi w:val="0"/>
            <w:jc w:val="center"/>
          </w:pPr>
        </w:p>
      </w:tc>
      <w:tc>
        <w:tcPr>
          <w:tcW w:w="3240" w:type="dxa"/>
          <w:tcMar/>
        </w:tcPr>
        <w:p w:rsidR="237C7DF0" w:rsidP="237C7DF0" w:rsidRDefault="237C7DF0" w14:paraId="7ED34454" w14:textId="38810B05">
          <w:pPr>
            <w:pStyle w:val="Header"/>
            <w:bidi w:val="0"/>
            <w:ind w:right="-115"/>
            <w:jc w:val="right"/>
          </w:pPr>
        </w:p>
      </w:tc>
    </w:tr>
  </w:tbl>
  <w:p w:rsidR="237C7DF0" w:rsidP="237C7DF0" w:rsidRDefault="237C7DF0" w14:paraId="513CD880" w14:textId="2077EBB2">
    <w:pPr>
      <w:pStyle w:val="Header"/>
      <w:bidi w:val="0"/>
    </w:pPr>
  </w:p>
</w:hdr>
</file>

<file path=word/header3.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240"/>
      <w:gridCol w:w="3240"/>
      <w:gridCol w:w="3240"/>
    </w:tblGrid>
    <w:tr w:rsidR="237C7DF0" w:rsidTr="237C7DF0" w14:paraId="3C6C0252">
      <w:trPr>
        <w:trHeight w:val="300"/>
      </w:trPr>
      <w:tc>
        <w:tcPr>
          <w:tcW w:w="3240" w:type="dxa"/>
          <w:tcMar/>
        </w:tcPr>
        <w:p w:rsidR="237C7DF0" w:rsidP="237C7DF0" w:rsidRDefault="237C7DF0" w14:paraId="7672F5C4" w14:textId="4850CE05">
          <w:pPr>
            <w:pStyle w:val="Header"/>
            <w:bidi w:val="0"/>
            <w:ind w:left="-115"/>
            <w:jc w:val="left"/>
          </w:pPr>
        </w:p>
      </w:tc>
      <w:tc>
        <w:tcPr>
          <w:tcW w:w="3240" w:type="dxa"/>
          <w:tcMar/>
        </w:tcPr>
        <w:p w:rsidR="237C7DF0" w:rsidP="237C7DF0" w:rsidRDefault="237C7DF0" w14:paraId="5252FBC6" w14:textId="119CC177">
          <w:pPr>
            <w:pStyle w:val="Header"/>
            <w:bidi w:val="0"/>
            <w:jc w:val="center"/>
          </w:pPr>
        </w:p>
      </w:tc>
      <w:tc>
        <w:tcPr>
          <w:tcW w:w="3240" w:type="dxa"/>
          <w:tcMar/>
        </w:tcPr>
        <w:p w:rsidR="237C7DF0" w:rsidP="237C7DF0" w:rsidRDefault="237C7DF0" w14:paraId="5AF2062B" w14:textId="6B51D3DF">
          <w:pPr>
            <w:pStyle w:val="Header"/>
            <w:bidi w:val="0"/>
            <w:ind w:right="-115"/>
            <w:jc w:val="right"/>
          </w:pPr>
        </w:p>
      </w:tc>
    </w:tr>
  </w:tbl>
  <w:p w:rsidR="237C7DF0" w:rsidP="237C7DF0" w:rsidRDefault="237C7DF0" w14:paraId="60647985" w14:textId="01963C51">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A26F0"/>
    <w:multiLevelType w:val="multilevel"/>
    <w:tmpl w:val="DDE2A8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A4D0013"/>
    <w:multiLevelType w:val="multilevel"/>
    <w:tmpl w:val="14E60D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4E3331E"/>
    <w:multiLevelType w:val="multilevel"/>
    <w:tmpl w:val="A822A5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DC62156"/>
    <w:multiLevelType w:val="multilevel"/>
    <w:tmpl w:val="116013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72E0307"/>
    <w:multiLevelType w:val="multilevel"/>
    <w:tmpl w:val="AB9ACB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F5A03A3"/>
    <w:multiLevelType w:val="multilevel"/>
    <w:tmpl w:val="704A6A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582375942">
    <w:abstractNumId w:val="5"/>
  </w:num>
  <w:num w:numId="2" w16cid:durableId="821235276">
    <w:abstractNumId w:val="4"/>
  </w:num>
  <w:num w:numId="3" w16cid:durableId="1298027599">
    <w:abstractNumId w:val="0"/>
  </w:num>
  <w:num w:numId="4" w16cid:durableId="463473774">
    <w:abstractNumId w:val="2"/>
  </w:num>
  <w:num w:numId="5" w16cid:durableId="959802295">
    <w:abstractNumId w:val="1"/>
  </w:num>
  <w:num w:numId="6" w16cid:durableId="1143932992">
    <w:abstractNumId w:val="3"/>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80"/>
  <w:trackRevisions w:val="false"/>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36C"/>
    <w:rsid w:val="00000000"/>
    <w:rsid w:val="000D7474"/>
    <w:rsid w:val="0019768F"/>
    <w:rsid w:val="001E1B15"/>
    <w:rsid w:val="00225CA7"/>
    <w:rsid w:val="00255F15"/>
    <w:rsid w:val="002923B2"/>
    <w:rsid w:val="004B17DF"/>
    <w:rsid w:val="005E1F0C"/>
    <w:rsid w:val="006052A1"/>
    <w:rsid w:val="006718A6"/>
    <w:rsid w:val="007343E9"/>
    <w:rsid w:val="007759AC"/>
    <w:rsid w:val="008041B6"/>
    <w:rsid w:val="008D1A60"/>
    <w:rsid w:val="00954A8A"/>
    <w:rsid w:val="009B236C"/>
    <w:rsid w:val="00A94263"/>
    <w:rsid w:val="00B102CF"/>
    <w:rsid w:val="00C15BB3"/>
    <w:rsid w:val="00D94C00"/>
    <w:rsid w:val="00E82583"/>
    <w:rsid w:val="00F972A9"/>
    <w:rsid w:val="237C7DF0"/>
    <w:rsid w:val="6216C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87C0E"/>
  <w15:docId w15:val="{10C2328F-183D-4123-84F9-76AC8BAB917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er">
    <w:name w:val="footer"/>
    <w:basedOn w:val="Normal"/>
    <w:link w:val="FooterChar"/>
    <w:uiPriority w:val="99"/>
    <w:unhideWhenUsed/>
    <w:rsid w:val="004B17DF"/>
    <w:pPr>
      <w:tabs>
        <w:tab w:val="center" w:pos="4680"/>
        <w:tab w:val="right" w:pos="9360"/>
      </w:tabs>
      <w:spacing w:line="240" w:lineRule="auto"/>
    </w:pPr>
  </w:style>
  <w:style w:type="character" w:styleId="FooterChar" w:customStyle="1">
    <w:name w:val="Footer Char"/>
    <w:basedOn w:val="DefaultParagraphFont"/>
    <w:link w:val="Footer"/>
    <w:uiPriority w:val="99"/>
    <w:rsid w:val="004B17DF"/>
  </w:style>
  <w:style w:type="paragraph" w:styleId="Revision">
    <w:name w:val="Revision"/>
    <w:hidden/>
    <w:uiPriority w:val="99"/>
    <w:semiHidden/>
    <w:rsid w:val="008041B6"/>
    <w:pPr>
      <w:spacing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microsoft.com/office/2011/relationships/people" Target="peop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header" Target="header2.xml" Id="Ra86a8ae5c0ac4f76" /><Relationship Type="http://schemas.openxmlformats.org/officeDocument/2006/relationships/header" Target="header3.xml" Id="Rf64f8972b2d54718" /><Relationship Type="http://schemas.openxmlformats.org/officeDocument/2006/relationships/footer" Target="footer3.xml" Id="Rd20582d0db5b4a4a" /></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07fcfe4-3394-4c53-a55c-e9d10cbb2992">
      <Terms xmlns="http://schemas.microsoft.com/office/infopath/2007/PartnerControls"/>
    </lcf76f155ced4ddcb4097134ff3c332f>
    <TaxCatchAll xmlns="71d5dd88-8199-4a93-ba9a-9ea5a016cc60" xsi:nil="true"/>
    <SharedWithUsers xmlns="71d5dd88-8199-4a93-ba9a-9ea5a016cc60">
      <UserInfo>
        <DisplayName>Bryan Long</DisplayName>
        <AccountId>29</AccountId>
        <AccountType/>
      </UserInfo>
      <UserInfo>
        <DisplayName>Andrii Sharapov</DisplayName>
        <AccountId>39</AccountId>
        <AccountType/>
      </UserInfo>
    </SharedWithUsers>
  </documentManagement>
</p:properties>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jKfQSQxEO7aUW141wpAuuARIvDA==">AMUW2mWqj9wszdvf/8djc71Bxuq15Yu731Dcmd2S96pWqByZGrMOe1e4FmP14Z/Jlsx3+0WWfIB5wRPgMZf3AnzuMVuJnTMr9jkw0voJ8RKqK67077Im0v4=</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495E2D9CF1A9D546AB2C6A4845456D83" ma:contentTypeVersion="13" ma:contentTypeDescription="Create a new document." ma:contentTypeScope="" ma:versionID="c4c01e1a99c086468e6f2fb3836f7c39">
  <xsd:schema xmlns:xsd="http://www.w3.org/2001/XMLSchema" xmlns:xs="http://www.w3.org/2001/XMLSchema" xmlns:p="http://schemas.microsoft.com/office/2006/metadata/properties" xmlns:ns2="407fcfe4-3394-4c53-a55c-e9d10cbb2992" xmlns:ns3="71d5dd88-8199-4a93-ba9a-9ea5a016cc60" targetNamespace="http://schemas.microsoft.com/office/2006/metadata/properties" ma:root="true" ma:fieldsID="75626d65c26ccd3a434acc3cf142ab81" ns2:_="" ns3:_="">
    <xsd:import namespace="407fcfe4-3394-4c53-a55c-e9d10cbb2992"/>
    <xsd:import namespace="71d5dd88-8199-4a93-ba9a-9ea5a016cc6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7fcfe4-3394-4c53-a55c-e9d10cbb29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2880cd7-7fa4-4e1f-a9bf-19492c013b7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d5dd88-8199-4a93-ba9a-9ea5a016cc6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cfeed23-aa0a-4ea3-932c-4e3800ea54ae}" ma:internalName="TaxCatchAll" ma:showField="CatchAllData" ma:web="71d5dd88-8199-4a93-ba9a-9ea5a016cc6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88EDDB-E4C9-4C91-9584-DFFB65913755}">
  <ds:schemaRefs>
    <ds:schemaRef ds:uri="http://schemas.microsoft.com/office/2006/metadata/properties"/>
    <ds:schemaRef ds:uri="http://schemas.microsoft.com/office/infopath/2007/PartnerControls"/>
    <ds:schemaRef ds:uri="407fcfe4-3394-4c53-a55c-e9d10cbb2992"/>
    <ds:schemaRef ds:uri="71d5dd88-8199-4a93-ba9a-9ea5a016cc60"/>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5CD6BBC6-5DBC-4D74-912A-9341DD6ABD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7fcfe4-3394-4c53-a55c-e9d10cbb2992"/>
    <ds:schemaRef ds:uri="71d5dd88-8199-4a93-ba9a-9ea5a016cc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1E6FCA-060E-4AA7-8CB2-AD47A60EDB4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Bryan Long</cp:lastModifiedBy>
  <cp:revision>19</cp:revision>
  <dcterms:created xsi:type="dcterms:W3CDTF">2023-11-10T19:20:00Z</dcterms:created>
  <dcterms:modified xsi:type="dcterms:W3CDTF">2023-11-13T17:29:29Z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0x010100495E2D9CF1A9D546AB2C6A4845456D83</vt:lpwstr>
  </property>
  <property fmtid="{D5CDD505-2E9C-101B-9397-08002B2CF9AE}" pid="3" name="MediaServiceImageTags">
    <vt:lpwstr/>
  </property>
</Properties>
</file>