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160" w:before="0" w:line="300" w:lineRule="auto"/>
        <w:rPr>
          <w:b w:val="1"/>
          <w:bCs w:val="1"/>
          <w:color w:val="1f2933"/>
          <w:sz w:val="48"/>
          <w:szCs w:val="48"/>
        </w:rPr>
      </w:pPr>
      <w:bookmarkStart w:colFirst="0" w:colLast="0" w:name="_2brexpv1sn8o" w:id="0"/>
      <w:bookmarkEnd w:id="0"/>
      <w:r w:rsidDel="00000000" w:rsidR="00000000" w:rsidRPr="00000000">
        <w:rPr>
          <w:b w:val="1"/>
          <w:bCs w:val="1"/>
          <w:color w:val="1f2933"/>
          <w:sz w:val="48"/>
          <w:szCs w:val="48"/>
          <w:rtl w:val="0"/>
        </w:rPr>
        <w:t xml:space="preserve">Canada-US Expansion: Comparing a US Branch, a US Subsidiary and a US Sister Corporation</w:t>
      </w:r>
    </w:p>
    <w:p w:rsidR="00000000" w:rsidDel="00000000" w:rsidP="00000000" w:rsidRDefault="00000000" w:rsidRPr="00000000" w14:paraId="00000002">
      <w:pPr>
        <w:spacing w:after="280" w:lineRule="auto"/>
        <w:rPr>
          <w:b w:val="1"/>
          <w:bCs w:val="1"/>
          <w:color w:val="19b5a7"/>
          <w:sz w:val="18"/>
          <w:szCs w:val="18"/>
        </w:rPr>
      </w:pPr>
      <w:r w:rsidDel="00000000" w:rsidR="00000000" w:rsidRPr="00000000">
        <w:rPr>
          <w:b w:val="1"/>
          <w:bCs w:val="1"/>
          <w:color w:val="19b5a7"/>
          <w:sz w:val="18"/>
          <w:szCs w:val="18"/>
          <w:rtl w:val="0"/>
        </w:rPr>
        <w:t xml:space="preserve">Case study · Cross-border tax · Corporate structure planning</w:t>
      </w:r>
    </w:p>
    <w:p w:rsidR="00000000" w:rsidDel="00000000" w:rsidP="00000000" w:rsidRDefault="00000000" w:rsidRPr="00000000" w14:paraId="00000003">
      <w:pPr>
        <w:spacing w:after="460" w:line="360" w:lineRule="auto"/>
        <w:rPr>
          <w:color w:val="6d7278"/>
          <w:sz w:val="26"/>
          <w:szCs w:val="26"/>
        </w:rPr>
      </w:pPr>
      <w:r w:rsidDel="00000000" w:rsidR="00000000" w:rsidRPr="00000000">
        <w:rPr>
          <w:color w:val="6d7278"/>
          <w:sz w:val="26"/>
          <w:szCs w:val="26"/>
          <w:rtl w:val="0"/>
        </w:rPr>
        <w:t xml:space="preserve">A Canadian manufacturer wanted to build and sell its products in the United States while keeping research and development in Canada. Our </w:t>
      </w:r>
      <w:hyperlink r:id="rId7">
        <w:r w:rsidDel="00000000" w:rsidR="00000000" w:rsidRPr="00000000">
          <w:rPr>
            <w:color w:val="1155cc"/>
            <w:sz w:val="26"/>
            <w:szCs w:val="26"/>
            <w:u w:val="single"/>
            <w:rtl w:val="0"/>
          </w:rPr>
          <w:t xml:space="preserve">tax team</w:t>
        </w:r>
      </w:hyperlink>
      <w:r w:rsidDel="00000000" w:rsidR="00000000" w:rsidRPr="00000000">
        <w:rPr>
          <w:color w:val="6d7278"/>
          <w:sz w:val="26"/>
          <w:szCs w:val="26"/>
          <w:rtl w:val="0"/>
        </w:rPr>
        <w:t xml:space="preserve"> stepped in! Three structures were available, none of them obviously best, and the deciding factor turned out not to be tax at all. It was which direction the money needed to travel.</w:t>
      </w:r>
    </w:p>
    <w:p w:rsidR="00000000" w:rsidDel="00000000" w:rsidP="00000000" w:rsidRDefault="00000000" w:rsidRPr="00000000" w14:paraId="00000004">
      <w:pPr>
        <w:pBdr>
          <w:top w:color="29abe2" w:space="10" w:sz="8" w:val="single"/>
          <w:left w:color="29abe2" w:space="13" w:sz="8" w:val="single"/>
          <w:bottom w:color="29abe2" w:space="10" w:sz="8" w:val="single"/>
          <w:right w:color="29abe2" w:space="13" w:sz="8" w:val="single"/>
          <w:between w:color="29abe2" w:space="10" w:sz="8" w:val="single"/>
        </w:pBdr>
        <w:spacing w:after="280" w:before="280" w:lineRule="auto"/>
        <w:rPr>
          <w:color w:val="6d7278"/>
          <w:sz w:val="26"/>
          <w:szCs w:val="26"/>
        </w:rPr>
      </w:pPr>
      <w:commentRangeStart w:id="0"/>
      <w:r w:rsidDel="00000000" w:rsidR="00000000" w:rsidRPr="00000000">
        <w:rPr>
          <w:b w:val="1"/>
          <w:bCs w:val="1"/>
          <w:color w:val="29abe2"/>
          <w:rtl w:val="0"/>
        </w:rPr>
        <w:t xml:space="preserve">Download: Canada-US expansion tax plan (anonymized sample)</w:t>
      </w:r>
      <w:commentRangeEnd w:id="0"/>
      <w:r w:rsidDel="00000000" w:rsidR="00000000" w:rsidRPr="00000000">
        <w:commentReference w:id="0"/>
      </w:r>
      <w:r w:rsidDel="00000000" w:rsidR="00000000" w:rsidRPr="00000000">
        <w:rPr>
          <w:b w:val="1"/>
          <w:bCs w:val="1"/>
          <w:color w:val="29abe2"/>
          <w:rtl w:val="0"/>
        </w:rPr>
        <w:br w:type="textWrapping"/>
      </w:r>
      <w:r w:rsidDel="00000000" w:rsidR="00000000" w:rsidRPr="00000000">
        <w:rPr>
          <w:color w:val="6d7278"/>
          <w:sz w:val="20"/>
          <w:szCs w:val="20"/>
          <w:rtl w:val="0"/>
        </w:rPr>
        <w:t xml:space="preserve">Sixteen slides comparing a US branch, a US subsidiary corporation and a US sister corporation.</w:t>
      </w:r>
      <w:r w:rsidDel="00000000" w:rsidR="00000000" w:rsidRPr="00000000">
        <w:rPr>
          <w:rtl w:val="0"/>
        </w:rPr>
      </w:r>
    </w:p>
    <w:p w:rsidR="00000000" w:rsidDel="00000000" w:rsidP="00000000" w:rsidRDefault="00000000" w:rsidRPr="00000000" w14:paraId="00000005">
      <w:pPr>
        <w:pStyle w:val="Heading2"/>
        <w:keepNext w:val="0"/>
        <w:keepLines w:val="0"/>
        <w:pBdr>
          <w:top w:color="e3e6e8" w:space="10" w:sz="8" w:val="single"/>
        </w:pBdr>
        <w:spacing w:before="520" w:lineRule="auto"/>
        <w:rPr>
          <w:b w:val="1"/>
          <w:bCs w:val="1"/>
          <w:color w:val="29abe2"/>
        </w:rPr>
      </w:pPr>
      <w:bookmarkStart w:colFirst="0" w:colLast="0" w:name="_mv9z67ubvcrb" w:id="1"/>
      <w:bookmarkEnd w:id="1"/>
      <w:r w:rsidDel="00000000" w:rsidR="00000000" w:rsidRPr="00000000">
        <w:rPr>
          <w:b w:val="1"/>
          <w:bCs w:val="1"/>
          <w:color w:val="29abe2"/>
          <w:rtl w:val="0"/>
        </w:rPr>
        <w:t xml:space="preserve">1. Client profile</w:t>
      </w:r>
    </w:p>
    <w:p w:rsidR="00000000" w:rsidDel="00000000" w:rsidP="00000000" w:rsidRDefault="00000000" w:rsidRPr="00000000" w14:paraId="00000006">
      <w:pPr>
        <w:spacing w:after="220" w:before="220" w:lineRule="auto"/>
        <w:rPr>
          <w:color w:val="1f2933"/>
        </w:rPr>
      </w:pPr>
      <w:r w:rsidDel="00000000" w:rsidR="00000000" w:rsidRPr="00000000">
        <w:rPr>
          <w:color w:val="1f2933"/>
          <w:rtl w:val="0"/>
        </w:rPr>
        <w:t xml:space="preserve">A Canadian private corporation in advanced manufacturing, developing and producing specialised technical instruments. Research and development is performed in Canada. The company was preparing to establish manufacturing and sales operations in the United States for the first time.</w:t>
      </w:r>
    </w:p>
    <w:p w:rsidR="00000000" w:rsidDel="00000000" w:rsidP="00000000" w:rsidRDefault="00000000" w:rsidRPr="00000000" w14:paraId="00000007">
      <w:pPr>
        <w:spacing w:after="220" w:before="220" w:lineRule="auto"/>
        <w:rPr>
          <w:color w:val="1f2933"/>
        </w:rPr>
      </w:pPr>
      <w:r w:rsidDel="00000000" w:rsidR="00000000" w:rsidRPr="00000000">
        <w:rPr>
          <w:color w:val="1f2933"/>
          <w:rtl w:val="0"/>
        </w:rPr>
        <w:t xml:space="preserve">The shareholder base is the complicating factor and the reason a generic answer would not have worked. Ownership sits across five groups: two individual principals holding the largest positions, an institutional shareholder, a corporate shareholder, and a small group of other Canadian individual shareholders holding roughly 5% between them. Approximately 95% of the company is held by the principal shareholder group. That mix matters because two of the three available structures affect individual Canadian shareholders differently from corporate and institutional ones, and one of them changes what those shareholders can do on a future sale.</w:t>
      </w:r>
    </w:p>
    <w:p w:rsidR="00000000" w:rsidDel="00000000" w:rsidP="00000000" w:rsidRDefault="00000000" w:rsidRPr="00000000" w14:paraId="00000008">
      <w:pPr>
        <w:pStyle w:val="Heading2"/>
        <w:keepNext w:val="0"/>
        <w:keepLines w:val="0"/>
        <w:pBdr>
          <w:top w:color="e3e6e8" w:space="10" w:sz="8" w:val="single"/>
        </w:pBdr>
        <w:spacing w:before="520" w:lineRule="auto"/>
        <w:rPr>
          <w:b w:val="1"/>
          <w:bCs w:val="1"/>
          <w:color w:val="29abe2"/>
        </w:rPr>
      </w:pPr>
      <w:bookmarkStart w:colFirst="0" w:colLast="0" w:name="_vkguddcyo4n1" w:id="2"/>
      <w:bookmarkEnd w:id="2"/>
      <w:r w:rsidDel="00000000" w:rsidR="00000000" w:rsidRPr="00000000">
        <w:rPr>
          <w:b w:val="1"/>
          <w:bCs w:val="1"/>
          <w:color w:val="29abe2"/>
          <w:rtl w:val="0"/>
        </w:rPr>
        <w:t xml:space="preserve">2. The decision or problem</w:t>
      </w:r>
    </w:p>
    <w:p w:rsidR="00000000" w:rsidDel="00000000" w:rsidP="00000000" w:rsidRDefault="00000000" w:rsidRPr="00000000" w14:paraId="00000009">
      <w:pPr>
        <w:pBdr>
          <w:top w:color="auto" w:space="3" w:sz="0" w:val="none"/>
          <w:left w:color="f2a516" w:space="12" w:sz="24" w:val="single"/>
          <w:bottom w:color="auto" w:space="3" w:sz="0" w:val="none"/>
          <w:right w:color="auto" w:space="0" w:sz="0" w:val="none"/>
          <w:between w:color="auto" w:space="3" w:sz="0" w:val="none"/>
        </w:pBdr>
        <w:spacing w:after="280" w:before="280" w:lineRule="auto"/>
        <w:rPr>
          <w:color w:val="1f2933"/>
          <w:sz w:val="24"/>
          <w:szCs w:val="24"/>
        </w:rPr>
      </w:pPr>
      <w:r w:rsidDel="00000000" w:rsidR="00000000" w:rsidRPr="00000000">
        <w:rPr>
          <w:color w:val="1f2933"/>
          <w:sz w:val="24"/>
          <w:szCs w:val="24"/>
          <w:rtl w:val="0"/>
        </w:rPr>
        <w:t xml:space="preserve">The founders asked: “We want to manufacture and sell in the US. Do we open a US branch, set up a US company underneath us, or set up a separate US company beside us? And what does each one do to our tax bill, to our shareholders, and to what the business is worth when we eventually sell it?”</w:t>
      </w:r>
    </w:p>
    <w:p w:rsidR="00000000" w:rsidDel="00000000" w:rsidP="00000000" w:rsidRDefault="00000000" w:rsidRPr="00000000" w14:paraId="0000000A">
      <w:pPr>
        <w:spacing w:after="220" w:before="220" w:lineRule="auto"/>
        <w:rPr>
          <w:color w:val="6d7278"/>
        </w:rPr>
      </w:pPr>
      <w:r w:rsidDel="00000000" w:rsidR="00000000" w:rsidRPr="00000000">
        <w:rPr>
          <w:color w:val="6d7278"/>
          <w:rtl w:val="0"/>
        </w:rPr>
        <w:t xml:space="preserve">Restated technically: for a Canadian private corporation with an established multi-party cap table, research and development performed in Canada, and proposed manufacturing and sales activity in the United States, which of a US branch, a wholly-owned US subsidiary corporation, or a commonly-owned US sister corporation best balances US tax exposure, the mechanism and cost of repatriating profits to Canada, ownership of trademarks and intellectual property, transfer pricing exposure in two jurisdictions, and the preservation of shareholder access to the lifetime capital gains exemption on a future disposition?</w:t>
      </w:r>
    </w:p>
    <w:p w:rsidR="00000000" w:rsidDel="00000000" w:rsidP="00000000" w:rsidRDefault="00000000" w:rsidRPr="00000000" w14:paraId="0000000B">
      <w:pPr>
        <w:pStyle w:val="Heading2"/>
        <w:keepNext w:val="0"/>
        <w:keepLines w:val="0"/>
        <w:pBdr>
          <w:top w:color="e3e6e8" w:space="10" w:sz="8" w:val="single"/>
        </w:pBdr>
        <w:spacing w:before="520" w:lineRule="auto"/>
        <w:rPr>
          <w:b w:val="1"/>
          <w:bCs w:val="1"/>
          <w:color w:val="29abe2"/>
        </w:rPr>
      </w:pPr>
      <w:bookmarkStart w:colFirst="0" w:colLast="0" w:name="_5ye9lomyfx66" w:id="3"/>
      <w:bookmarkEnd w:id="3"/>
      <w:r w:rsidDel="00000000" w:rsidR="00000000" w:rsidRPr="00000000">
        <w:rPr>
          <w:b w:val="1"/>
          <w:bCs w:val="1"/>
          <w:color w:val="29abe2"/>
          <w:rtl w:val="0"/>
        </w:rPr>
        <w:t xml:space="preserve">3. What Zenbooks analysed</w:t>
      </w:r>
    </w:p>
    <w:p w:rsidR="00000000" w:rsidDel="00000000" w:rsidP="00000000" w:rsidRDefault="00000000" w:rsidRPr="00000000" w14:paraId="0000000C">
      <w:pPr>
        <w:spacing w:after="220" w:before="220" w:lineRule="auto"/>
        <w:rPr>
          <w:color w:val="1f2933"/>
        </w:rPr>
      </w:pPr>
      <w:r w:rsidDel="00000000" w:rsidR="00000000" w:rsidRPr="00000000">
        <w:rPr>
          <w:color w:val="1f2933"/>
          <w:rtl w:val="0"/>
        </w:rPr>
        <w:t xml:space="preserve">Rather than assessing each structure on its own terms, the analysis fixed six dimensions and ran all three structures against every one of them. That is what makes a comparison decidable: without a common frame, three separate write-ups produce three plausible answers and no basis for choosing.</w:t>
      </w:r>
    </w:p>
    <w:p w:rsidR="00000000" w:rsidDel="00000000" w:rsidP="00000000" w:rsidRDefault="00000000" w:rsidRPr="00000000" w14:paraId="0000000D">
      <w:pPr>
        <w:pStyle w:val="Heading3"/>
        <w:keepNext w:val="0"/>
        <w:keepLines w:val="0"/>
        <w:spacing w:before="340" w:lineRule="auto"/>
        <w:rPr>
          <w:b w:val="1"/>
          <w:bCs w:val="1"/>
          <w:color w:val="6d7278"/>
          <w:sz w:val="20"/>
          <w:szCs w:val="20"/>
        </w:rPr>
      </w:pPr>
      <w:bookmarkStart w:colFirst="0" w:colLast="0" w:name="_4mlqvrle0tz6" w:id="4"/>
      <w:bookmarkEnd w:id="4"/>
      <w:r w:rsidDel="00000000" w:rsidR="00000000" w:rsidRPr="00000000">
        <w:rPr>
          <w:b w:val="1"/>
          <w:bCs w:val="1"/>
          <w:color w:val="6d7278"/>
          <w:sz w:val="20"/>
          <w:szCs w:val="20"/>
          <w:rtl w:val="0"/>
        </w:rPr>
        <w:t xml:space="preserve">Total tax exposure across both jurisdictions</w:t>
      </w:r>
    </w:p>
    <w:p w:rsidR="00000000" w:rsidDel="00000000" w:rsidP="00000000" w:rsidRDefault="00000000" w:rsidRPr="00000000" w14:paraId="0000000E">
      <w:pPr>
        <w:spacing w:after="220" w:before="220" w:lineRule="auto"/>
        <w:rPr>
          <w:color w:val="1f2933"/>
        </w:rPr>
      </w:pPr>
      <w:r w:rsidDel="00000000" w:rsidR="00000000" w:rsidRPr="00000000">
        <w:rPr>
          <w:color w:val="1f2933"/>
          <w:rtl w:val="0"/>
        </w:rPr>
        <w:t xml:space="preserve">Where profit is earned, where it is taxed, and what additional layer each structure adds. A US branch of a Canadian corporation attracts a branch profits tax on its US earnings in addition to regular US income tax, reduced under the Canada-United States tax convention to roughly five percent. A US corporation, whether subsidiary or sister, is taxed in the United States on its own income only.</w:t>
      </w:r>
    </w:p>
    <w:p w:rsidR="00000000" w:rsidDel="00000000" w:rsidP="00000000" w:rsidRDefault="00000000" w:rsidRPr="00000000" w14:paraId="0000000F">
      <w:pPr>
        <w:pStyle w:val="Heading3"/>
        <w:keepNext w:val="0"/>
        <w:keepLines w:val="0"/>
        <w:spacing w:before="340" w:lineRule="auto"/>
        <w:rPr>
          <w:b w:val="1"/>
          <w:bCs w:val="1"/>
          <w:color w:val="6d7278"/>
          <w:sz w:val="20"/>
          <w:szCs w:val="20"/>
        </w:rPr>
      </w:pPr>
      <w:bookmarkStart w:colFirst="0" w:colLast="0" w:name="_55fnshtkz0xx" w:id="5"/>
      <w:bookmarkEnd w:id="5"/>
      <w:r w:rsidDel="00000000" w:rsidR="00000000" w:rsidRPr="00000000">
        <w:rPr>
          <w:b w:val="1"/>
          <w:bCs w:val="1"/>
          <w:color w:val="6d7278"/>
          <w:sz w:val="20"/>
          <w:szCs w:val="20"/>
          <w:rtl w:val="0"/>
        </w:rPr>
        <w:t xml:space="preserve">Impact on the existing shareholders</w:t>
      </w:r>
    </w:p>
    <w:p w:rsidR="00000000" w:rsidDel="00000000" w:rsidP="00000000" w:rsidRDefault="00000000" w:rsidRPr="00000000" w14:paraId="00000010">
      <w:pPr>
        <w:spacing w:after="220" w:before="220" w:lineRule="auto"/>
        <w:rPr>
          <w:color w:val="1f2933"/>
        </w:rPr>
      </w:pPr>
      <w:r w:rsidDel="00000000" w:rsidR="00000000" w:rsidRPr="00000000">
        <w:rPr>
          <w:color w:val="1f2933"/>
          <w:rtl w:val="0"/>
        </w:rPr>
        <w:t xml:space="preserve">Whether the structure disturbs the current cap table. Branch and subsidiary leave it untouched. A sister corporation requires a fresh incorporation, which means the ownership split of the US entity can be set differently from the Canadian one. That is a lever, not a side effect, and it needs to be a deliberate choice rather than a default.</w:t>
      </w:r>
    </w:p>
    <w:p w:rsidR="00000000" w:rsidDel="00000000" w:rsidP="00000000" w:rsidRDefault="00000000" w:rsidRPr="00000000" w14:paraId="00000011">
      <w:pPr>
        <w:pStyle w:val="Heading3"/>
        <w:keepNext w:val="0"/>
        <w:keepLines w:val="0"/>
        <w:spacing w:before="340" w:lineRule="auto"/>
        <w:rPr>
          <w:b w:val="1"/>
          <w:bCs w:val="1"/>
          <w:color w:val="6d7278"/>
          <w:sz w:val="20"/>
          <w:szCs w:val="20"/>
        </w:rPr>
      </w:pPr>
      <w:bookmarkStart w:colFirst="0" w:colLast="0" w:name="_98znb2fchnrm" w:id="6"/>
      <w:bookmarkEnd w:id="6"/>
      <w:r w:rsidDel="00000000" w:rsidR="00000000" w:rsidRPr="00000000">
        <w:rPr>
          <w:b w:val="1"/>
          <w:bCs w:val="1"/>
          <w:color w:val="6d7278"/>
          <w:sz w:val="20"/>
          <w:szCs w:val="20"/>
          <w:rtl w:val="0"/>
        </w:rPr>
        <w:t xml:space="preserve">How money gets back to Canada</w:t>
      </w:r>
    </w:p>
    <w:p w:rsidR="00000000" w:rsidDel="00000000" w:rsidP="00000000" w:rsidRDefault="00000000" w:rsidRPr="00000000" w14:paraId="00000012">
      <w:pPr>
        <w:spacing w:after="220" w:before="220" w:lineRule="auto"/>
        <w:rPr>
          <w:color w:val="1f2933"/>
        </w:rPr>
      </w:pPr>
      <w:r w:rsidDel="00000000" w:rsidR="00000000" w:rsidRPr="00000000">
        <w:rPr>
          <w:color w:val="1f2933"/>
          <w:rtl w:val="0"/>
        </w:rPr>
        <w:t xml:space="preserve">Each structure has a different repatriation mechanism, and one of them has none. A branch has no repatriation question, because the branch and the parent are a single legal entity. A subsidiary can pay dividends up to its Canadian parent and can also be charged intercorporate fees. A sister corporation has no dividend route to the Canadian company at all, because the Canadian company does not own it, so intercorporate fees become the only channel.</w:t>
      </w:r>
    </w:p>
    <w:p w:rsidR="00000000" w:rsidDel="00000000" w:rsidP="00000000" w:rsidRDefault="00000000" w:rsidRPr="00000000" w14:paraId="00000013">
      <w:pPr>
        <w:pStyle w:val="Heading3"/>
        <w:keepNext w:val="0"/>
        <w:keepLines w:val="0"/>
        <w:spacing w:before="340" w:lineRule="auto"/>
        <w:rPr>
          <w:b w:val="1"/>
          <w:bCs w:val="1"/>
          <w:color w:val="6d7278"/>
          <w:sz w:val="20"/>
          <w:szCs w:val="20"/>
        </w:rPr>
      </w:pPr>
      <w:bookmarkStart w:colFirst="0" w:colLast="0" w:name="_wlh2xe6l2o9s" w:id="7"/>
      <w:bookmarkEnd w:id="7"/>
      <w:r w:rsidDel="00000000" w:rsidR="00000000" w:rsidRPr="00000000">
        <w:rPr>
          <w:b w:val="1"/>
          <w:bCs w:val="1"/>
          <w:color w:val="6d7278"/>
          <w:sz w:val="20"/>
          <w:szCs w:val="20"/>
          <w:rtl w:val="0"/>
        </w:rPr>
        <w:t xml:space="preserve">Ownership of brand, trademarks and intellectual property</w:t>
      </w:r>
    </w:p>
    <w:p w:rsidR="00000000" w:rsidDel="00000000" w:rsidP="00000000" w:rsidRDefault="00000000" w:rsidRPr="00000000" w14:paraId="00000014">
      <w:pPr>
        <w:spacing w:after="220" w:before="220" w:lineRule="auto"/>
        <w:rPr>
          <w:color w:val="1f2933"/>
        </w:rPr>
      </w:pPr>
      <w:r w:rsidDel="00000000" w:rsidR="00000000" w:rsidRPr="00000000">
        <w:rPr>
          <w:color w:val="1f2933"/>
          <w:rtl w:val="0"/>
        </w:rPr>
        <w:t xml:space="preserve">A branch shares the parent’s trademarks and intellectual property, because there is only one owner. Under either corporate structure, trademarks and intellectual property registered in the United States are owned separately from the Canadian company, which creates a licensing relationship across the border and with it an obligation to price that licence at arm’s length.</w:t>
      </w:r>
    </w:p>
    <w:p w:rsidR="00000000" w:rsidDel="00000000" w:rsidP="00000000" w:rsidRDefault="00000000" w:rsidRPr="00000000" w14:paraId="00000015">
      <w:pPr>
        <w:pStyle w:val="Heading3"/>
        <w:keepNext w:val="0"/>
        <w:keepLines w:val="0"/>
        <w:spacing w:before="340" w:lineRule="auto"/>
        <w:rPr>
          <w:b w:val="1"/>
          <w:bCs w:val="1"/>
          <w:color w:val="6d7278"/>
          <w:sz w:val="20"/>
          <w:szCs w:val="20"/>
        </w:rPr>
      </w:pPr>
      <w:bookmarkStart w:colFirst="0" w:colLast="0" w:name="_wcuig7qgazxn" w:id="8"/>
      <w:bookmarkEnd w:id="8"/>
      <w:r w:rsidDel="00000000" w:rsidR="00000000" w:rsidRPr="00000000">
        <w:rPr>
          <w:b w:val="1"/>
          <w:bCs w:val="1"/>
          <w:color w:val="6d7278"/>
          <w:sz w:val="20"/>
          <w:szCs w:val="20"/>
          <w:rtl w:val="0"/>
        </w:rPr>
        <w:t xml:space="preserve">Effect on the value of a future sale</w:t>
      </w:r>
    </w:p>
    <w:p w:rsidR="00000000" w:rsidDel="00000000" w:rsidP="00000000" w:rsidRDefault="00000000" w:rsidRPr="00000000" w14:paraId="00000016">
      <w:pPr>
        <w:spacing w:after="220" w:before="220" w:lineRule="auto"/>
        <w:rPr>
          <w:color w:val="1f2933"/>
        </w:rPr>
      </w:pPr>
      <w:r w:rsidDel="00000000" w:rsidR="00000000" w:rsidRPr="00000000">
        <w:rPr>
          <w:color w:val="1f2933"/>
          <w:rtl w:val="0"/>
        </w:rPr>
        <w:t xml:space="preserve">Splitting research and development away from manufacturing and sales changes what a buyer is actually buying. The analysis assessed, for each structure, whether a future purchaser of the Canadian company would be acquiring a complete business or a partial one, and separately whether the structure would affect individual Canadian shareholders’ access to the lifetime capital gains exemption on their shares.</w:t>
      </w:r>
    </w:p>
    <w:p w:rsidR="00000000" w:rsidDel="00000000" w:rsidP="00000000" w:rsidRDefault="00000000" w:rsidRPr="00000000" w14:paraId="00000017">
      <w:pPr>
        <w:pStyle w:val="Heading3"/>
        <w:keepNext w:val="0"/>
        <w:keepLines w:val="0"/>
        <w:spacing w:before="340" w:lineRule="auto"/>
        <w:rPr>
          <w:b w:val="1"/>
          <w:bCs w:val="1"/>
          <w:color w:val="6d7278"/>
          <w:sz w:val="20"/>
          <w:szCs w:val="20"/>
        </w:rPr>
      </w:pPr>
      <w:bookmarkStart w:colFirst="0" w:colLast="0" w:name="_734plef9fcy3" w:id="9"/>
      <w:bookmarkEnd w:id="9"/>
      <w:r w:rsidDel="00000000" w:rsidR="00000000" w:rsidRPr="00000000">
        <w:rPr>
          <w:b w:val="1"/>
          <w:bCs w:val="1"/>
          <w:color w:val="6d7278"/>
          <w:sz w:val="20"/>
          <w:szCs w:val="20"/>
          <w:rtl w:val="0"/>
        </w:rPr>
        <w:t xml:space="preserve">Difficulty of implementation</w:t>
      </w:r>
    </w:p>
    <w:p w:rsidR="00000000" w:rsidDel="00000000" w:rsidP="00000000" w:rsidRDefault="00000000" w:rsidRPr="00000000" w14:paraId="00000018">
      <w:pPr>
        <w:spacing w:after="220" w:before="220" w:lineRule="auto"/>
        <w:rPr>
          <w:color w:val="1f2933"/>
        </w:rPr>
      </w:pPr>
      <w:r w:rsidDel="00000000" w:rsidR="00000000" w:rsidRPr="00000000">
        <w:rPr>
          <w:color w:val="1f2933"/>
          <w:rtl w:val="0"/>
        </w:rPr>
        <w:t xml:space="preserve">Registration, ongoing compliance in a second jurisdiction, and the transfer pricing documentation each structure forces the company to maintain from day one.</w:t>
      </w:r>
    </w:p>
    <w:p w:rsidR="00000000" w:rsidDel="00000000" w:rsidP="00000000" w:rsidRDefault="00000000" w:rsidRPr="00000000" w14:paraId="00000019">
      <w:pPr>
        <w:pStyle w:val="Heading2"/>
        <w:keepNext w:val="0"/>
        <w:keepLines w:val="0"/>
        <w:pBdr>
          <w:top w:color="e3e6e8" w:space="10" w:sz="8" w:val="single"/>
        </w:pBdr>
        <w:spacing w:before="520" w:lineRule="auto"/>
        <w:rPr>
          <w:b w:val="1"/>
          <w:bCs w:val="1"/>
          <w:color w:val="29abe2"/>
        </w:rPr>
      </w:pPr>
      <w:bookmarkStart w:colFirst="0" w:colLast="0" w:name="_um684chh8g2c" w:id="10"/>
      <w:bookmarkEnd w:id="10"/>
      <w:r w:rsidDel="00000000" w:rsidR="00000000" w:rsidRPr="00000000">
        <w:rPr>
          <w:b w:val="1"/>
          <w:bCs w:val="1"/>
          <w:color w:val="29abe2"/>
          <w:rtl w:val="0"/>
        </w:rPr>
        <w:t xml:space="preserve">4. What Zenbooks delivered</w:t>
      </w:r>
    </w:p>
    <w:p w:rsidR="00000000" w:rsidDel="00000000" w:rsidP="00000000" w:rsidRDefault="00000000" w:rsidRPr="00000000" w14:paraId="0000001A">
      <w:pPr>
        <w:numPr>
          <w:ilvl w:val="0"/>
          <w:numId w:val="3"/>
        </w:numPr>
        <w:spacing w:after="0" w:afterAutospacing="0" w:before="220" w:lineRule="auto"/>
        <w:ind w:left="720" w:hanging="360"/>
      </w:pPr>
      <w:r w:rsidDel="00000000" w:rsidR="00000000" w:rsidRPr="00000000">
        <w:rPr>
          <w:b w:val="1"/>
          <w:bCs w:val="1"/>
          <w:color w:val="1f2933"/>
          <w:rtl w:val="0"/>
        </w:rPr>
        <w:t xml:space="preserve">A comparison matrix</w:t>
      </w:r>
      <w:r w:rsidDel="00000000" w:rsidR="00000000" w:rsidRPr="00000000">
        <w:rPr>
          <w:color w:val="1f2933"/>
          <w:rtl w:val="0"/>
        </w:rPr>
        <w:t xml:space="preserve"> placing all three structures against the same six dimensions, presented at both the front and the back of the document.</w:t>
      </w:r>
    </w:p>
    <w:p w:rsidR="00000000" w:rsidDel="00000000" w:rsidP="00000000" w:rsidRDefault="00000000" w:rsidRPr="00000000" w14:paraId="0000001B">
      <w:pPr>
        <w:numPr>
          <w:ilvl w:val="0"/>
          <w:numId w:val="3"/>
        </w:numPr>
        <w:spacing w:after="0" w:afterAutospacing="0" w:before="0" w:beforeAutospacing="0" w:lineRule="auto"/>
        <w:ind w:left="720" w:hanging="360"/>
      </w:pPr>
      <w:r w:rsidDel="00000000" w:rsidR="00000000" w:rsidRPr="00000000">
        <w:rPr>
          <w:b w:val="1"/>
          <w:bCs w:val="1"/>
          <w:color w:val="1f2933"/>
          <w:rtl w:val="0"/>
        </w:rPr>
        <w:t xml:space="preserve">Corporate structure diagrams of the existing ownership</w:t>
      </w:r>
      <w:r w:rsidDel="00000000" w:rsidR="00000000" w:rsidRPr="00000000">
        <w:rPr>
          <w:color w:val="1f2933"/>
          <w:rtl w:val="0"/>
        </w:rPr>
        <w:t xml:space="preserve">, drawn two ways: a full view showing each of the five shareholder groups and their percentages, and a simplified view collapsing them into principal and other shareholders.</w:t>
      </w:r>
    </w:p>
    <w:p w:rsidR="00000000" w:rsidDel="00000000" w:rsidP="00000000" w:rsidRDefault="00000000" w:rsidRPr="00000000" w14:paraId="0000001C">
      <w:pPr>
        <w:numPr>
          <w:ilvl w:val="0"/>
          <w:numId w:val="3"/>
        </w:numPr>
        <w:spacing w:after="0" w:afterAutospacing="0" w:before="0" w:beforeAutospacing="0" w:lineRule="auto"/>
        <w:ind w:left="720" w:hanging="360"/>
      </w:pPr>
      <w:r w:rsidDel="00000000" w:rsidR="00000000" w:rsidRPr="00000000">
        <w:rPr>
          <w:b w:val="1"/>
          <w:bCs w:val="1"/>
          <w:color w:val="1f2933"/>
          <w:rtl w:val="0"/>
        </w:rPr>
        <w:t xml:space="preserve">A proposed structure diagram for each of the three alternatives</w:t>
      </w:r>
      <w:r w:rsidDel="00000000" w:rsidR="00000000" w:rsidRPr="00000000">
        <w:rPr>
          <w:color w:val="1f2933"/>
          <w:rtl w:val="0"/>
        </w:rPr>
        <w:t xml:space="preserve">, showing the Canada and United States sides of the border, the entities on each side, the ownership percentages, and the direction of any payment flow between them.</w:t>
      </w:r>
    </w:p>
    <w:p w:rsidR="00000000" w:rsidDel="00000000" w:rsidP="00000000" w:rsidRDefault="00000000" w:rsidRPr="00000000" w14:paraId="0000001D">
      <w:pPr>
        <w:numPr>
          <w:ilvl w:val="0"/>
          <w:numId w:val="3"/>
        </w:numPr>
        <w:spacing w:after="0" w:afterAutospacing="0" w:before="0" w:beforeAutospacing="0" w:lineRule="auto"/>
        <w:ind w:left="720" w:hanging="360"/>
      </w:pPr>
      <w:r w:rsidDel="00000000" w:rsidR="00000000" w:rsidRPr="00000000">
        <w:rPr>
          <w:b w:val="1"/>
          <w:bCs w:val="1"/>
          <w:color w:val="1f2933"/>
          <w:rtl w:val="0"/>
        </w:rPr>
        <w:t xml:space="preserve">A commentary panel beside each proposed structure</w:t>
      </w:r>
      <w:r w:rsidDel="00000000" w:rsidR="00000000" w:rsidRPr="00000000">
        <w:rPr>
          <w:color w:val="1f2933"/>
          <w:rtl w:val="0"/>
        </w:rPr>
        <w:t xml:space="preserve">, stating in plain language what changes, what stays the same, and what the shareholders lose or gain.</w:t>
      </w:r>
    </w:p>
    <w:p w:rsidR="00000000" w:rsidDel="00000000" w:rsidP="00000000" w:rsidRDefault="00000000" w:rsidRPr="00000000" w14:paraId="0000001E">
      <w:pPr>
        <w:numPr>
          <w:ilvl w:val="0"/>
          <w:numId w:val="3"/>
        </w:numPr>
        <w:spacing w:after="340" w:before="0" w:beforeAutospacing="0" w:lineRule="auto"/>
        <w:ind w:left="720" w:hanging="360"/>
      </w:pPr>
      <w:r w:rsidDel="00000000" w:rsidR="00000000" w:rsidRPr="00000000">
        <w:rPr>
          <w:b w:val="1"/>
          <w:bCs w:val="1"/>
          <w:color w:val="1f2933"/>
          <w:rtl w:val="0"/>
        </w:rPr>
        <w:t xml:space="preserve">A definition, pros and cons breakdown</w:t>
      </w:r>
      <w:r w:rsidDel="00000000" w:rsidR="00000000" w:rsidRPr="00000000">
        <w:rPr>
          <w:color w:val="1f2933"/>
          <w:rtl w:val="0"/>
        </w:rPr>
        <w:t xml:space="preserve"> for each of the three structures, covering legal entity separation, liability, tax treatment, access to capital, regulatory burden and transfer pricing exposure.</w:t>
      </w:r>
    </w:p>
    <w:p w:rsidR="00000000" w:rsidDel="00000000" w:rsidP="00000000" w:rsidRDefault="00000000" w:rsidRPr="00000000" w14:paraId="0000001F">
      <w:pPr>
        <w:pStyle w:val="Heading2"/>
        <w:keepNext w:val="0"/>
        <w:keepLines w:val="0"/>
        <w:pBdr>
          <w:top w:color="e3e6e8" w:space="10" w:sz="8" w:val="single"/>
        </w:pBdr>
        <w:spacing w:before="520" w:lineRule="auto"/>
        <w:rPr>
          <w:b w:val="1"/>
          <w:bCs w:val="1"/>
          <w:color w:val="29abe2"/>
        </w:rPr>
      </w:pPr>
      <w:bookmarkStart w:colFirst="0" w:colLast="0" w:name="_krf8ytb29du6" w:id="11"/>
      <w:bookmarkEnd w:id="11"/>
      <w:r w:rsidDel="00000000" w:rsidR="00000000" w:rsidRPr="00000000">
        <w:rPr>
          <w:b w:val="1"/>
          <w:bCs w:val="1"/>
          <w:color w:val="29abe2"/>
          <w:rtl w:val="0"/>
        </w:rPr>
        <w:t xml:space="preserve">5. A walkthrough of the tax plan, section by section</w:t>
      </w:r>
    </w:p>
    <w:p w:rsidR="00000000" w:rsidDel="00000000" w:rsidP="00000000" w:rsidRDefault="00000000" w:rsidRPr="00000000" w14:paraId="00000020">
      <w:pPr>
        <w:spacing w:after="220" w:before="220" w:lineRule="auto"/>
        <w:rPr>
          <w:color w:val="1f2933"/>
        </w:rPr>
      </w:pPr>
      <w:r w:rsidDel="00000000" w:rsidR="00000000" w:rsidRPr="00000000">
        <w:rPr>
          <w:color w:val="1f2933"/>
          <w:rtl w:val="0"/>
        </w:rPr>
        <w:t xml:space="preserve">The document runs sixteen slides in four movements: a summary matrix, then one section per alternative, then the summary matrix again with one row changed. Every figure and finding below is reproduced from the anonymized sample, so the depth can be assessed without downloading anything.</w:t>
      </w:r>
    </w:p>
    <w:p w:rsidR="00000000" w:rsidDel="00000000" w:rsidP="00000000" w:rsidRDefault="00000000" w:rsidRPr="00000000" w14:paraId="00000021">
      <w:pPr>
        <w:pStyle w:val="Heading3"/>
        <w:keepNext w:val="0"/>
        <w:keepLines w:val="0"/>
        <w:spacing w:before="340" w:lineRule="auto"/>
        <w:rPr>
          <w:b w:val="1"/>
          <w:bCs w:val="1"/>
          <w:color w:val="6d7278"/>
          <w:sz w:val="20"/>
          <w:szCs w:val="20"/>
        </w:rPr>
      </w:pPr>
      <w:bookmarkStart w:colFirst="0" w:colLast="0" w:name="_2guwumwg7pwr" w:id="12"/>
      <w:bookmarkEnd w:id="12"/>
      <w:r w:rsidDel="00000000" w:rsidR="00000000" w:rsidRPr="00000000">
        <w:rPr>
          <w:b w:val="1"/>
          <w:bCs w:val="1"/>
          <w:color w:val="6d7278"/>
          <w:sz w:val="20"/>
          <w:szCs w:val="20"/>
          <w:rtl w:val="0"/>
        </w:rPr>
        <w:t xml:space="preserve">Opening. The summary of alternatives</w:t>
      </w:r>
    </w:p>
    <w:p w:rsidR="00000000" w:rsidDel="00000000" w:rsidP="00000000" w:rsidRDefault="00000000" w:rsidRPr="00000000" w14:paraId="00000022">
      <w:pPr>
        <w:spacing w:after="220" w:before="220" w:lineRule="auto"/>
        <w:rPr>
          <w:color w:val="1f2933"/>
        </w:rPr>
      </w:pPr>
      <w:r w:rsidDel="00000000" w:rsidR="00000000" w:rsidRPr="00000000">
        <w:rPr>
          <w:color w:val="1f2933"/>
          <w:rtl w:val="0"/>
        </w:rPr>
        <w:t xml:space="preserve">This first slide is the whole engagement on one page, and it is deliberately placed before any of the explanation. A founder who reads nothing else should still be able to see the shape of the decision. Five rows, three columns, no prose.</w:t>
      </w:r>
    </w:p>
    <w:p w:rsidR="00000000" w:rsidDel="00000000" w:rsidP="00000000" w:rsidRDefault="00000000" w:rsidRPr="00000000" w14:paraId="00000023">
      <w:pPr>
        <w:spacing w:after="220" w:before="220" w:lineRule="auto"/>
        <w:rPr>
          <w:color w:val="1f2933"/>
        </w:rPr>
      </w:pPr>
      <w:r w:rsidDel="00000000" w:rsidR="00000000" w:rsidRPr="00000000">
        <w:rPr>
          <w:color w:val="1f2933"/>
          <w:rtl w:val="0"/>
        </w:rPr>
        <w:t xml:space="preserve">The first row ranks tax implications from least to greatest rather than quantifying them, and that restraint is intentional. A dollar figure at this stage would have required a state of incorporation, a revenue split between the two countries, and a transfer pricing policy, none of which had been decided. Ranking is honest. A number would have been false precision that the client would then have anchored on.</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25.7142857142856"/>
        <w:gridCol w:w="1897.1428571428569"/>
        <w:gridCol w:w="2868.5714285714284"/>
        <w:gridCol w:w="2868.5714285714284"/>
        <w:tblGridChange w:id="0">
          <w:tblGrid>
            <w:gridCol w:w="1725.7142857142856"/>
            <w:gridCol w:w="1897.1428571428569"/>
            <w:gridCol w:w="2868.5714285714284"/>
            <w:gridCol w:w="2868.5714285714284"/>
          </w:tblGrid>
        </w:tblGridChange>
      </w:tblGrid>
      <w:tr>
        <w:trPr>
          <w:cantSplit w:val="0"/>
          <w:trHeight w:val="435" w:hRule="atLeast"/>
          <w:tblHeader w:val="0"/>
        </w:trPr>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24">
            <w:pPr>
              <w:spacing w:after="340" w:before="220" w:lineRule="auto"/>
              <w:rPr>
                <w:color w:val="1f2933"/>
                <w:sz w:val="19"/>
                <w:szCs w:val="19"/>
              </w:rPr>
            </w:pPr>
            <w:r w:rsidDel="00000000" w:rsidR="00000000" w:rsidRPr="00000000">
              <w:rPr>
                <w:b w:val="1"/>
                <w:bCs w:val="1"/>
                <w:color w:val="6d7278"/>
                <w:sz w:val="17"/>
                <w:szCs w:val="17"/>
                <w:rtl w:val="0"/>
              </w:rPr>
              <w:t xml:space="preserve">Dimension</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25">
            <w:pPr>
              <w:spacing w:after="340" w:before="220" w:lineRule="auto"/>
              <w:rPr>
                <w:color w:val="1f2933"/>
                <w:sz w:val="19"/>
                <w:szCs w:val="19"/>
              </w:rPr>
            </w:pPr>
            <w:r w:rsidDel="00000000" w:rsidR="00000000" w:rsidRPr="00000000">
              <w:rPr>
                <w:b w:val="1"/>
                <w:bCs w:val="1"/>
                <w:color w:val="6d7278"/>
                <w:sz w:val="17"/>
                <w:szCs w:val="17"/>
                <w:rtl w:val="0"/>
              </w:rPr>
              <w:t xml:space="preserve">US Branch</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26">
            <w:pPr>
              <w:spacing w:after="340" w:before="220" w:lineRule="auto"/>
              <w:rPr>
                <w:color w:val="1f2933"/>
                <w:sz w:val="19"/>
                <w:szCs w:val="19"/>
              </w:rPr>
            </w:pPr>
            <w:r w:rsidDel="00000000" w:rsidR="00000000" w:rsidRPr="00000000">
              <w:rPr>
                <w:b w:val="1"/>
                <w:bCs w:val="1"/>
                <w:color w:val="6d7278"/>
                <w:sz w:val="17"/>
                <w:szCs w:val="17"/>
                <w:rtl w:val="0"/>
              </w:rPr>
              <w:t xml:space="preserve">US Subsidiary Corporation</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27">
            <w:pPr>
              <w:spacing w:after="340" w:before="220" w:lineRule="auto"/>
              <w:rPr>
                <w:color w:val="1f2933"/>
                <w:sz w:val="19"/>
                <w:szCs w:val="19"/>
              </w:rPr>
            </w:pPr>
            <w:r w:rsidDel="00000000" w:rsidR="00000000" w:rsidRPr="00000000">
              <w:rPr>
                <w:b w:val="1"/>
                <w:bCs w:val="1"/>
                <w:color w:val="6d7278"/>
                <w:sz w:val="17"/>
                <w:szCs w:val="17"/>
                <w:rtl w:val="0"/>
              </w:rPr>
              <w:t xml:space="preserve">US Sister Corporation</w:t>
            </w:r>
            <w:r w:rsidDel="00000000" w:rsidR="00000000" w:rsidRPr="00000000">
              <w:rPr>
                <w:rtl w:val="0"/>
              </w:rPr>
            </w:r>
          </w:p>
        </w:tc>
      </w:tr>
      <w:tr>
        <w:trPr>
          <w:cantSplit w:val="0"/>
          <w:trHeight w:val="615" w:hRule="atLeast"/>
          <w:tblHeader w:val="0"/>
        </w:trPr>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28">
            <w:pPr>
              <w:spacing w:after="340" w:before="220" w:lineRule="auto"/>
              <w:rPr>
                <w:b w:val="1"/>
                <w:bCs w:val="1"/>
                <w:color w:val="1f2933"/>
                <w:sz w:val="19"/>
                <w:szCs w:val="19"/>
              </w:rPr>
            </w:pPr>
            <w:r w:rsidDel="00000000" w:rsidR="00000000" w:rsidRPr="00000000">
              <w:rPr>
                <w:b w:val="1"/>
                <w:bCs w:val="1"/>
                <w:color w:val="1f2933"/>
                <w:sz w:val="19"/>
                <w:szCs w:val="19"/>
                <w:rtl w:val="0"/>
              </w:rPr>
              <w:t xml:space="preserve">Tax implications</w:t>
            </w:r>
          </w:p>
          <w:p w:rsidR="00000000" w:rsidDel="00000000" w:rsidP="00000000" w:rsidRDefault="00000000" w:rsidRPr="00000000" w14:paraId="00000029">
            <w:pPr>
              <w:spacing w:after="340" w:before="220" w:lineRule="auto"/>
              <w:rPr>
                <w:color w:val="1f2933"/>
                <w:sz w:val="19"/>
                <w:szCs w:val="19"/>
              </w:rPr>
            </w:pPr>
            <w:r w:rsidDel="00000000" w:rsidR="00000000" w:rsidRPr="00000000">
              <w:rPr>
                <w:color w:val="6d7278"/>
                <w:sz w:val="18"/>
                <w:szCs w:val="18"/>
                <w:rtl w:val="0"/>
              </w:rPr>
              <w:t xml:space="preserve">least to greatest</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2A">
            <w:pPr>
              <w:spacing w:after="340" w:before="220" w:lineRule="auto"/>
              <w:rPr>
                <w:color w:val="1f2933"/>
                <w:sz w:val="19"/>
                <w:szCs w:val="19"/>
              </w:rPr>
            </w:pPr>
            <w:r w:rsidDel="00000000" w:rsidR="00000000" w:rsidRPr="00000000">
              <w:rPr>
                <w:color w:val="1f2933"/>
                <w:sz w:val="19"/>
                <w:szCs w:val="19"/>
                <w:rtl w:val="0"/>
              </w:rPr>
              <w:t xml:space="preserve">Least</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2B">
            <w:pPr>
              <w:spacing w:after="340" w:before="220" w:lineRule="auto"/>
              <w:rPr>
                <w:color w:val="1f2933"/>
                <w:sz w:val="19"/>
                <w:szCs w:val="19"/>
              </w:rPr>
            </w:pPr>
            <w:r w:rsidDel="00000000" w:rsidR="00000000" w:rsidRPr="00000000">
              <w:rPr>
                <w:color w:val="1f2933"/>
                <w:sz w:val="19"/>
                <w:szCs w:val="19"/>
                <w:rtl w:val="0"/>
              </w:rPr>
              <w:t xml:space="preserve">Greatest</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2C">
            <w:pPr>
              <w:spacing w:after="340" w:before="220" w:lineRule="auto"/>
              <w:rPr>
                <w:color w:val="1f2933"/>
                <w:sz w:val="19"/>
                <w:szCs w:val="19"/>
              </w:rPr>
            </w:pPr>
            <w:r w:rsidDel="00000000" w:rsidR="00000000" w:rsidRPr="00000000">
              <w:rPr>
                <w:color w:val="1f2933"/>
                <w:sz w:val="19"/>
                <w:szCs w:val="19"/>
                <w:rtl w:val="0"/>
              </w:rPr>
              <w:t xml:space="preserve">Medium</w:t>
            </w:r>
          </w:p>
        </w:tc>
      </w:tr>
      <w:tr>
        <w:trPr>
          <w:cantSplit w:val="0"/>
          <w:trHeight w:val="645" w:hRule="atLeast"/>
          <w:tblHeader w:val="0"/>
        </w:trPr>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2D">
            <w:pPr>
              <w:spacing w:after="340" w:before="220" w:lineRule="auto"/>
              <w:rPr>
                <w:color w:val="1f2933"/>
                <w:sz w:val="19"/>
                <w:szCs w:val="19"/>
              </w:rPr>
            </w:pPr>
            <w:r w:rsidDel="00000000" w:rsidR="00000000" w:rsidRPr="00000000">
              <w:rPr>
                <w:b w:val="1"/>
                <w:bCs w:val="1"/>
                <w:color w:val="1f2933"/>
                <w:sz w:val="19"/>
                <w:szCs w:val="19"/>
                <w:rtl w:val="0"/>
              </w:rPr>
              <w:t xml:space="preserve">Impact on current shareholders</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2E">
            <w:pPr>
              <w:spacing w:after="340" w:before="220" w:lineRule="auto"/>
              <w:rPr>
                <w:color w:val="1f2933"/>
                <w:sz w:val="19"/>
                <w:szCs w:val="19"/>
              </w:rPr>
            </w:pPr>
            <w:r w:rsidDel="00000000" w:rsidR="00000000" w:rsidRPr="00000000">
              <w:rPr>
                <w:color w:val="1f2933"/>
                <w:sz w:val="19"/>
                <w:szCs w:val="19"/>
                <w:rtl w:val="0"/>
              </w:rPr>
              <w:t xml:space="preserve">No impact</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2F">
            <w:pPr>
              <w:spacing w:after="340" w:before="220" w:lineRule="auto"/>
              <w:rPr>
                <w:color w:val="1f2933"/>
                <w:sz w:val="19"/>
                <w:szCs w:val="19"/>
              </w:rPr>
            </w:pPr>
            <w:r w:rsidDel="00000000" w:rsidR="00000000" w:rsidRPr="00000000">
              <w:rPr>
                <w:color w:val="1f2933"/>
                <w:sz w:val="19"/>
                <w:szCs w:val="19"/>
                <w:rtl w:val="0"/>
              </w:rPr>
              <w:t xml:space="preserve">No impact</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30">
            <w:pPr>
              <w:spacing w:after="340" w:before="220" w:lineRule="auto"/>
              <w:rPr>
                <w:color w:val="1f2933"/>
                <w:sz w:val="19"/>
                <w:szCs w:val="19"/>
              </w:rPr>
            </w:pPr>
            <w:r w:rsidDel="00000000" w:rsidR="00000000" w:rsidRPr="00000000">
              <w:rPr>
                <w:color w:val="1f2933"/>
                <w:sz w:val="19"/>
                <w:szCs w:val="19"/>
                <w:rtl w:val="0"/>
              </w:rPr>
              <w:t xml:space="preserve">Can be adjusted upon US incorporation</w:t>
            </w:r>
          </w:p>
        </w:tc>
      </w:tr>
      <w:tr>
        <w:trPr>
          <w:cantSplit w:val="0"/>
          <w:trHeight w:val="1035" w:hRule="atLeast"/>
          <w:tblHeader w:val="0"/>
        </w:trPr>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31">
            <w:pPr>
              <w:spacing w:after="340" w:before="220" w:lineRule="auto"/>
              <w:rPr>
                <w:b w:val="1"/>
                <w:bCs w:val="1"/>
                <w:color w:val="1f2933"/>
                <w:sz w:val="19"/>
                <w:szCs w:val="19"/>
              </w:rPr>
            </w:pPr>
            <w:r w:rsidDel="00000000" w:rsidR="00000000" w:rsidRPr="00000000">
              <w:rPr>
                <w:b w:val="1"/>
                <w:bCs w:val="1"/>
                <w:color w:val="1f2933"/>
                <w:sz w:val="19"/>
                <w:szCs w:val="19"/>
                <w:rtl w:val="0"/>
              </w:rPr>
              <w:t xml:space="preserve">Fund repatriation method</w:t>
            </w:r>
          </w:p>
          <w:p w:rsidR="00000000" w:rsidDel="00000000" w:rsidP="00000000" w:rsidRDefault="00000000" w:rsidRPr="00000000" w14:paraId="00000032">
            <w:pPr>
              <w:spacing w:after="340" w:before="220" w:lineRule="auto"/>
              <w:rPr>
                <w:color w:val="1f2933"/>
                <w:sz w:val="19"/>
                <w:szCs w:val="19"/>
              </w:rPr>
            </w:pPr>
            <w:r w:rsidDel="00000000" w:rsidR="00000000" w:rsidRPr="00000000">
              <w:rPr>
                <w:color w:val="6d7278"/>
                <w:sz w:val="18"/>
                <w:szCs w:val="18"/>
                <w:rtl w:val="0"/>
              </w:rPr>
              <w:t xml:space="preserve">from the US back to the Canadian company</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33">
            <w:pPr>
              <w:spacing w:after="340" w:before="220" w:lineRule="auto"/>
              <w:rPr>
                <w:color w:val="1f2933"/>
                <w:sz w:val="19"/>
                <w:szCs w:val="19"/>
              </w:rPr>
            </w:pPr>
            <w:r w:rsidDel="00000000" w:rsidR="00000000" w:rsidRPr="00000000">
              <w:rPr>
                <w:color w:val="1f2933"/>
                <w:sz w:val="19"/>
                <w:szCs w:val="19"/>
                <w:rtl w:val="0"/>
              </w:rPr>
              <w:t xml:space="preserve">Not applicable. Branch and parent are one legal entity</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34">
            <w:pPr>
              <w:spacing w:after="340" w:before="220" w:lineRule="auto"/>
              <w:rPr>
                <w:color w:val="1f2933"/>
                <w:sz w:val="19"/>
                <w:szCs w:val="19"/>
              </w:rPr>
            </w:pPr>
            <w:r w:rsidDel="00000000" w:rsidR="00000000" w:rsidRPr="00000000">
              <w:rPr>
                <w:color w:val="1f2933"/>
                <w:sz w:val="19"/>
                <w:szCs w:val="19"/>
                <w:rtl w:val="0"/>
              </w:rPr>
              <w:t xml:space="preserve">Dividends, which may be tax-free, and intercorporate fees</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35">
            <w:pPr>
              <w:spacing w:after="340" w:before="220" w:lineRule="auto"/>
              <w:rPr>
                <w:color w:val="1f2933"/>
                <w:sz w:val="19"/>
                <w:szCs w:val="19"/>
              </w:rPr>
            </w:pPr>
            <w:r w:rsidDel="00000000" w:rsidR="00000000" w:rsidRPr="00000000">
              <w:rPr>
                <w:color w:val="1f2933"/>
                <w:sz w:val="19"/>
                <w:szCs w:val="19"/>
                <w:rtl w:val="0"/>
              </w:rPr>
              <w:t xml:space="preserve">Intercorporate fees only</w:t>
            </w:r>
          </w:p>
        </w:tc>
      </w:tr>
      <w:tr>
        <w:trPr>
          <w:cantSplit w:val="0"/>
          <w:trHeight w:val="855" w:hRule="atLeast"/>
          <w:tblHeader w:val="0"/>
        </w:trPr>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36">
            <w:pPr>
              <w:spacing w:after="340" w:before="220" w:lineRule="auto"/>
              <w:rPr>
                <w:color w:val="1f2933"/>
                <w:sz w:val="19"/>
                <w:szCs w:val="19"/>
              </w:rPr>
            </w:pPr>
            <w:r w:rsidDel="00000000" w:rsidR="00000000" w:rsidRPr="00000000">
              <w:rPr>
                <w:b w:val="1"/>
                <w:bCs w:val="1"/>
                <w:color w:val="1f2933"/>
                <w:sz w:val="19"/>
                <w:szCs w:val="19"/>
                <w:rtl w:val="0"/>
              </w:rPr>
              <w:t xml:space="preserve">Brand retention</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37">
            <w:pPr>
              <w:spacing w:after="340" w:before="220" w:lineRule="auto"/>
              <w:rPr>
                <w:color w:val="1f2933"/>
                <w:sz w:val="19"/>
                <w:szCs w:val="19"/>
              </w:rPr>
            </w:pPr>
            <w:r w:rsidDel="00000000" w:rsidR="00000000" w:rsidRPr="00000000">
              <w:rPr>
                <w:color w:val="1f2933"/>
                <w:sz w:val="19"/>
                <w:szCs w:val="19"/>
                <w:rtl w:val="0"/>
              </w:rPr>
              <w:t xml:space="preserve">Parent’s trademarks and IP are shared with the branch</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38">
            <w:pPr>
              <w:spacing w:after="340" w:before="220" w:lineRule="auto"/>
              <w:rPr>
                <w:color w:val="1f2933"/>
                <w:sz w:val="19"/>
                <w:szCs w:val="19"/>
              </w:rPr>
            </w:pPr>
            <w:r w:rsidDel="00000000" w:rsidR="00000000" w:rsidRPr="00000000">
              <w:rPr>
                <w:color w:val="1f2933"/>
                <w:sz w:val="19"/>
                <w:szCs w:val="19"/>
                <w:rtl w:val="0"/>
              </w:rPr>
              <w:t xml:space="preserve">Trademarks and IP registered in the US are owned separately from the Canadian company</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39">
            <w:pPr>
              <w:spacing w:after="340" w:before="220" w:lineRule="auto"/>
              <w:rPr>
                <w:color w:val="1f2933"/>
                <w:sz w:val="19"/>
                <w:szCs w:val="19"/>
              </w:rPr>
            </w:pPr>
            <w:r w:rsidDel="00000000" w:rsidR="00000000" w:rsidRPr="00000000">
              <w:rPr>
                <w:color w:val="1f2933"/>
                <w:sz w:val="19"/>
                <w:szCs w:val="19"/>
                <w:rtl w:val="0"/>
              </w:rPr>
              <w:t xml:space="preserve">Trademarks and IP registered in the US are owned separately from the Canadian company</w:t>
            </w:r>
          </w:p>
        </w:tc>
      </w:tr>
      <w:tr>
        <w:trPr>
          <w:cantSplit w:val="0"/>
          <w:trHeight w:val="645" w:hRule="atLeast"/>
          <w:tblHeader w:val="0"/>
        </w:trPr>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3A">
            <w:pPr>
              <w:spacing w:after="340" w:before="220" w:lineRule="auto"/>
              <w:rPr>
                <w:color w:val="1f2933"/>
                <w:sz w:val="19"/>
                <w:szCs w:val="19"/>
              </w:rPr>
            </w:pPr>
            <w:r w:rsidDel="00000000" w:rsidR="00000000" w:rsidRPr="00000000">
              <w:rPr>
                <w:b w:val="1"/>
                <w:bCs w:val="1"/>
                <w:color w:val="1f2933"/>
                <w:sz w:val="19"/>
                <w:szCs w:val="19"/>
                <w:rtl w:val="0"/>
              </w:rPr>
              <w:t xml:space="preserve">Impact on future sales</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3B">
            <w:pPr>
              <w:spacing w:after="340" w:before="220" w:lineRule="auto"/>
              <w:rPr>
                <w:color w:val="1f2933"/>
                <w:sz w:val="19"/>
                <w:szCs w:val="19"/>
              </w:rPr>
            </w:pPr>
            <w:r w:rsidDel="00000000" w:rsidR="00000000" w:rsidRPr="00000000">
              <w:rPr>
                <w:color w:val="1f2933"/>
                <w:sz w:val="19"/>
                <w:szCs w:val="19"/>
                <w:rtl w:val="0"/>
              </w:rPr>
              <w:t xml:space="preserve">Increase expected</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3C">
            <w:pPr>
              <w:spacing w:after="340" w:before="220" w:lineRule="auto"/>
              <w:rPr>
                <w:color w:val="1f2933"/>
                <w:sz w:val="19"/>
                <w:szCs w:val="19"/>
              </w:rPr>
            </w:pPr>
            <w:r w:rsidDel="00000000" w:rsidR="00000000" w:rsidRPr="00000000">
              <w:rPr>
                <w:color w:val="1f2933"/>
                <w:sz w:val="19"/>
                <w:szCs w:val="19"/>
                <w:rtl w:val="0"/>
              </w:rPr>
              <w:t xml:space="preserve">Increase expected</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3D">
            <w:pPr>
              <w:spacing w:after="340" w:before="220" w:lineRule="auto"/>
              <w:rPr>
                <w:color w:val="1f2933"/>
                <w:sz w:val="19"/>
                <w:szCs w:val="19"/>
              </w:rPr>
            </w:pPr>
            <w:r w:rsidDel="00000000" w:rsidR="00000000" w:rsidRPr="00000000">
              <w:rPr>
                <w:color w:val="1f2933"/>
                <w:sz w:val="19"/>
                <w:szCs w:val="19"/>
                <w:rtl w:val="0"/>
              </w:rPr>
              <w:t xml:space="preserve">Increase expected</w:t>
            </w:r>
          </w:p>
        </w:tc>
      </w:tr>
    </w:tbl>
    <w:p w:rsidR="00000000" w:rsidDel="00000000" w:rsidP="00000000" w:rsidRDefault="00000000" w:rsidRPr="00000000" w14:paraId="0000003E">
      <w:pPr>
        <w:pStyle w:val="Heading3"/>
        <w:keepNext w:val="0"/>
        <w:keepLines w:val="0"/>
        <w:spacing w:before="340" w:lineRule="auto"/>
        <w:rPr>
          <w:b w:val="1"/>
          <w:bCs w:val="1"/>
          <w:color w:val="6d7278"/>
          <w:sz w:val="20"/>
          <w:szCs w:val="20"/>
        </w:rPr>
      </w:pPr>
      <w:bookmarkStart w:colFirst="0" w:colLast="0" w:name="_qv6k3ixss9pp" w:id="13"/>
      <w:bookmarkEnd w:id="13"/>
      <w:r w:rsidDel="00000000" w:rsidR="00000000" w:rsidRPr="00000000">
        <w:rPr>
          <w:b w:val="1"/>
          <w:bCs w:val="1"/>
          <w:color w:val="6d7278"/>
          <w:sz w:val="20"/>
          <w:szCs w:val="20"/>
          <w:rtl w:val="0"/>
        </w:rPr>
        <w:t xml:space="preserve">Why the current structure is drawn twice</w:t>
      </w:r>
    </w:p>
    <w:p w:rsidR="00000000" w:rsidDel="00000000" w:rsidP="00000000" w:rsidRDefault="00000000" w:rsidRPr="00000000" w14:paraId="0000003F">
      <w:pPr>
        <w:spacing w:after="220" w:before="220" w:lineRule="auto"/>
        <w:rPr>
          <w:color w:val="1f2933"/>
        </w:rPr>
      </w:pPr>
      <w:r w:rsidDel="00000000" w:rsidR="00000000" w:rsidRPr="00000000">
        <w:rPr>
          <w:color w:val="1f2933"/>
          <w:rtl w:val="0"/>
        </w:rPr>
        <w:t xml:space="preserve">Before any alternative is proposed, the existing ownership is drawn out in full: five shareholder groups, each with its percentage, all pointing at the Canadian company. Then it is immediately redrawn in a simplified view with the principals collapsed into one group at 95% and the remaining Canadian individuals at 5%.</w:t>
      </w:r>
    </w:p>
    <w:p w:rsidR="00000000" w:rsidDel="00000000" w:rsidP="00000000" w:rsidRDefault="00000000" w:rsidRPr="00000000" w14:paraId="00000040">
      <w:pPr>
        <w:spacing w:after="220" w:before="220" w:lineRule="auto"/>
        <w:rPr>
          <w:color w:val="1f2933"/>
        </w:rPr>
      </w:pPr>
      <w:r w:rsidDel="00000000" w:rsidR="00000000" w:rsidRPr="00000000">
        <w:rPr>
          <w:color w:val="1f2933"/>
          <w:rtl w:val="0"/>
        </w:rPr>
        <w:t xml:space="preserve">This is not padding. The full view is there so nobody can claim a shareholder was overlooked, and so the institutional and corporate holders are visible as distinct from the individuals. The simplified view is the one every subsequent diagram builds on, because carrying five nodes through nine more diagrams would bury the thing each diagram is actually trying to show. Establishing the simplification explicitly, on its own slide, is what lets the rest of the document stay readable without losing accuracy.</w:t>
      </w:r>
    </w:p>
    <w:p w:rsidR="00000000" w:rsidDel="00000000" w:rsidP="00000000" w:rsidRDefault="00000000" w:rsidRPr="00000000" w14:paraId="00000041">
      <w:pPr>
        <w:pStyle w:val="Heading3"/>
        <w:keepNext w:val="0"/>
        <w:keepLines w:val="0"/>
        <w:spacing w:before="340" w:lineRule="auto"/>
        <w:rPr>
          <w:b w:val="1"/>
          <w:bCs w:val="1"/>
          <w:color w:val="6d7278"/>
          <w:sz w:val="20"/>
          <w:szCs w:val="20"/>
        </w:rPr>
      </w:pPr>
      <w:bookmarkStart w:colFirst="0" w:colLast="0" w:name="_hssozgukdujc" w:id="14"/>
      <w:bookmarkEnd w:id="14"/>
      <w:r w:rsidDel="00000000" w:rsidR="00000000" w:rsidRPr="00000000">
        <w:rPr>
          <w:b w:val="1"/>
          <w:bCs w:val="1"/>
          <w:color w:val="6d7278"/>
          <w:sz w:val="20"/>
          <w:szCs w:val="20"/>
          <w:rtl w:val="0"/>
        </w:rPr>
        <w:t xml:space="preserve">Alternative 1. Establishing a US branch</w:t>
      </w:r>
    </w:p>
    <w:p w:rsidR="00000000" w:rsidDel="00000000" w:rsidP="00000000" w:rsidRDefault="00000000" w:rsidRPr="00000000" w14:paraId="00000042">
      <w:pPr>
        <w:spacing w:after="220" w:before="220" w:lineRule="auto"/>
        <w:rPr>
          <w:color w:val="1f2933"/>
        </w:rPr>
      </w:pPr>
      <w:r w:rsidDel="00000000" w:rsidR="00000000" w:rsidRPr="00000000">
        <w:rPr>
          <w:color w:val="1f2933"/>
          <w:rtl w:val="0"/>
        </w:rPr>
        <w:t xml:space="preserve">The diagram shows the border as a dashed line with the Canadian company on one side and the US branch on the other, joined by an arrow labelled “extension of Canada”. That label is doing the work of a paragraph. A branch is not a company. It is the same company, operating in a second country.</w:t>
      </w:r>
    </w:p>
    <w:p w:rsidR="00000000" w:rsidDel="00000000" w:rsidP="00000000" w:rsidRDefault="00000000" w:rsidRPr="00000000" w14:paraId="00000043">
      <w:pPr>
        <w:spacing w:after="220" w:before="220" w:lineRule="auto"/>
        <w:rPr>
          <w:color w:val="1f2933"/>
        </w:rPr>
      </w:pPr>
      <w:r w:rsidDel="00000000" w:rsidR="00000000" w:rsidRPr="00000000">
        <w:rPr>
          <w:color w:val="1f2933"/>
          <w:rtl w:val="0"/>
        </w:rPr>
        <w:t xml:space="preserve">The commentary panel beside it states six things, and the last two are the ones that matter. The corporate structure does not change, Canada continues to perform research and development while the branch manufactures and sells, and profits from both activities stay inside one legal entity, which means a future sale of the Canadian company is unlikely to be devalued by the split. Then: an additional branch tax of roughly five percent applies on US income. And individual Canadian shareholders may lose access to the lifetime capital gains exemption.</w:t>
      </w:r>
    </w:p>
    <w:p w:rsidR="00000000" w:rsidDel="00000000" w:rsidP="00000000" w:rsidRDefault="00000000" w:rsidRPr="00000000" w14:paraId="00000044">
      <w:pPr>
        <w:spacing w:after="220" w:before="220" w:lineRule="auto"/>
        <w:rPr>
          <w:color w:val="1f2933"/>
        </w:rPr>
      </w:pPr>
      <w:r w:rsidDel="00000000" w:rsidR="00000000" w:rsidRPr="00000000">
        <w:rPr>
          <w:color w:val="1f2933"/>
          <w:rtl w:val="0"/>
        </w:rPr>
        <w:t xml:space="preserve">That last line is the one worth slowing down on. A branch puts US business assets directly onto the Canadian company’s own balance sheet. Access to the lifetime capital gains exemption depends on the company’s assets being used principally in an active business carried on primarily in Canada, tested both at the moment of sale and across the preceding two years. Enough weight on the US side of that test and the exemption is gone, for every individual shareholder, on a sale that might be a decade away. It is the cheapest structure to run and the one with the most expensive tail.</w:t>
      </w:r>
    </w:p>
    <w:p w:rsidR="00000000" w:rsidDel="00000000" w:rsidP="00000000" w:rsidRDefault="00000000" w:rsidRPr="00000000" w14:paraId="00000045">
      <w:pPr>
        <w:spacing w:after="220" w:before="220" w:lineRule="auto"/>
        <w:rPr>
          <w:color w:val="1f2933"/>
        </w:rPr>
      </w:pPr>
      <w:r w:rsidDel="00000000" w:rsidR="00000000" w:rsidRPr="00000000">
        <w:rPr>
          <w:b w:val="1"/>
          <w:bCs w:val="1"/>
          <w:color w:val="1f2933"/>
          <w:rtl w:val="0"/>
        </w:rPr>
        <w:t xml:space="preserve">The definition, pros and cons breakdown that follows says:</w:t>
      </w:r>
      <w:r w:rsidDel="00000000" w:rsidR="00000000" w:rsidRPr="00000000">
        <w:rPr>
          <w:color w:val="1f2933"/>
          <w:rtl w:val="0"/>
        </w:rPr>
        <w:t xml:space="preserve"> a branch is an extension of an existing company, set up abroad as a secondary establishment, treated as one legal entity but taxed separately from the parent. In its favour: management decisions flow directly from the parent so control is tighter, branches are smaller and can share costs with the parent to reduce overhead, and the US branch can use the Canadian brand with no legal hurdle because one company owns all the trademarks and intellectual property. Against it: a branch is not a separate legal entity, so parent and branch share any legal liability that arises; branches attract that additional US income tax layer; and income earned through the US branch does not benefit from the lower Canadian tax rate.</w:t>
      </w:r>
    </w:p>
    <w:p w:rsidR="00000000" w:rsidDel="00000000" w:rsidP="00000000" w:rsidRDefault="00000000" w:rsidRPr="00000000" w14:paraId="00000046">
      <w:pPr>
        <w:pStyle w:val="Heading3"/>
        <w:keepNext w:val="0"/>
        <w:keepLines w:val="0"/>
        <w:spacing w:before="340" w:lineRule="auto"/>
        <w:rPr>
          <w:b w:val="1"/>
          <w:bCs w:val="1"/>
          <w:color w:val="6d7278"/>
          <w:sz w:val="20"/>
          <w:szCs w:val="20"/>
        </w:rPr>
      </w:pPr>
      <w:bookmarkStart w:colFirst="0" w:colLast="0" w:name="_bcnnzqrd61xn" w:id="15"/>
      <w:bookmarkEnd w:id="15"/>
      <w:r w:rsidDel="00000000" w:rsidR="00000000" w:rsidRPr="00000000">
        <w:rPr>
          <w:b w:val="1"/>
          <w:bCs w:val="1"/>
          <w:color w:val="6d7278"/>
          <w:sz w:val="20"/>
          <w:szCs w:val="20"/>
          <w:rtl w:val="0"/>
        </w:rPr>
        <w:t xml:space="preserve">Alternative 2. Incorporating a US subsidiary</w:t>
      </w:r>
    </w:p>
    <w:p w:rsidR="00000000" w:rsidDel="00000000" w:rsidP="00000000" w:rsidRDefault="00000000" w:rsidRPr="00000000" w14:paraId="00000047">
      <w:pPr>
        <w:spacing w:after="220" w:before="220" w:lineRule="auto"/>
        <w:rPr>
          <w:color w:val="1f2933"/>
        </w:rPr>
      </w:pPr>
      <w:r w:rsidDel="00000000" w:rsidR="00000000" w:rsidRPr="00000000">
        <w:rPr>
          <w:color w:val="1f2933"/>
          <w:rtl w:val="0"/>
        </w:rPr>
        <w:t xml:space="preserve">The diagram changes shape here. The US entity sits below the Canadian company at 100% ownership, and a curved arrow runs from the US side back up across the border labelled “US pays sublicensing fees”. Two flows now exist where the branch had none: fees going north, and dividends able to follow the ownership line.</w:t>
      </w:r>
    </w:p>
    <w:p w:rsidR="00000000" w:rsidDel="00000000" w:rsidP="00000000" w:rsidRDefault="00000000" w:rsidRPr="00000000" w14:paraId="00000048">
      <w:pPr>
        <w:spacing w:after="220" w:before="220" w:lineRule="auto"/>
        <w:rPr>
          <w:color w:val="1f2933"/>
        </w:rPr>
      </w:pPr>
      <w:r w:rsidDel="00000000" w:rsidR="00000000" w:rsidRPr="00000000">
        <w:rPr>
          <w:color w:val="1f2933"/>
          <w:rtl w:val="0"/>
        </w:rPr>
        <w:t xml:space="preserve">The commentary makes the consequence explicit. Shareholder ownership remains intact. The structure creates a split between research and development and the profit-generating activity. The Canadian company charges the US corporation for the right to manufacture and sell its products. And critically, the structure allows dividends to flow up to the Canadian company, which can then be used to fund research and development.</w:t>
      </w:r>
    </w:p>
    <w:p w:rsidR="00000000" w:rsidDel="00000000" w:rsidP="00000000" w:rsidRDefault="00000000" w:rsidRPr="00000000" w14:paraId="00000049">
      <w:pPr>
        <w:spacing w:after="220" w:before="220" w:lineRule="auto"/>
        <w:rPr>
          <w:color w:val="1f2933"/>
        </w:rPr>
      </w:pPr>
      <w:r w:rsidDel="00000000" w:rsidR="00000000" w:rsidRPr="00000000">
        <w:rPr>
          <w:color w:val="1f2933"/>
          <w:rtl w:val="0"/>
        </w:rPr>
        <w:t xml:space="preserve">That is the operational heart of the whole comparison. If the Canadian side of the business is a cost centre performing research and the US side is where products get sold, then the Canadian company needs US money to keep doing research. A structure that permits dividends is not a tax nicety. It is how the business functions.</w:t>
      </w:r>
    </w:p>
    <w:p w:rsidR="00000000" w:rsidDel="00000000" w:rsidP="00000000" w:rsidRDefault="00000000" w:rsidRPr="00000000" w14:paraId="0000004A">
      <w:pPr>
        <w:spacing w:after="220" w:before="220" w:lineRule="auto"/>
        <w:rPr>
          <w:color w:val="1f2933"/>
        </w:rPr>
      </w:pPr>
      <w:r w:rsidDel="00000000" w:rsidR="00000000" w:rsidRPr="00000000">
        <w:rPr>
          <w:color w:val="1f2933"/>
          <w:rtl w:val="0"/>
        </w:rPr>
        <w:t xml:space="preserve">The same lifetime capital gains exemption warning appears here as it did for the branch, for a related reason: shares of a foreign corporation held by the Canadian company are still assets on the Canadian company’s balance sheet, and they are not assets used in an active business carried on primarily in Canada.</w:t>
      </w:r>
    </w:p>
    <w:p w:rsidR="00000000" w:rsidDel="00000000" w:rsidP="00000000" w:rsidRDefault="00000000" w:rsidRPr="00000000" w14:paraId="0000004B">
      <w:pPr>
        <w:spacing w:after="220" w:before="220" w:lineRule="auto"/>
        <w:rPr>
          <w:color w:val="1f2933"/>
        </w:rPr>
      </w:pPr>
      <w:r w:rsidDel="00000000" w:rsidR="00000000" w:rsidRPr="00000000">
        <w:rPr>
          <w:b w:val="1"/>
          <w:bCs w:val="1"/>
          <w:color w:val="1f2933"/>
          <w:rtl w:val="0"/>
        </w:rPr>
        <w:t xml:space="preserve">The breakdown:</w:t>
      </w:r>
      <w:r w:rsidDel="00000000" w:rsidR="00000000" w:rsidRPr="00000000">
        <w:rPr>
          <w:color w:val="1f2933"/>
          <w:rtl w:val="0"/>
        </w:rPr>
        <w:t xml:space="preserve"> a subsidiary is a corporation controlled or majority owned by a parent corporation, incorporated in the United States with the Canadian company as its shareholder, treated as two separate legal entities for both liability and tax. In its favour: separation of legal liability between the two corporations; taxation under local law on its own income only, which shields the Canadian company’s profits from US tax exposure; and easier access to capital from US banks and investors. Against it: more stringent local regulation and annual reporting; exposure to political risk outside the company’s control, including tariffs; intercorporate dealings requiring regular transfer pricing consideration to manage audit risk from tax authorities on both sides; and cross-border tax analysis on dividends, which may not be tax-free.</w:t>
      </w:r>
    </w:p>
    <w:p w:rsidR="00000000" w:rsidDel="00000000" w:rsidP="00000000" w:rsidRDefault="00000000" w:rsidRPr="00000000" w14:paraId="0000004C">
      <w:pPr>
        <w:pStyle w:val="Heading3"/>
        <w:keepNext w:val="0"/>
        <w:keepLines w:val="0"/>
        <w:spacing w:before="340" w:lineRule="auto"/>
        <w:rPr>
          <w:b w:val="1"/>
          <w:bCs w:val="1"/>
          <w:color w:val="6d7278"/>
          <w:sz w:val="20"/>
          <w:szCs w:val="20"/>
        </w:rPr>
      </w:pPr>
      <w:bookmarkStart w:colFirst="0" w:colLast="0" w:name="_x98dnqbll3hs" w:id="16"/>
      <w:bookmarkEnd w:id="16"/>
      <w:r w:rsidDel="00000000" w:rsidR="00000000" w:rsidRPr="00000000">
        <w:rPr>
          <w:b w:val="1"/>
          <w:bCs w:val="1"/>
          <w:color w:val="6d7278"/>
          <w:sz w:val="20"/>
          <w:szCs w:val="20"/>
          <w:rtl w:val="0"/>
        </w:rPr>
        <w:t xml:space="preserve">Alternative 3. Incorporating a US sister corporation</w:t>
      </w:r>
    </w:p>
    <w:p w:rsidR="00000000" w:rsidDel="00000000" w:rsidP="00000000" w:rsidRDefault="00000000" w:rsidRPr="00000000" w14:paraId="0000004D">
      <w:pPr>
        <w:spacing w:after="220" w:before="220" w:lineRule="auto"/>
        <w:rPr>
          <w:color w:val="1f2933"/>
        </w:rPr>
      </w:pPr>
      <w:r w:rsidDel="00000000" w:rsidR="00000000" w:rsidRPr="00000000">
        <w:rPr>
          <w:color w:val="1f2933"/>
          <w:rtl w:val="0"/>
        </w:rPr>
        <w:t xml:space="preserve">The third diagram looks symmetrical and that symmetry is the point. Both companies sit at the same level, one on each side of the border, and the same shareholder groups own both at 95% and 5%. There is no line between the two companies, because neither owns the other. The only connection is the sublicensing fee arrow running from the US side back to Canada.</w:t>
      </w:r>
    </w:p>
    <w:p w:rsidR="00000000" w:rsidDel="00000000" w:rsidP="00000000" w:rsidRDefault="00000000" w:rsidRPr="00000000" w14:paraId="0000004E">
      <w:pPr>
        <w:spacing w:after="220" w:before="220" w:lineRule="auto"/>
        <w:rPr>
          <w:color w:val="1f2933"/>
        </w:rPr>
      </w:pPr>
      <w:r w:rsidDel="00000000" w:rsidR="00000000" w:rsidRPr="00000000">
        <w:rPr>
          <w:color w:val="1f2933"/>
          <w:rtl w:val="0"/>
        </w:rPr>
        <w:t xml:space="preserve">The commentary panel is where this structure separates itself, and it does so through a single word set in bold: the structure does </w:t>
      </w:r>
      <w:r w:rsidDel="00000000" w:rsidR="00000000" w:rsidRPr="00000000">
        <w:rPr>
          <w:b w:val="1"/>
          <w:bCs w:val="1"/>
          <w:color w:val="1f2933"/>
          <w:rtl w:val="0"/>
        </w:rPr>
        <w:t xml:space="preserve">NOT</w:t>
      </w:r>
      <w:r w:rsidDel="00000000" w:rsidR="00000000" w:rsidRPr="00000000">
        <w:rPr>
          <w:color w:val="1f2933"/>
          <w:rtl w:val="0"/>
        </w:rPr>
        <w:t xml:space="preserve"> allow for dividends to the Canadian company, which could be used to fund research and development. Everything else about the sister structure is attractive. Shareholder ownership stays intact, ownership percentages can be adjusted at the point of US incorporation, liability is separated, and the US entity is taxed only on its own income. But the money route back to Canada that funds the research is closed.</w:t>
      </w:r>
    </w:p>
    <w:p w:rsidR="00000000" w:rsidDel="00000000" w:rsidP="00000000" w:rsidRDefault="00000000" w:rsidRPr="00000000" w14:paraId="0000004F">
      <w:pPr>
        <w:spacing w:after="220" w:before="220" w:lineRule="auto"/>
        <w:rPr>
          <w:color w:val="1f2933"/>
        </w:rPr>
      </w:pPr>
      <w:r w:rsidDel="00000000" w:rsidR="00000000" w:rsidRPr="00000000">
        <w:rPr>
          <w:color w:val="1f2933"/>
          <w:rtl w:val="0"/>
        </w:rPr>
        <w:t xml:space="preserve">The second commentary line is the other half of the trade: the Canadian company on its own may not be as valuable in the event of a future sale. Where the branch keeps everything inside one entity and the subsidiary keeps the US business as an asset of the Canadian company, the sister structure leaves the Canadian company holding research and development and a licensing stream, with the manufacturing and sales business standing beside it rather than beneath it. A buyer of the Canadian company is buying less.</w:t>
      </w:r>
    </w:p>
    <w:p w:rsidR="00000000" w:rsidDel="00000000" w:rsidP="00000000" w:rsidRDefault="00000000" w:rsidRPr="00000000" w14:paraId="00000050">
      <w:pPr>
        <w:spacing w:after="220" w:before="220" w:lineRule="auto"/>
        <w:rPr>
          <w:color w:val="1f2933"/>
        </w:rPr>
      </w:pPr>
      <w:r w:rsidDel="00000000" w:rsidR="00000000" w:rsidRPr="00000000">
        <w:rPr>
          <w:b w:val="1"/>
          <w:bCs w:val="1"/>
          <w:color w:val="1f2933"/>
          <w:rtl w:val="0"/>
        </w:rPr>
        <w:t xml:space="preserve">The breakdown:</w:t>
      </w:r>
      <w:r w:rsidDel="00000000" w:rsidR="00000000" w:rsidRPr="00000000">
        <w:rPr>
          <w:color w:val="1f2933"/>
          <w:rtl w:val="0"/>
        </w:rPr>
        <w:t xml:space="preserve"> sister corporations are corporations controlled or majority owned by the same person or group of persons; a corporation is incorporated in the United States and the current shareholders of the Canadian company also become the shareholders of the new US corporation; the two are treated as separate legal entities for both liability and tax. Pros mirror the subsidiary: separation of legal liability, taxation on its own income only, better access to US capital. The cons mirror the subsidiary on regulation, political and tariff risk, and transfer pricing, and then add the decisive one: the structure loses the ability to repatriate profits from the US corporation to the Canadian company via dividends.</w:t>
      </w:r>
    </w:p>
    <w:p w:rsidR="00000000" w:rsidDel="00000000" w:rsidP="00000000" w:rsidRDefault="00000000" w:rsidRPr="00000000" w14:paraId="00000051">
      <w:pPr>
        <w:pStyle w:val="Heading3"/>
        <w:keepNext w:val="0"/>
        <w:keepLines w:val="0"/>
        <w:spacing w:before="340" w:lineRule="auto"/>
        <w:rPr>
          <w:b w:val="1"/>
          <w:bCs w:val="1"/>
          <w:color w:val="6d7278"/>
          <w:sz w:val="20"/>
          <w:szCs w:val="20"/>
        </w:rPr>
      </w:pPr>
      <w:bookmarkStart w:colFirst="0" w:colLast="0" w:name="_j67gh4n0142v" w:id="17"/>
      <w:bookmarkEnd w:id="17"/>
      <w:r w:rsidDel="00000000" w:rsidR="00000000" w:rsidRPr="00000000">
        <w:rPr>
          <w:b w:val="1"/>
          <w:bCs w:val="1"/>
          <w:color w:val="6d7278"/>
          <w:sz w:val="20"/>
          <w:szCs w:val="20"/>
          <w:rtl w:val="0"/>
        </w:rPr>
        <w:t xml:space="preserve">Closing. The same matrix, with one row swapped</w:t>
      </w:r>
    </w:p>
    <w:p w:rsidR="00000000" w:rsidDel="00000000" w:rsidP="00000000" w:rsidRDefault="00000000" w:rsidRPr="00000000" w14:paraId="00000052">
      <w:pPr>
        <w:spacing w:after="220" w:before="220" w:lineRule="auto"/>
        <w:rPr>
          <w:color w:val="1f2933"/>
        </w:rPr>
      </w:pPr>
      <w:r w:rsidDel="00000000" w:rsidR="00000000" w:rsidRPr="00000000">
        <w:rPr>
          <w:color w:val="1f2933"/>
          <w:rtl w:val="0"/>
        </w:rPr>
        <w:t xml:space="preserve">The document ends where it began, with the same comparison table, except that the final row has changed. “Impact on future sales” is gone and “difficulty of implementation” has taken its place: least for the branch, most for the subsidiary, somewhat for the sister corporation.</w:t>
      </w:r>
    </w:p>
    <w:p w:rsidR="00000000" w:rsidDel="00000000" w:rsidP="00000000" w:rsidRDefault="00000000" w:rsidRPr="00000000" w14:paraId="00000053">
      <w:pPr>
        <w:spacing w:after="220" w:before="220" w:lineRule="auto"/>
        <w:rPr>
          <w:color w:val="1f2933"/>
        </w:rPr>
      </w:pPr>
      <w:r w:rsidDel="00000000" w:rsidR="00000000" w:rsidRPr="00000000">
        <w:rPr>
          <w:color w:val="1f2933"/>
          <w:rtl w:val="0"/>
        </w:rPr>
        <w:t xml:space="preserve">The swap is deliberate and it is the most quietly useful decision in the document. The opening matrix carried impact on future sales because that is the question founders arrive with. By the closing matrix it has been dropped, because the answer for all three structures was the same, “increase expected”, which means it does not help anyone choose. A row that gives the same answer in every column is decoration. It was replaced with the row that does discriminate, and that the client will feel within the first ninety days.</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22.8571428571427"/>
        <w:gridCol w:w="1725.7142857142856"/>
        <w:gridCol w:w="2411.4285714285716"/>
        <w:gridCol w:w="2800"/>
        <w:tblGridChange w:id="0">
          <w:tblGrid>
            <w:gridCol w:w="2422.8571428571427"/>
            <w:gridCol w:w="1725.7142857142856"/>
            <w:gridCol w:w="2411.4285714285716"/>
            <w:gridCol w:w="2800"/>
          </w:tblGrid>
        </w:tblGridChange>
      </w:tblGrid>
      <w:tr>
        <w:trPr>
          <w:cantSplit w:val="0"/>
          <w:trHeight w:val="435" w:hRule="atLeast"/>
          <w:tblHeader w:val="0"/>
        </w:trPr>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54">
            <w:pPr>
              <w:spacing w:after="340" w:before="220" w:lineRule="auto"/>
              <w:rPr>
                <w:color w:val="1f2933"/>
                <w:sz w:val="19"/>
                <w:szCs w:val="19"/>
              </w:rPr>
            </w:pPr>
            <w:r w:rsidDel="00000000" w:rsidR="00000000" w:rsidRPr="00000000">
              <w:rPr>
                <w:b w:val="1"/>
                <w:bCs w:val="1"/>
                <w:color w:val="6d7278"/>
                <w:sz w:val="17"/>
                <w:szCs w:val="17"/>
                <w:rtl w:val="0"/>
              </w:rPr>
              <w:t xml:space="preserve">Dimension</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55">
            <w:pPr>
              <w:spacing w:after="340" w:before="220" w:lineRule="auto"/>
              <w:rPr>
                <w:color w:val="1f2933"/>
                <w:sz w:val="19"/>
                <w:szCs w:val="19"/>
              </w:rPr>
            </w:pPr>
            <w:r w:rsidDel="00000000" w:rsidR="00000000" w:rsidRPr="00000000">
              <w:rPr>
                <w:b w:val="1"/>
                <w:bCs w:val="1"/>
                <w:color w:val="6d7278"/>
                <w:sz w:val="17"/>
                <w:szCs w:val="17"/>
                <w:rtl w:val="0"/>
              </w:rPr>
              <w:t xml:space="preserve">US Branch</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56">
            <w:pPr>
              <w:spacing w:after="340" w:before="220" w:lineRule="auto"/>
              <w:rPr>
                <w:color w:val="1f2933"/>
                <w:sz w:val="19"/>
                <w:szCs w:val="19"/>
              </w:rPr>
            </w:pPr>
            <w:r w:rsidDel="00000000" w:rsidR="00000000" w:rsidRPr="00000000">
              <w:rPr>
                <w:b w:val="1"/>
                <w:bCs w:val="1"/>
                <w:color w:val="6d7278"/>
                <w:sz w:val="17"/>
                <w:szCs w:val="17"/>
                <w:rtl w:val="0"/>
              </w:rPr>
              <w:t xml:space="preserve">US Subsidiary Corporation</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57">
            <w:pPr>
              <w:spacing w:after="340" w:before="220" w:lineRule="auto"/>
              <w:rPr>
                <w:color w:val="1f2933"/>
                <w:sz w:val="19"/>
                <w:szCs w:val="19"/>
              </w:rPr>
            </w:pPr>
            <w:r w:rsidDel="00000000" w:rsidR="00000000" w:rsidRPr="00000000">
              <w:rPr>
                <w:b w:val="1"/>
                <w:bCs w:val="1"/>
                <w:color w:val="6d7278"/>
                <w:sz w:val="17"/>
                <w:szCs w:val="17"/>
                <w:rtl w:val="0"/>
              </w:rPr>
              <w:t xml:space="preserve">US Sister Corporation</w:t>
            </w:r>
            <w:r w:rsidDel="00000000" w:rsidR="00000000" w:rsidRPr="00000000">
              <w:rPr>
                <w:rtl w:val="0"/>
              </w:rPr>
            </w:r>
          </w:p>
        </w:tc>
      </w:tr>
      <w:tr>
        <w:trPr>
          <w:cantSplit w:val="0"/>
          <w:trHeight w:val="420" w:hRule="atLeast"/>
          <w:tblHeader w:val="0"/>
        </w:trPr>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58">
            <w:pPr>
              <w:spacing w:after="340" w:before="220" w:lineRule="auto"/>
              <w:rPr>
                <w:color w:val="1f2933"/>
                <w:sz w:val="19"/>
                <w:szCs w:val="19"/>
              </w:rPr>
            </w:pPr>
            <w:r w:rsidDel="00000000" w:rsidR="00000000" w:rsidRPr="00000000">
              <w:rPr>
                <w:b w:val="1"/>
                <w:bCs w:val="1"/>
                <w:color w:val="1f2933"/>
                <w:sz w:val="19"/>
                <w:szCs w:val="19"/>
                <w:rtl w:val="0"/>
              </w:rPr>
              <w:t xml:space="preserve">Tax implications</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59">
            <w:pPr>
              <w:spacing w:after="340" w:before="220" w:lineRule="auto"/>
              <w:rPr>
                <w:color w:val="1f2933"/>
                <w:sz w:val="19"/>
                <w:szCs w:val="19"/>
              </w:rPr>
            </w:pPr>
            <w:r w:rsidDel="00000000" w:rsidR="00000000" w:rsidRPr="00000000">
              <w:rPr>
                <w:color w:val="1f2933"/>
                <w:sz w:val="19"/>
                <w:szCs w:val="19"/>
                <w:rtl w:val="0"/>
              </w:rPr>
              <w:t xml:space="preserve">Least</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5A">
            <w:pPr>
              <w:spacing w:after="340" w:before="220" w:lineRule="auto"/>
              <w:rPr>
                <w:color w:val="1f2933"/>
                <w:sz w:val="19"/>
                <w:szCs w:val="19"/>
              </w:rPr>
            </w:pPr>
            <w:r w:rsidDel="00000000" w:rsidR="00000000" w:rsidRPr="00000000">
              <w:rPr>
                <w:color w:val="1f2933"/>
                <w:sz w:val="19"/>
                <w:szCs w:val="19"/>
                <w:rtl w:val="0"/>
              </w:rPr>
              <w:t xml:space="preserve">Greatest</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5B">
            <w:pPr>
              <w:spacing w:after="340" w:before="220" w:lineRule="auto"/>
              <w:rPr>
                <w:color w:val="1f2933"/>
                <w:sz w:val="19"/>
                <w:szCs w:val="19"/>
              </w:rPr>
            </w:pPr>
            <w:r w:rsidDel="00000000" w:rsidR="00000000" w:rsidRPr="00000000">
              <w:rPr>
                <w:color w:val="1f2933"/>
                <w:sz w:val="19"/>
                <w:szCs w:val="19"/>
                <w:rtl w:val="0"/>
              </w:rPr>
              <w:t xml:space="preserve">Medium</w:t>
            </w:r>
          </w:p>
        </w:tc>
      </w:tr>
      <w:tr>
        <w:trPr>
          <w:cantSplit w:val="0"/>
          <w:trHeight w:val="420" w:hRule="atLeast"/>
          <w:tblHeader w:val="0"/>
        </w:trPr>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5C">
            <w:pPr>
              <w:spacing w:after="340" w:before="220" w:lineRule="auto"/>
              <w:rPr>
                <w:color w:val="1f2933"/>
                <w:sz w:val="19"/>
                <w:szCs w:val="19"/>
              </w:rPr>
            </w:pPr>
            <w:r w:rsidDel="00000000" w:rsidR="00000000" w:rsidRPr="00000000">
              <w:rPr>
                <w:b w:val="1"/>
                <w:bCs w:val="1"/>
                <w:color w:val="1f2933"/>
                <w:sz w:val="19"/>
                <w:szCs w:val="19"/>
                <w:rtl w:val="0"/>
              </w:rPr>
              <w:t xml:space="preserve">Impact on current shareholders</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5D">
            <w:pPr>
              <w:spacing w:after="340" w:before="220" w:lineRule="auto"/>
              <w:rPr>
                <w:color w:val="1f2933"/>
                <w:sz w:val="19"/>
                <w:szCs w:val="19"/>
              </w:rPr>
            </w:pPr>
            <w:r w:rsidDel="00000000" w:rsidR="00000000" w:rsidRPr="00000000">
              <w:rPr>
                <w:color w:val="1f2933"/>
                <w:sz w:val="19"/>
                <w:szCs w:val="19"/>
                <w:rtl w:val="0"/>
              </w:rPr>
              <w:t xml:space="preserve">No impact</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5E">
            <w:pPr>
              <w:spacing w:after="340" w:before="220" w:lineRule="auto"/>
              <w:rPr>
                <w:color w:val="1f2933"/>
                <w:sz w:val="19"/>
                <w:szCs w:val="19"/>
              </w:rPr>
            </w:pPr>
            <w:r w:rsidDel="00000000" w:rsidR="00000000" w:rsidRPr="00000000">
              <w:rPr>
                <w:color w:val="1f2933"/>
                <w:sz w:val="19"/>
                <w:szCs w:val="19"/>
                <w:rtl w:val="0"/>
              </w:rPr>
              <w:t xml:space="preserve">No impact</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5F">
            <w:pPr>
              <w:spacing w:after="340" w:before="220" w:lineRule="auto"/>
              <w:rPr>
                <w:color w:val="1f2933"/>
                <w:sz w:val="19"/>
                <w:szCs w:val="19"/>
              </w:rPr>
            </w:pPr>
            <w:r w:rsidDel="00000000" w:rsidR="00000000" w:rsidRPr="00000000">
              <w:rPr>
                <w:color w:val="1f2933"/>
                <w:sz w:val="19"/>
                <w:szCs w:val="19"/>
                <w:rtl w:val="0"/>
              </w:rPr>
              <w:t xml:space="preserve">Can be adjusted upon US incorporation</w:t>
            </w:r>
          </w:p>
        </w:tc>
      </w:tr>
      <w:tr>
        <w:trPr>
          <w:cantSplit w:val="0"/>
          <w:trHeight w:val="420" w:hRule="atLeast"/>
          <w:tblHeader w:val="0"/>
        </w:trPr>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60">
            <w:pPr>
              <w:spacing w:after="340" w:before="220" w:lineRule="auto"/>
              <w:rPr>
                <w:color w:val="1f2933"/>
                <w:sz w:val="19"/>
                <w:szCs w:val="19"/>
              </w:rPr>
            </w:pPr>
            <w:r w:rsidDel="00000000" w:rsidR="00000000" w:rsidRPr="00000000">
              <w:rPr>
                <w:b w:val="1"/>
                <w:bCs w:val="1"/>
                <w:color w:val="1f2933"/>
                <w:sz w:val="19"/>
                <w:szCs w:val="19"/>
                <w:rtl w:val="0"/>
              </w:rPr>
              <w:t xml:space="preserve">Fund repatriation method</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61">
            <w:pPr>
              <w:spacing w:after="340" w:before="220" w:lineRule="auto"/>
              <w:rPr>
                <w:color w:val="1f2933"/>
                <w:sz w:val="19"/>
                <w:szCs w:val="19"/>
              </w:rPr>
            </w:pPr>
            <w:r w:rsidDel="00000000" w:rsidR="00000000" w:rsidRPr="00000000">
              <w:rPr>
                <w:color w:val="1f2933"/>
                <w:sz w:val="19"/>
                <w:szCs w:val="19"/>
                <w:rtl w:val="0"/>
              </w:rPr>
              <w:t xml:space="preserve">Not applicable</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62">
            <w:pPr>
              <w:spacing w:after="340" w:before="220" w:lineRule="auto"/>
              <w:rPr>
                <w:color w:val="1f2933"/>
                <w:sz w:val="19"/>
                <w:szCs w:val="19"/>
              </w:rPr>
            </w:pPr>
            <w:r w:rsidDel="00000000" w:rsidR="00000000" w:rsidRPr="00000000">
              <w:rPr>
                <w:color w:val="1f2933"/>
                <w:sz w:val="19"/>
                <w:szCs w:val="19"/>
                <w:rtl w:val="0"/>
              </w:rPr>
              <w:t xml:space="preserve">Dividends and intercorporate fees</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63">
            <w:pPr>
              <w:spacing w:after="340" w:before="220" w:lineRule="auto"/>
              <w:rPr>
                <w:color w:val="1f2933"/>
                <w:sz w:val="19"/>
                <w:szCs w:val="19"/>
              </w:rPr>
            </w:pPr>
            <w:r w:rsidDel="00000000" w:rsidR="00000000" w:rsidRPr="00000000">
              <w:rPr>
                <w:color w:val="1f2933"/>
                <w:sz w:val="19"/>
                <w:szCs w:val="19"/>
                <w:rtl w:val="0"/>
              </w:rPr>
              <w:t xml:space="preserve">Intercorporate fees only</w:t>
            </w:r>
          </w:p>
        </w:tc>
      </w:tr>
      <w:tr>
        <w:trPr>
          <w:cantSplit w:val="0"/>
          <w:trHeight w:val="420" w:hRule="atLeast"/>
          <w:tblHeader w:val="0"/>
        </w:trPr>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64">
            <w:pPr>
              <w:spacing w:after="340" w:before="220" w:lineRule="auto"/>
              <w:rPr>
                <w:color w:val="1f2933"/>
                <w:sz w:val="19"/>
                <w:szCs w:val="19"/>
              </w:rPr>
            </w:pPr>
            <w:r w:rsidDel="00000000" w:rsidR="00000000" w:rsidRPr="00000000">
              <w:rPr>
                <w:b w:val="1"/>
                <w:bCs w:val="1"/>
                <w:color w:val="1f2933"/>
                <w:sz w:val="19"/>
                <w:szCs w:val="19"/>
                <w:rtl w:val="0"/>
              </w:rPr>
              <w:t xml:space="preserve">Brand retention</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65">
            <w:pPr>
              <w:spacing w:after="340" w:before="220" w:lineRule="auto"/>
              <w:rPr>
                <w:color w:val="1f2933"/>
                <w:sz w:val="19"/>
                <w:szCs w:val="19"/>
              </w:rPr>
            </w:pPr>
            <w:r w:rsidDel="00000000" w:rsidR="00000000" w:rsidRPr="00000000">
              <w:rPr>
                <w:color w:val="1f2933"/>
                <w:sz w:val="19"/>
                <w:szCs w:val="19"/>
                <w:rtl w:val="0"/>
              </w:rPr>
              <w:t xml:space="preserve">Shared with the branch</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66">
            <w:pPr>
              <w:spacing w:after="340" w:before="220" w:lineRule="auto"/>
              <w:rPr>
                <w:color w:val="1f2933"/>
                <w:sz w:val="19"/>
                <w:szCs w:val="19"/>
              </w:rPr>
            </w:pPr>
            <w:r w:rsidDel="00000000" w:rsidR="00000000" w:rsidRPr="00000000">
              <w:rPr>
                <w:color w:val="1f2933"/>
                <w:sz w:val="19"/>
                <w:szCs w:val="19"/>
                <w:rtl w:val="0"/>
              </w:rPr>
              <w:t xml:space="preserve">Owned separately in the US</w:t>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67">
            <w:pPr>
              <w:spacing w:after="340" w:before="220" w:lineRule="auto"/>
              <w:rPr>
                <w:color w:val="1f2933"/>
                <w:sz w:val="19"/>
                <w:szCs w:val="19"/>
              </w:rPr>
            </w:pPr>
            <w:r w:rsidDel="00000000" w:rsidR="00000000" w:rsidRPr="00000000">
              <w:rPr>
                <w:color w:val="1f2933"/>
                <w:sz w:val="19"/>
                <w:szCs w:val="19"/>
                <w:rtl w:val="0"/>
              </w:rPr>
              <w:t xml:space="preserve">Owned separately in the US</w:t>
            </w:r>
          </w:p>
        </w:tc>
      </w:tr>
      <w:tr>
        <w:trPr>
          <w:cantSplit w:val="0"/>
          <w:trHeight w:val="420" w:hRule="atLeast"/>
          <w:tblHeader w:val="0"/>
        </w:trPr>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68">
            <w:pPr>
              <w:spacing w:after="340" w:before="220" w:lineRule="auto"/>
              <w:rPr>
                <w:color w:val="1f2933"/>
                <w:sz w:val="19"/>
                <w:szCs w:val="19"/>
              </w:rPr>
            </w:pPr>
            <w:r w:rsidDel="00000000" w:rsidR="00000000" w:rsidRPr="00000000">
              <w:rPr>
                <w:b w:val="1"/>
                <w:bCs w:val="1"/>
                <w:color w:val="1f2933"/>
                <w:sz w:val="19"/>
                <w:szCs w:val="19"/>
                <w:rtl w:val="0"/>
              </w:rPr>
              <w:t xml:space="preserve">Difficulty of implementation</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69">
            <w:pPr>
              <w:spacing w:after="340" w:before="220" w:lineRule="auto"/>
              <w:rPr>
                <w:color w:val="1f2933"/>
                <w:sz w:val="19"/>
                <w:szCs w:val="19"/>
              </w:rPr>
            </w:pPr>
            <w:r w:rsidDel="00000000" w:rsidR="00000000" w:rsidRPr="00000000">
              <w:rPr>
                <w:b w:val="1"/>
                <w:bCs w:val="1"/>
                <w:color w:val="1f2933"/>
                <w:sz w:val="19"/>
                <w:szCs w:val="19"/>
                <w:rtl w:val="0"/>
              </w:rPr>
              <w:t xml:space="preserve">Least</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6A">
            <w:pPr>
              <w:spacing w:after="340" w:before="220" w:lineRule="auto"/>
              <w:rPr>
                <w:color w:val="1f2933"/>
                <w:sz w:val="19"/>
                <w:szCs w:val="19"/>
              </w:rPr>
            </w:pPr>
            <w:r w:rsidDel="00000000" w:rsidR="00000000" w:rsidRPr="00000000">
              <w:rPr>
                <w:b w:val="1"/>
                <w:bCs w:val="1"/>
                <w:color w:val="1f2933"/>
                <w:sz w:val="19"/>
                <w:szCs w:val="19"/>
                <w:rtl w:val="0"/>
              </w:rPr>
              <w:t xml:space="preserve">Most</w:t>
            </w:r>
            <w:r w:rsidDel="00000000" w:rsidR="00000000" w:rsidRPr="00000000">
              <w:rPr>
                <w:rtl w:val="0"/>
              </w:rPr>
            </w:r>
          </w:p>
        </w:tc>
        <w:tc>
          <w:tcPr>
            <w:tcBorders>
              <w:top w:color="e3e6e8" w:space="0" w:sz="8" w:val="single"/>
              <w:left w:color="e3e6e8" w:space="0" w:sz="8" w:val="single"/>
              <w:bottom w:color="e3e6e8" w:space="0" w:sz="8" w:val="single"/>
              <w:right w:color="e3e6e8" w:space="0" w:sz="8" w:val="single"/>
            </w:tcBorders>
            <w:tcMar>
              <w:top w:w="100.0" w:type="dxa"/>
              <w:left w:w="120.0" w:type="dxa"/>
              <w:bottom w:w="100.0" w:type="dxa"/>
              <w:right w:w="120.0" w:type="dxa"/>
            </w:tcMar>
            <w:vAlign w:val="top"/>
          </w:tcPr>
          <w:p w:rsidR="00000000" w:rsidDel="00000000" w:rsidP="00000000" w:rsidRDefault="00000000" w:rsidRPr="00000000" w14:paraId="0000006B">
            <w:pPr>
              <w:spacing w:after="340" w:before="220" w:lineRule="auto"/>
              <w:rPr>
                <w:color w:val="1f2933"/>
                <w:sz w:val="19"/>
                <w:szCs w:val="19"/>
              </w:rPr>
            </w:pPr>
            <w:r w:rsidDel="00000000" w:rsidR="00000000" w:rsidRPr="00000000">
              <w:rPr>
                <w:b w:val="1"/>
                <w:bCs w:val="1"/>
                <w:color w:val="1f2933"/>
                <w:sz w:val="19"/>
                <w:szCs w:val="19"/>
                <w:rtl w:val="0"/>
              </w:rPr>
              <w:t xml:space="preserve">Somewhat</w:t>
            </w:r>
            <w:r w:rsidDel="00000000" w:rsidR="00000000" w:rsidRPr="00000000">
              <w:rPr>
                <w:rtl w:val="0"/>
              </w:rPr>
            </w:r>
          </w:p>
        </w:tc>
      </w:tr>
    </w:tbl>
    <w:p w:rsidR="00000000" w:rsidDel="00000000" w:rsidP="00000000" w:rsidRDefault="00000000" w:rsidRPr="00000000" w14:paraId="0000006C">
      <w:pPr>
        <w:pStyle w:val="Heading2"/>
        <w:keepNext w:val="0"/>
        <w:keepLines w:val="0"/>
        <w:pBdr>
          <w:top w:color="e3e6e8" w:space="10" w:sz="8" w:val="single"/>
        </w:pBdr>
        <w:spacing w:before="520" w:lineRule="auto"/>
        <w:rPr>
          <w:b w:val="1"/>
          <w:bCs w:val="1"/>
          <w:color w:val="29abe2"/>
        </w:rPr>
      </w:pPr>
      <w:bookmarkStart w:colFirst="0" w:colLast="0" w:name="_n1sxsblhj9sp" w:id="18"/>
      <w:bookmarkEnd w:id="18"/>
      <w:r w:rsidDel="00000000" w:rsidR="00000000" w:rsidRPr="00000000">
        <w:rPr>
          <w:b w:val="1"/>
          <w:bCs w:val="1"/>
          <w:color w:val="29abe2"/>
          <w:rtl w:val="0"/>
        </w:rPr>
        <w:t xml:space="preserve">6. What the analysis showed</w:t>
      </w:r>
    </w:p>
    <w:p w:rsidR="00000000" w:rsidDel="00000000" w:rsidP="00000000" w:rsidRDefault="00000000" w:rsidRPr="00000000" w14:paraId="0000006D">
      <w:pPr>
        <w:spacing w:after="220" w:before="220" w:lineRule="auto"/>
        <w:rPr>
          <w:color w:val="1f2933"/>
        </w:rPr>
      </w:pPr>
      <w:r w:rsidDel="00000000" w:rsidR="00000000" w:rsidRPr="00000000">
        <w:rPr>
          <w:b w:val="1"/>
          <w:bCs w:val="1"/>
          <w:color w:val="1f2933"/>
          <w:rtl w:val="0"/>
        </w:rPr>
        <w:t xml:space="preserve">No structure wins on every dimension, and the rankings actively conflict.</w:t>
      </w:r>
      <w:r w:rsidDel="00000000" w:rsidR="00000000" w:rsidRPr="00000000">
        <w:rPr>
          <w:color w:val="1f2933"/>
          <w:rtl w:val="0"/>
        </w:rPr>
        <w:t xml:space="preserve"> The branch carries the least tax and is easiest to implement, but offers no liability separation and puts US assets directly onto the Canadian balance sheet. The subsidiary carries the greatest tax burden and is hardest to implement, and is also the only structure that separates liability while keeping a dividend route open. The sister corporation sits in the middle on tax and on difficulty, and closes the dividend route entirely. Anyone hoping the analysis would produce a single obvious answer was going to be disappointed, and saying so was part of the deliverable.</w:t>
      </w:r>
    </w:p>
    <w:p w:rsidR="00000000" w:rsidDel="00000000" w:rsidP="00000000" w:rsidRDefault="00000000" w:rsidRPr="00000000" w14:paraId="0000006E">
      <w:pPr>
        <w:spacing w:after="220" w:before="220" w:lineRule="auto"/>
        <w:rPr>
          <w:color w:val="1f2933"/>
        </w:rPr>
      </w:pPr>
      <w:r w:rsidDel="00000000" w:rsidR="00000000" w:rsidRPr="00000000">
        <w:rPr>
          <w:b w:val="1"/>
          <w:bCs w:val="1"/>
          <w:color w:val="1f2933"/>
          <w:rtl w:val="0"/>
        </w:rPr>
        <w:t xml:space="preserve">The deciding question was not tax. It was which direction the money needs to flow.</w:t>
      </w:r>
      <w:r w:rsidDel="00000000" w:rsidR="00000000" w:rsidRPr="00000000">
        <w:rPr>
          <w:color w:val="1f2933"/>
          <w:rtl w:val="0"/>
        </w:rPr>
        <w:t xml:space="preserve"> This company performs its research and development in Canada and intended to earn its profit in the United States. That makes repatriation the load-bearing constraint. If the Canadian entity depends on US profits to fund Canadian research, the sister corporation is the wrong structure regardless of how well it scores elsewhere, because it has no dividend path back to Canada and every dollar returning north has to travel as an intercorporate fee that must be defensible to two tax authorities. Once the comparison was framed that way, the field narrowed from three to two without a single figure being calculated.</w:t>
      </w:r>
    </w:p>
    <w:p w:rsidR="00000000" w:rsidDel="00000000" w:rsidP="00000000" w:rsidRDefault="00000000" w:rsidRPr="00000000" w14:paraId="0000006F">
      <w:pPr>
        <w:spacing w:after="220" w:before="220" w:lineRule="auto"/>
        <w:rPr>
          <w:color w:val="1f2933"/>
        </w:rPr>
      </w:pPr>
      <w:r w:rsidDel="00000000" w:rsidR="00000000" w:rsidRPr="00000000">
        <w:rPr>
          <w:b w:val="1"/>
          <w:bCs w:val="1"/>
          <w:color w:val="1f2933"/>
          <w:rtl w:val="0"/>
        </w:rPr>
        <w:t xml:space="preserve">Two of the three structures put the lifetime capital gains exemption at risk for individual Canadian shareholders.</w:t>
      </w:r>
      <w:r w:rsidDel="00000000" w:rsidR="00000000" w:rsidRPr="00000000">
        <w:rPr>
          <w:color w:val="1f2933"/>
          <w:rtl w:val="0"/>
        </w:rPr>
        <w:t xml:space="preserve"> Both the branch and the subsidiary place US-connected assets inside the Canadian corporation, and access to the exemption depends on the corporation’s assets being used principally in an active business carried on primarily in Canada. This is a consequence that arrives years later, at sale, long after the structure has become expensive to unwind, and it affects only the individual shareholders, not the institutional or corporate ones. Raising it at the structuring stage is the entire value of raising it at all.</w:t>
      </w:r>
    </w:p>
    <w:p w:rsidR="00000000" w:rsidDel="00000000" w:rsidP="00000000" w:rsidRDefault="00000000" w:rsidRPr="00000000" w14:paraId="00000070">
      <w:pPr>
        <w:spacing w:after="220" w:before="220" w:lineRule="auto"/>
        <w:rPr>
          <w:color w:val="1f2933"/>
        </w:rPr>
      </w:pPr>
      <w:r w:rsidDel="00000000" w:rsidR="00000000" w:rsidRPr="00000000">
        <w:rPr>
          <w:b w:val="1"/>
          <w:bCs w:val="1"/>
          <w:color w:val="1f2933"/>
          <w:rtl w:val="0"/>
        </w:rPr>
        <w:t xml:space="preserve">Both corporate structures create a transfer pricing obligation on day one.</w:t>
      </w:r>
      <w:r w:rsidDel="00000000" w:rsidR="00000000" w:rsidRPr="00000000">
        <w:rPr>
          <w:color w:val="1f2933"/>
          <w:rtl w:val="0"/>
        </w:rPr>
        <w:t xml:space="preserve"> The moment trademarks and intellectual property are registered separately in the United States, the Canadian company is licensing something to a related party across a border, and that licence has to be priced at arm’s length and documented. This is a permanent, recurring compliance cost that does not exist under the branch structure, and it is the kind of obligation that is cheap to establish at the outset and expensive to reconstruct under audit three years later.</w:t>
      </w:r>
    </w:p>
    <w:p w:rsidR="00000000" w:rsidDel="00000000" w:rsidP="00000000" w:rsidRDefault="00000000" w:rsidRPr="00000000" w14:paraId="00000071">
      <w:pPr>
        <w:spacing w:after="220" w:before="220" w:lineRule="auto"/>
        <w:rPr>
          <w:color w:val="1f2933"/>
        </w:rPr>
      </w:pPr>
      <w:r w:rsidDel="00000000" w:rsidR="00000000" w:rsidRPr="00000000">
        <w:rPr>
          <w:b w:val="1"/>
          <w:bCs w:val="1"/>
          <w:color w:val="1f2933"/>
          <w:rtl w:val="0"/>
        </w:rPr>
        <w:t xml:space="preserve">The sister structure’s one distinct advantage is a cap table reset.</w:t>
      </w:r>
      <w:r w:rsidDel="00000000" w:rsidR="00000000" w:rsidRPr="00000000">
        <w:rPr>
          <w:color w:val="1f2933"/>
          <w:rtl w:val="0"/>
        </w:rPr>
        <w:t xml:space="preserve"> It is the only option of the three that allows the ownership split of the US business to differ from the Canadian one. For a company with an institutional shareholder and a corporate shareholder alongside its founders, that flexibility can be worth more than the tax ranking. It also has to be a decision rather than an accident.</w:t>
      </w:r>
    </w:p>
    <w:p w:rsidR="00000000" w:rsidDel="00000000" w:rsidP="00000000" w:rsidRDefault="00000000" w:rsidRPr="00000000" w14:paraId="00000072">
      <w:pPr>
        <w:pStyle w:val="Heading2"/>
        <w:keepNext w:val="0"/>
        <w:keepLines w:val="0"/>
        <w:pBdr>
          <w:top w:color="e3e6e8" w:space="10" w:sz="8" w:val="single"/>
        </w:pBdr>
        <w:spacing w:before="520" w:lineRule="auto"/>
        <w:rPr>
          <w:b w:val="1"/>
          <w:bCs w:val="1"/>
          <w:color w:val="29abe2"/>
        </w:rPr>
      </w:pPr>
      <w:bookmarkStart w:colFirst="0" w:colLast="0" w:name="_n622r97r1oky" w:id="19"/>
      <w:bookmarkEnd w:id="19"/>
      <w:r w:rsidDel="00000000" w:rsidR="00000000" w:rsidRPr="00000000">
        <w:rPr>
          <w:b w:val="1"/>
          <w:bCs w:val="1"/>
          <w:color w:val="29abe2"/>
          <w:rtl w:val="0"/>
        </w:rPr>
        <w:t xml:space="preserve">7. What Zenbooks deliberately did not do</w:t>
      </w:r>
    </w:p>
    <w:p w:rsidR="00000000" w:rsidDel="00000000" w:rsidP="00000000" w:rsidRDefault="00000000" w:rsidRPr="00000000" w14:paraId="00000073">
      <w:pPr>
        <w:spacing w:after="220" w:before="220" w:lineRule="auto"/>
        <w:rPr>
          <w:color w:val="1f2933"/>
        </w:rPr>
      </w:pPr>
      <w:r w:rsidDel="00000000" w:rsidR="00000000" w:rsidRPr="00000000">
        <w:rPr>
          <w:color w:val="1f2933"/>
          <w:rtl w:val="0"/>
        </w:rPr>
        <w:t xml:space="preserve">Scope decisions are part of the work, and each of these was made for a reason.</w:t>
      </w:r>
    </w:p>
    <w:p w:rsidR="00000000" w:rsidDel="00000000" w:rsidP="00000000" w:rsidRDefault="00000000" w:rsidRPr="00000000" w14:paraId="00000074">
      <w:pPr>
        <w:numPr>
          <w:ilvl w:val="0"/>
          <w:numId w:val="4"/>
        </w:numPr>
        <w:spacing w:after="0" w:afterAutospacing="0" w:before="220" w:lineRule="auto"/>
        <w:ind w:left="720" w:hanging="360"/>
      </w:pPr>
      <w:r w:rsidDel="00000000" w:rsidR="00000000" w:rsidRPr="00000000">
        <w:rPr>
          <w:b w:val="1"/>
          <w:bCs w:val="1"/>
          <w:color w:val="1f2933"/>
          <w:rtl w:val="0"/>
        </w:rPr>
        <w:t xml:space="preserve">No single recommendation was made.</w:t>
      </w:r>
      <w:r w:rsidDel="00000000" w:rsidR="00000000" w:rsidRPr="00000000">
        <w:rPr>
          <w:color w:val="1f2933"/>
          <w:rtl w:val="0"/>
        </w:rPr>
        <w:t xml:space="preserve"> Three structures were presented against a common frame with the trade-offs stated. The right answer depends on facts only the shareholders hold: their exit horizon, whether US profit is needed to fund Canadian research, and their tolerance for compliance in a second jurisdiction. Choosing for them would have concealed the fact that the decision was theirs.</w:t>
      </w:r>
    </w:p>
    <w:p w:rsidR="00000000" w:rsidDel="00000000" w:rsidP="00000000" w:rsidRDefault="00000000" w:rsidRPr="00000000" w14:paraId="00000075">
      <w:pPr>
        <w:numPr>
          <w:ilvl w:val="0"/>
          <w:numId w:val="4"/>
        </w:numPr>
        <w:spacing w:after="0" w:afterAutospacing="0" w:before="0" w:beforeAutospacing="0" w:lineRule="auto"/>
        <w:ind w:left="720" w:hanging="360"/>
      </w:pPr>
      <w:r w:rsidDel="00000000" w:rsidR="00000000" w:rsidRPr="00000000">
        <w:rPr>
          <w:b w:val="1"/>
          <w:bCs w:val="1"/>
          <w:color w:val="1f2933"/>
          <w:rtl w:val="0"/>
        </w:rPr>
        <w:t xml:space="preserve">Tax outcomes were ranked, not quantified.</w:t>
      </w:r>
      <w:r w:rsidDel="00000000" w:rsidR="00000000" w:rsidRPr="00000000">
        <w:rPr>
          <w:color w:val="1f2933"/>
          <w:rtl w:val="0"/>
        </w:rPr>
        <w:t xml:space="preserve"> A dollar comparison would have required a state of incorporation, a revenue split between the two countries, and a transfer pricing policy, none of which existed yet. Producing numbers from assumed inputs would have given the client something precise to anchor on and nothing reliable to decide with.</w:t>
      </w:r>
    </w:p>
    <w:p w:rsidR="00000000" w:rsidDel="00000000" w:rsidP="00000000" w:rsidRDefault="00000000" w:rsidRPr="00000000" w14:paraId="00000076">
      <w:pPr>
        <w:numPr>
          <w:ilvl w:val="0"/>
          <w:numId w:val="4"/>
        </w:numPr>
        <w:spacing w:after="0" w:afterAutospacing="0" w:before="0" w:beforeAutospacing="0" w:lineRule="auto"/>
        <w:ind w:left="720" w:hanging="360"/>
      </w:pPr>
      <w:r w:rsidDel="00000000" w:rsidR="00000000" w:rsidRPr="00000000">
        <w:rPr>
          <w:b w:val="1"/>
          <w:bCs w:val="1"/>
          <w:color w:val="1f2933"/>
          <w:rtl w:val="0"/>
        </w:rPr>
        <w:t xml:space="preserve">No United States tax advice was given.</w:t>
      </w:r>
      <w:r w:rsidDel="00000000" w:rsidR="00000000" w:rsidRPr="00000000">
        <w:rPr>
          <w:color w:val="1f2933"/>
          <w:rtl w:val="0"/>
        </w:rPr>
        <w:t xml:space="preserve"> The analysis compares structures from a Canadian perspective. US federal and state filing positions, nexus determinations and state selection require a practitioner licensed in the United States, and that was stated rather than absorbed.</w:t>
      </w:r>
    </w:p>
    <w:p w:rsidR="00000000" w:rsidDel="00000000" w:rsidP="00000000" w:rsidRDefault="00000000" w:rsidRPr="00000000" w14:paraId="00000077">
      <w:pPr>
        <w:numPr>
          <w:ilvl w:val="0"/>
          <w:numId w:val="4"/>
        </w:numPr>
        <w:spacing w:after="0" w:afterAutospacing="0" w:before="0" w:beforeAutospacing="0" w:lineRule="auto"/>
        <w:ind w:left="720" w:hanging="360"/>
      </w:pPr>
      <w:r w:rsidDel="00000000" w:rsidR="00000000" w:rsidRPr="00000000">
        <w:rPr>
          <w:b w:val="1"/>
          <w:bCs w:val="1"/>
          <w:color w:val="1f2933"/>
          <w:rtl w:val="0"/>
        </w:rPr>
        <w:t xml:space="preserve">No legal work was performed.</w:t>
      </w:r>
      <w:r w:rsidDel="00000000" w:rsidR="00000000" w:rsidRPr="00000000">
        <w:rPr>
          <w:color w:val="1f2933"/>
          <w:rtl w:val="0"/>
        </w:rPr>
        <w:t xml:space="preserve"> Entity formation, intellectual property assignment, licensing agreements and shareholder agreements are legal instruments. The structuring analysis tells counsel what to draft; it does not draft it.</w:t>
      </w:r>
    </w:p>
    <w:p w:rsidR="00000000" w:rsidDel="00000000" w:rsidP="00000000" w:rsidRDefault="00000000" w:rsidRPr="00000000" w14:paraId="00000078">
      <w:pPr>
        <w:numPr>
          <w:ilvl w:val="0"/>
          <w:numId w:val="4"/>
        </w:numPr>
        <w:spacing w:after="340" w:before="0" w:beforeAutospacing="0" w:lineRule="auto"/>
        <w:ind w:left="720" w:hanging="360"/>
      </w:pPr>
      <w:r w:rsidDel="00000000" w:rsidR="00000000" w:rsidRPr="00000000">
        <w:rPr>
          <w:b w:val="1"/>
          <w:bCs w:val="1"/>
          <w:color w:val="1f2933"/>
          <w:rtl w:val="0"/>
        </w:rPr>
        <w:t xml:space="preserve">No transfer pricing study was prepared.</w:t>
      </w:r>
      <w:r w:rsidDel="00000000" w:rsidR="00000000" w:rsidRPr="00000000">
        <w:rPr>
          <w:color w:val="1f2933"/>
          <w:rtl w:val="0"/>
        </w:rPr>
        <w:t xml:space="preserve"> The requirement was identified for both corporate structures and flagged as a standing obligation. Performing the study is a separate engagement that cannot sensibly begin before a structure is chosen.</w:t>
      </w:r>
    </w:p>
    <w:p w:rsidR="00000000" w:rsidDel="00000000" w:rsidP="00000000" w:rsidRDefault="00000000" w:rsidRPr="00000000" w14:paraId="00000079">
      <w:pPr>
        <w:pStyle w:val="Heading2"/>
        <w:keepNext w:val="0"/>
        <w:keepLines w:val="0"/>
        <w:pBdr>
          <w:top w:color="e3e6e8" w:space="10" w:sz="8" w:val="single"/>
        </w:pBdr>
        <w:spacing w:before="520" w:lineRule="auto"/>
        <w:rPr>
          <w:b w:val="1"/>
          <w:bCs w:val="1"/>
          <w:color w:val="29abe2"/>
        </w:rPr>
      </w:pPr>
      <w:bookmarkStart w:colFirst="0" w:colLast="0" w:name="_xag4p0do6s2v" w:id="20"/>
      <w:bookmarkEnd w:id="20"/>
      <w:r w:rsidDel="00000000" w:rsidR="00000000" w:rsidRPr="00000000">
        <w:rPr>
          <w:b w:val="1"/>
          <w:bCs w:val="1"/>
          <w:color w:val="29abe2"/>
          <w:rtl w:val="0"/>
        </w:rPr>
        <w:t xml:space="preserve">8. Why the work was complex</w:t>
      </w:r>
    </w:p>
    <w:p w:rsidR="00000000" w:rsidDel="00000000" w:rsidP="00000000" w:rsidRDefault="00000000" w:rsidRPr="00000000" w14:paraId="0000007A">
      <w:pPr>
        <w:spacing w:after="220" w:before="220" w:lineRule="auto"/>
        <w:rPr>
          <w:color w:val="1f2933"/>
        </w:rPr>
      </w:pPr>
      <w:r w:rsidDel="00000000" w:rsidR="00000000" w:rsidRPr="00000000">
        <w:rPr>
          <w:color w:val="1f2933"/>
          <w:rtl w:val="0"/>
        </w:rPr>
        <w:t xml:space="preserve">The engagement involved two tax jurisdictions and the interaction between them under the Canada-United States tax convention; branch profits tax on the US earnings of a Canadian corporation and the reduced treaty rate applying to it; permanent establishment and state-level nexus considerations; the qualified small business corporation share tests that govern access to the lifetime capital gains exemption, including the requirement that the corporation’s assets be used principally in an active business carried on primarily in Canada both at the time of disposition and throughout the preceding twenty-four months; foreign affiliate and surplus account treatment governing whether dividends from a US corporation reach a Canadian parent free of further Canadian tax; United States withholding on dividends paid to a Canadian corporate shareholder and the reduced treaty rate available to it; transfer pricing obligations arising in both jurisdictions on the sublicensing of trademarks and intellectual property between related parties, and the contemporaneous documentation those obligations require; separate United States registration and ownership of trademarks and intellectual property under two of the three structures; the separation of research and development activity in Canada from manufacturing and sales activity in the United States and the effect of that separation on the value of the Canadian company to a future purchaser; a five-party capital structure combining individual, institutional and corporate shareholders whose interests diverge under different structures; differences in legal liability exposure between a branch and a separately incorporated entity; tariff and political risk attaching to United States operations; and the recurring compliance burden each structure imposes from its first year of operation.</w:t>
      </w:r>
    </w:p>
    <w:p w:rsidR="00000000" w:rsidDel="00000000" w:rsidP="00000000" w:rsidRDefault="00000000" w:rsidRPr="00000000" w14:paraId="0000007B">
      <w:pPr>
        <w:pStyle w:val="Heading2"/>
        <w:keepNext w:val="0"/>
        <w:keepLines w:val="0"/>
        <w:pBdr>
          <w:top w:color="e3e6e8" w:space="10" w:sz="8" w:val="single"/>
        </w:pBdr>
        <w:spacing w:before="520" w:lineRule="auto"/>
        <w:rPr>
          <w:b w:val="1"/>
          <w:bCs w:val="1"/>
          <w:color w:val="29abe2"/>
        </w:rPr>
      </w:pPr>
      <w:bookmarkStart w:colFirst="0" w:colLast="0" w:name="_tfhhgvj81a4h" w:id="21"/>
      <w:bookmarkEnd w:id="21"/>
      <w:r w:rsidDel="00000000" w:rsidR="00000000" w:rsidRPr="00000000">
        <w:rPr>
          <w:b w:val="1"/>
          <w:bCs w:val="1"/>
          <w:color w:val="29abe2"/>
          <w:rtl w:val="0"/>
        </w:rPr>
        <w:t xml:space="preserve">9. Links, services and supporting sample</w:t>
      </w:r>
    </w:p>
    <w:p w:rsidR="00000000" w:rsidDel="00000000" w:rsidP="00000000" w:rsidRDefault="00000000" w:rsidRPr="00000000" w14:paraId="0000007C">
      <w:pPr>
        <w:pStyle w:val="Heading3"/>
        <w:keepNext w:val="0"/>
        <w:keepLines w:val="0"/>
        <w:spacing w:before="340" w:lineRule="auto"/>
        <w:rPr>
          <w:b w:val="1"/>
          <w:bCs w:val="1"/>
          <w:color w:val="6d7278"/>
          <w:sz w:val="20"/>
          <w:szCs w:val="20"/>
        </w:rPr>
      </w:pPr>
      <w:bookmarkStart w:colFirst="0" w:colLast="0" w:name="_ibxhzj26tj7k" w:id="22"/>
      <w:bookmarkEnd w:id="22"/>
      <w:r w:rsidDel="00000000" w:rsidR="00000000" w:rsidRPr="00000000">
        <w:rPr>
          <w:b w:val="1"/>
          <w:bCs w:val="1"/>
          <w:color w:val="6d7278"/>
          <w:sz w:val="20"/>
          <w:szCs w:val="20"/>
          <w:rtl w:val="0"/>
        </w:rPr>
        <w:t xml:space="preserve">Relevant services</w:t>
      </w:r>
    </w:p>
    <w:p w:rsidR="00000000" w:rsidDel="00000000" w:rsidP="00000000" w:rsidRDefault="00000000" w:rsidRPr="00000000" w14:paraId="0000007D">
      <w:pPr>
        <w:numPr>
          <w:ilvl w:val="0"/>
          <w:numId w:val="1"/>
        </w:numPr>
        <w:spacing w:after="0" w:afterAutospacing="0" w:before="220" w:lineRule="auto"/>
        <w:ind w:left="720" w:hanging="360"/>
      </w:pPr>
      <w:hyperlink r:id="rId8">
        <w:r w:rsidDel="00000000" w:rsidR="00000000" w:rsidRPr="00000000">
          <w:rPr>
            <w:color w:val="29abe2"/>
            <w:u w:val="single"/>
            <w:rtl w:val="0"/>
          </w:rPr>
          <w:t xml:space="preserve">Corporate tax planning and cross-border tax advisory</w:t>
        </w:r>
      </w:hyperlink>
      <w:r w:rsidDel="00000000" w:rsidR="00000000" w:rsidRPr="00000000">
        <w:rPr>
          <w:rtl w:val="0"/>
        </w:rPr>
      </w:r>
    </w:p>
    <w:p w:rsidR="00000000" w:rsidDel="00000000" w:rsidP="00000000" w:rsidRDefault="00000000" w:rsidRPr="00000000" w14:paraId="0000007E">
      <w:pPr>
        <w:numPr>
          <w:ilvl w:val="0"/>
          <w:numId w:val="1"/>
        </w:numPr>
        <w:spacing w:after="0" w:afterAutospacing="0" w:before="0" w:beforeAutospacing="0" w:lineRule="auto"/>
        <w:ind w:left="720" w:hanging="360"/>
      </w:pPr>
      <w:hyperlink r:id="rId9">
        <w:r w:rsidDel="00000000" w:rsidR="00000000" w:rsidRPr="00000000">
          <w:rPr>
            <w:color w:val="29abe2"/>
            <w:u w:val="single"/>
            <w:rtl w:val="0"/>
          </w:rPr>
          <w:t xml:space="preserve">Advisory and fractional CFO services</w:t>
        </w:r>
      </w:hyperlink>
      <w:r w:rsidDel="00000000" w:rsidR="00000000" w:rsidRPr="00000000">
        <w:rPr>
          <w:rtl w:val="0"/>
        </w:rPr>
      </w:r>
    </w:p>
    <w:p w:rsidR="00000000" w:rsidDel="00000000" w:rsidP="00000000" w:rsidRDefault="00000000" w:rsidRPr="00000000" w14:paraId="0000007F">
      <w:pPr>
        <w:numPr>
          <w:ilvl w:val="0"/>
          <w:numId w:val="1"/>
        </w:numPr>
        <w:spacing w:after="0" w:afterAutospacing="0" w:before="0" w:beforeAutospacing="0" w:lineRule="auto"/>
        <w:ind w:left="720" w:hanging="360"/>
      </w:pPr>
      <w:hyperlink r:id="rId10">
        <w:r w:rsidDel="00000000" w:rsidR="00000000" w:rsidRPr="00000000">
          <w:rPr>
            <w:color w:val="29abe2"/>
            <w:u w:val="single"/>
            <w:rtl w:val="0"/>
          </w:rPr>
          <w:t xml:space="preserve">Accounting for Canadian manufacturers and technology companies</w:t>
        </w:r>
      </w:hyperlink>
      <w:r w:rsidDel="00000000" w:rsidR="00000000" w:rsidRPr="00000000">
        <w:rPr>
          <w:rtl w:val="0"/>
        </w:rPr>
      </w:r>
    </w:p>
    <w:p w:rsidR="00000000" w:rsidDel="00000000" w:rsidP="00000000" w:rsidRDefault="00000000" w:rsidRPr="00000000" w14:paraId="00000080">
      <w:pPr>
        <w:numPr>
          <w:ilvl w:val="0"/>
          <w:numId w:val="1"/>
        </w:numPr>
        <w:spacing w:after="300" w:before="0" w:beforeAutospacing="0" w:lineRule="auto"/>
        <w:ind w:left="720" w:hanging="360"/>
        <w:rPr/>
      </w:pPr>
      <w:hyperlink r:id="rId11">
        <w:r w:rsidDel="00000000" w:rsidR="00000000" w:rsidRPr="00000000">
          <w:rPr>
            <w:color w:val="1155cc"/>
            <w:u w:val="single"/>
            <w:rtl w:val="0"/>
          </w:rPr>
          <w:t xml:space="preserve">Corporate reorganization and holding company structures</w:t>
        </w:r>
      </w:hyperlink>
      <w:r w:rsidDel="00000000" w:rsidR="00000000" w:rsidRPr="00000000">
        <w:rPr>
          <w:rtl w:val="0"/>
        </w:rPr>
      </w:r>
    </w:p>
    <w:p w:rsidR="00000000" w:rsidDel="00000000" w:rsidP="00000000" w:rsidRDefault="00000000" w:rsidRPr="00000000" w14:paraId="00000081">
      <w:pPr>
        <w:pStyle w:val="Heading3"/>
        <w:keepNext w:val="0"/>
        <w:keepLines w:val="0"/>
        <w:spacing w:before="340" w:lineRule="auto"/>
        <w:rPr>
          <w:b w:val="1"/>
          <w:bCs w:val="1"/>
          <w:color w:val="6d7278"/>
          <w:sz w:val="20"/>
          <w:szCs w:val="20"/>
        </w:rPr>
      </w:pPr>
      <w:bookmarkStart w:colFirst="0" w:colLast="0" w:name="_2wmvn2h0k3hk" w:id="23"/>
      <w:bookmarkEnd w:id="23"/>
      <w:r w:rsidDel="00000000" w:rsidR="00000000" w:rsidRPr="00000000">
        <w:rPr>
          <w:b w:val="1"/>
          <w:bCs w:val="1"/>
          <w:color w:val="6d7278"/>
          <w:sz w:val="20"/>
          <w:szCs w:val="20"/>
          <w:rtl w:val="0"/>
        </w:rPr>
        <w:t xml:space="preserve">Related case studies</w:t>
      </w:r>
    </w:p>
    <w:p w:rsidR="00000000" w:rsidDel="00000000" w:rsidP="00000000" w:rsidRDefault="00000000" w:rsidRPr="00000000" w14:paraId="00000082">
      <w:pPr>
        <w:numPr>
          <w:ilvl w:val="0"/>
          <w:numId w:val="2"/>
        </w:numPr>
        <w:spacing w:after="0" w:afterAutospacing="0" w:before="220" w:lineRule="auto"/>
        <w:ind w:left="720" w:hanging="360"/>
      </w:pPr>
      <w:hyperlink r:id="rId12">
        <w:r w:rsidDel="00000000" w:rsidR="00000000" w:rsidRPr="00000000">
          <w:rPr>
            <w:color w:val="29abe2"/>
            <w:u w:val="single"/>
            <w:rtl w:val="0"/>
          </w:rPr>
          <w:t xml:space="preserve">Not-for-profit board reporting and variance analysis</w:t>
        </w:r>
      </w:hyperlink>
      <w:r w:rsidDel="00000000" w:rsidR="00000000" w:rsidRPr="00000000">
        <w:rPr>
          <w:rtl w:val="0"/>
        </w:rPr>
      </w:r>
    </w:p>
    <w:p w:rsidR="00000000" w:rsidDel="00000000" w:rsidP="00000000" w:rsidRDefault="00000000" w:rsidRPr="00000000" w14:paraId="00000083">
      <w:pPr>
        <w:numPr>
          <w:ilvl w:val="0"/>
          <w:numId w:val="2"/>
        </w:numPr>
        <w:spacing w:after="0" w:afterAutospacing="0" w:before="0" w:beforeAutospacing="0" w:lineRule="auto"/>
        <w:ind w:left="720" w:hanging="360"/>
      </w:pPr>
      <w:hyperlink r:id="rId13">
        <w:r w:rsidDel="00000000" w:rsidR="00000000" w:rsidRPr="00000000">
          <w:rPr>
            <w:color w:val="1155cc"/>
            <w:u w:val="single"/>
            <w:shd w:fill="fff3cd" w:val="clear"/>
            <w:rtl w:val="0"/>
          </w:rPr>
          <w:t xml:space="preserve">Cross Border service Creative Agency</w:t>
        </w:r>
      </w:hyperlink>
      <w:r w:rsidDel="00000000" w:rsidR="00000000" w:rsidRPr="00000000">
        <w:rPr>
          <w:rtl w:val="0"/>
        </w:rPr>
      </w:r>
    </w:p>
    <w:p w:rsidR="00000000" w:rsidDel="00000000" w:rsidP="00000000" w:rsidRDefault="00000000" w:rsidRPr="00000000" w14:paraId="00000084">
      <w:pPr>
        <w:numPr>
          <w:ilvl w:val="0"/>
          <w:numId w:val="2"/>
        </w:numPr>
        <w:spacing w:after="300" w:before="0" w:beforeAutospacing="0" w:lineRule="auto"/>
        <w:ind w:left="720" w:hanging="360"/>
      </w:pPr>
      <w:hyperlink r:id="rId14">
        <w:r w:rsidDel="00000000" w:rsidR="00000000" w:rsidRPr="00000000">
          <w:rPr>
            <w:color w:val="1155cc"/>
            <w:u w:val="single"/>
            <w:shd w:fill="fff3cd" w:val="clear"/>
            <w:rtl w:val="0"/>
          </w:rPr>
          <w:t xml:space="preserve">Cross Border e-commerce</w:t>
        </w:r>
      </w:hyperlink>
      <w:r w:rsidDel="00000000" w:rsidR="00000000" w:rsidRPr="00000000">
        <w:rPr>
          <w:rtl w:val="0"/>
        </w:rPr>
      </w:r>
    </w:p>
    <w:p w:rsidR="00000000" w:rsidDel="00000000" w:rsidP="00000000" w:rsidRDefault="00000000" w:rsidRPr="00000000" w14:paraId="00000085">
      <w:pPr>
        <w:spacing w:after="300" w:before="220" w:lineRule="auto"/>
        <w:ind w:left="0" w:firstLine="0"/>
        <w:rPr>
          <w:b w:val="1"/>
          <w:bCs w:val="1"/>
          <w:color w:val="6d7278"/>
          <w:sz w:val="20"/>
          <w:szCs w:val="20"/>
        </w:rPr>
      </w:pPr>
      <w:r w:rsidDel="00000000" w:rsidR="00000000" w:rsidRPr="00000000">
        <w:rPr>
          <w:b w:val="1"/>
          <w:bCs w:val="1"/>
          <w:color w:val="6d7278"/>
          <w:sz w:val="20"/>
          <w:szCs w:val="20"/>
          <w:rtl w:val="0"/>
        </w:rPr>
        <w:t xml:space="preserve">Supporting work sample</w:t>
      </w:r>
    </w:p>
    <w:p w:rsidR="00000000" w:rsidDel="00000000" w:rsidP="00000000" w:rsidRDefault="00000000" w:rsidRPr="00000000" w14:paraId="00000086">
      <w:pPr>
        <w:spacing w:after="220" w:before="220" w:lineRule="auto"/>
        <w:rPr>
          <w:color w:val="1f2933"/>
        </w:rPr>
      </w:pPr>
      <w:r w:rsidDel="00000000" w:rsidR="00000000" w:rsidRPr="00000000">
        <w:rPr>
          <w:color w:val="1f2933"/>
          <w:rtl w:val="0"/>
        </w:rPr>
        <w:t xml:space="preserve">The full tax planning document is available below, anonymized. The name of the client, the names of individuals, and the exact shareholding percentages have been replaced with generic equivalents. The structural analysis, commentary and conclusions are otherwise unchanged. The sample is provided so that the structure and level of detail described above can be verified. It is not advice and it is not a template for use without professional consultation.</w:t>
      </w:r>
    </w:p>
    <w:p w:rsidR="00000000" w:rsidDel="00000000" w:rsidP="00000000" w:rsidRDefault="00000000" w:rsidRPr="00000000" w14:paraId="00000087">
      <w:pPr>
        <w:pBdr>
          <w:top w:color="29abe2" w:space="10" w:sz="8" w:val="single"/>
          <w:left w:color="29abe2" w:space="13" w:sz="8" w:val="single"/>
          <w:bottom w:color="29abe2" w:space="10" w:sz="8" w:val="single"/>
          <w:right w:color="29abe2" w:space="13" w:sz="8" w:val="single"/>
          <w:between w:color="29abe2" w:space="10" w:sz="8" w:val="single"/>
        </w:pBdr>
        <w:spacing w:after="280" w:before="280" w:lineRule="auto"/>
        <w:rPr>
          <w:color w:val="1f2933"/>
          <w:sz w:val="20"/>
          <w:szCs w:val="20"/>
          <w:shd w:fill="fff3cd" w:val="clear"/>
        </w:rPr>
      </w:pPr>
      <w:r w:rsidDel="00000000" w:rsidR="00000000" w:rsidRPr="00000000">
        <w:rPr>
          <w:b w:val="1"/>
          <w:bCs w:val="1"/>
          <w:color w:val="29abe2"/>
          <w:rtl w:val="0"/>
        </w:rPr>
        <w:t xml:space="preserve">Download: Canada-US expansion tax plan (anonymized sample)</w:t>
        <w:br w:type="textWrapping"/>
      </w:r>
      <w:r w:rsidDel="00000000" w:rsidR="00000000" w:rsidRPr="00000000">
        <w:rPr>
          <w:color w:val="6d7278"/>
          <w:sz w:val="20"/>
          <w:szCs w:val="20"/>
          <w:rtl w:val="0"/>
        </w:rPr>
        <w:t xml:space="preserve">Sixteen slides comparing a US branch, a US subsidiary corporation and a US sister corporation.</w:t>
        <w:br w:type="textWrapping"/>
        <w:br w:type="textWrapping"/>
      </w:r>
      <w:r w:rsidDel="00000000" w:rsidR="00000000" w:rsidRPr="00000000">
        <w:rPr>
          <w:rFonts w:ascii="Arial Unicode MS" w:cs="Arial Unicode MS" w:eastAsia="Arial Unicode MS" w:hAnsi="Arial Unicode MS"/>
          <w:color w:val="1f2933"/>
          <w:sz w:val="20"/>
          <w:szCs w:val="20"/>
          <w:rtl w:val="0"/>
        </w:rPr>
        <w:t xml:space="preserve">Includes:</w:t>
        <w:br w:type="textWrapping"/>
        <w:t xml:space="preserve">✓ Summary comparison matrix across six dimensions</w:t>
        <w:br w:type="textWrapping"/>
        <w:t xml:space="preserve">✓ Current corporate structure diagrams, detailed and simplified</w:t>
        <w:br w:type="textWrapping"/>
        <w:t xml:space="preserve">✓ Proposed structure diagram for each alternative</w:t>
        <w:br w:type="textWrapping"/>
        <w:t xml:space="preserve">✓ Commentary panel on each proposed structure</w:t>
        <w:br w:type="textWrapping"/>
        <w:t xml:space="preserve">✓ Definition, pros and cons for each structure</w:t>
        <w:br w:type="textWrapping"/>
        <w:t xml:space="preserve">✓ Implementation difficulty ranking</w:t>
        <w:br w:type="textWrapping"/>
        <w:br w:type="textWrapping"/>
      </w:r>
      <w:commentRangeStart w:id="1"/>
      <w:r w:rsidDel="00000000" w:rsidR="00000000" w:rsidRPr="00000000">
        <w:rPr>
          <w:b w:val="1"/>
          <w:bCs w:val="1"/>
          <w:color w:val="29abe2"/>
          <w:rtl w:val="0"/>
        </w:rPr>
        <w:t xml:space="preserve">Download: Canada-US expansion tax plan (anonymized sample)</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88">
      <w:pPr>
        <w:pBdr>
          <w:top w:color="e3e6e8" w:space="10" w:sz="8" w:val="single"/>
        </w:pBdr>
        <w:spacing w:after="200" w:before="460" w:lineRule="auto"/>
        <w:rPr>
          <w:color w:val="6d7278"/>
          <w:sz w:val="20"/>
          <w:szCs w:val="20"/>
        </w:rPr>
      </w:pPr>
      <w:r w:rsidDel="00000000" w:rsidR="00000000" w:rsidRPr="00000000">
        <w:rPr>
          <w:color w:val="6d7278"/>
          <w:sz w:val="20"/>
          <w:szCs w:val="20"/>
          <w:rtl w:val="0"/>
        </w:rPr>
        <w:t xml:space="preserve">Prepared by Zenbooks Tax Services Professional Corporation, a professional corporation registered with CPA Ontario. The work described is Canadian corporate tax planning and structuring analysis. It is not United States tax advice, legal advice, or an assurance engagement, and no assurance is expressed. Tax legislation and treaty provisions change, and the analysis described reflects the rules in effect at the time of the engagement. Client details have been altered to protect confidentiality. This page describes one engagement and is not a representation that comparable results are available in other circumstances. Anyone considering a cross-border expansion should obtain advice specific to their own facts, including advice from a practitioner licensed in the United States.</w:t>
      </w:r>
    </w:p>
    <w:p w:rsidR="00000000" w:rsidDel="00000000" w:rsidP="00000000" w:rsidRDefault="00000000" w:rsidRPr="00000000" w14:paraId="00000089">
      <w:pPr>
        <w:pStyle w:val="Heading2"/>
        <w:keepNext w:val="0"/>
        <w:keepLines w:val="0"/>
        <w:pBdr>
          <w:top w:color="6d7278" w:space="10" w:sz="16" w:val="single"/>
        </w:pBdr>
        <w:spacing w:before="660" w:lineRule="auto"/>
        <w:rPr>
          <w:b w:val="1"/>
          <w:bCs w:val="1"/>
          <w:color w:val="6d7278"/>
        </w:rPr>
      </w:pPr>
      <w:bookmarkStart w:colFirst="0" w:colLast="0" w:name="_z41b0bbs87u6" w:id="24"/>
      <w:bookmarkEnd w:id="24"/>
      <w:r w:rsidDel="00000000" w:rsidR="00000000" w:rsidRPr="00000000">
        <w:rPr>
          <w:b w:val="1"/>
          <w:bCs w:val="1"/>
          <w:color w:val="6d7278"/>
          <w:rtl w:val="0"/>
        </w:rPr>
        <w:t xml:space="preserve">10. Developer handoff (not page content)</w:t>
      </w:r>
    </w:p>
    <w:p w:rsidR="00000000" w:rsidDel="00000000" w:rsidP="00000000" w:rsidRDefault="00000000" w:rsidRPr="00000000" w14:paraId="0000008A">
      <w:pPr>
        <w:spacing w:after="200" w:before="200" w:lineRule="auto"/>
        <w:rPr>
          <w:color w:val="1f2933"/>
          <w:sz w:val="20"/>
          <w:szCs w:val="20"/>
        </w:rPr>
      </w:pPr>
      <w:r w:rsidDel="00000000" w:rsidR="00000000" w:rsidRPr="00000000">
        <w:rPr>
          <w:b w:val="1"/>
          <w:bCs w:val="1"/>
          <w:color w:val="1f2933"/>
          <w:sz w:val="20"/>
          <w:szCs w:val="20"/>
          <w:rtl w:val="0"/>
        </w:rPr>
        <w:t xml:space="preserve">Suggested URL:</w:t>
      </w:r>
      <w:r w:rsidDel="00000000" w:rsidR="00000000" w:rsidRPr="00000000">
        <w:rPr>
          <w:color w:val="1f2933"/>
          <w:sz w:val="20"/>
          <w:szCs w:val="20"/>
          <w:rtl w:val="0"/>
        </w:rPr>
        <w:t xml:space="preserve"> /resources/case-studies/canada-us-expansion-branch-subsidiary-sister-corporation/</w:t>
      </w:r>
    </w:p>
    <w:p w:rsidR="00000000" w:rsidDel="00000000" w:rsidP="00000000" w:rsidRDefault="00000000" w:rsidRPr="00000000" w14:paraId="0000008B">
      <w:pPr>
        <w:spacing w:after="200" w:before="200" w:lineRule="auto"/>
        <w:rPr>
          <w:color w:val="1f2933"/>
          <w:sz w:val="20"/>
          <w:szCs w:val="20"/>
        </w:rPr>
      </w:pPr>
      <w:r w:rsidDel="00000000" w:rsidR="00000000" w:rsidRPr="00000000">
        <w:rPr>
          <w:b w:val="1"/>
          <w:bCs w:val="1"/>
          <w:color w:val="1f2933"/>
          <w:sz w:val="20"/>
          <w:szCs w:val="20"/>
          <w:rtl w:val="0"/>
        </w:rPr>
        <w:t xml:space="preserve">Title tag:</w:t>
      </w:r>
      <w:r w:rsidDel="00000000" w:rsidR="00000000" w:rsidRPr="00000000">
        <w:rPr>
          <w:color w:val="1f2933"/>
          <w:sz w:val="20"/>
          <w:szCs w:val="20"/>
          <w:rtl w:val="0"/>
        </w:rPr>
        <w:t xml:space="preserve"> Sample Canada-US Expansion Tax Plan: Branch vs Subsidiary vs Sister Corporation (PDF Download)</w:t>
      </w:r>
    </w:p>
    <w:p w:rsidR="00000000" w:rsidDel="00000000" w:rsidP="00000000" w:rsidRDefault="00000000" w:rsidRPr="00000000" w14:paraId="0000008C">
      <w:pPr>
        <w:spacing w:after="200" w:before="200" w:lineRule="auto"/>
        <w:rPr>
          <w:color w:val="1f2933"/>
          <w:sz w:val="20"/>
          <w:szCs w:val="20"/>
        </w:rPr>
      </w:pPr>
      <w:r w:rsidDel="00000000" w:rsidR="00000000" w:rsidRPr="00000000">
        <w:rPr>
          <w:b w:val="1"/>
          <w:bCs w:val="1"/>
          <w:color w:val="1f2933"/>
          <w:sz w:val="20"/>
          <w:szCs w:val="20"/>
          <w:rtl w:val="0"/>
        </w:rPr>
        <w:t xml:space="preserve">Meta description:</w:t>
      </w:r>
      <w:r w:rsidDel="00000000" w:rsidR="00000000" w:rsidRPr="00000000">
        <w:rPr>
          <w:color w:val="1f2933"/>
          <w:sz w:val="20"/>
          <w:szCs w:val="20"/>
          <w:rtl w:val="0"/>
        </w:rPr>
        <w:t xml:space="preserve"> How Zenbooks compared a US branch, a US subsidiary and a US sister corporation for a Canadian manufacturer expanding into the United States: branch tax, profit repatriation, transfer pricing, IP ownership and the lifetime capital gains exemption.</w:t>
      </w:r>
    </w:p>
    <w:p w:rsidR="00000000" w:rsidDel="00000000" w:rsidP="00000000" w:rsidRDefault="00000000" w:rsidRPr="00000000" w14:paraId="0000008D">
      <w:pPr>
        <w:spacing w:after="200" w:before="200" w:lineRule="auto"/>
        <w:rPr>
          <w:color w:val="1f2933"/>
          <w:sz w:val="20"/>
          <w:szCs w:val="20"/>
        </w:rPr>
      </w:pPr>
      <w:r w:rsidDel="00000000" w:rsidR="00000000" w:rsidRPr="00000000">
        <w:rPr>
          <w:b w:val="1"/>
          <w:bCs w:val="1"/>
          <w:color w:val="1f2933"/>
          <w:sz w:val="20"/>
          <w:szCs w:val="20"/>
          <w:rtl w:val="0"/>
        </w:rPr>
        <w:t xml:space="preserve">Build requirements:</w:t>
      </w:r>
      <w:r w:rsidDel="00000000" w:rsidR="00000000" w:rsidRPr="00000000">
        <w:rPr>
          <w:color w:val="1f2933"/>
          <w:sz w:val="20"/>
          <w:szCs w:val="20"/>
          <w:rtl w:val="0"/>
        </w:rPr>
        <w:t xml:space="preserve"> all body text server-rendered in the page source. Real h1, h2 and h3 elements. Download after the text, never instead of it. Not gated behind a form. Same anchor-linked “What We Did” section navigation as the first case study.</w:t>
      </w:r>
    </w:p>
    <w:p w:rsidR="00000000" w:rsidDel="00000000" w:rsidP="00000000" w:rsidRDefault="00000000" w:rsidRPr="00000000" w14:paraId="0000008E">
      <w:pPr>
        <w:spacing w:after="60" w:before="200" w:lineRule="auto"/>
        <w:rPr>
          <w:b w:val="1"/>
          <w:bCs w:val="1"/>
          <w:color w:val="1f2933"/>
          <w:sz w:val="20"/>
          <w:szCs w:val="20"/>
        </w:rPr>
      </w:pPr>
      <w:r w:rsidDel="00000000" w:rsidR="00000000" w:rsidRPr="00000000">
        <w:rPr>
          <w:b w:val="1"/>
          <w:bCs w:val="1"/>
          <w:color w:val="1f2933"/>
          <w:sz w:val="20"/>
          <w:szCs w:val="20"/>
          <w:rtl w:val="0"/>
        </w:rPr>
        <w:t xml:space="preserve">JSON-LD to place in the page head:</w:t>
      </w:r>
    </w:p>
    <w:p w:rsidR="00000000" w:rsidDel="00000000" w:rsidP="00000000" w:rsidRDefault="00000000" w:rsidRPr="00000000" w14:paraId="0000008F">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&lt;script type="application/ld+json"&gt;</w:t>
      </w:r>
    </w:p>
    <w:p w:rsidR="00000000" w:rsidDel="00000000" w:rsidP="00000000" w:rsidRDefault="00000000" w:rsidRPr="00000000" w14:paraId="00000090">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w:t>
      </w:r>
    </w:p>
    <w:p w:rsidR="00000000" w:rsidDel="00000000" w:rsidP="00000000" w:rsidRDefault="00000000" w:rsidRPr="00000000" w14:paraId="00000091">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"@context": "https://schema.org",</w:t>
      </w:r>
    </w:p>
    <w:p w:rsidR="00000000" w:rsidDel="00000000" w:rsidP="00000000" w:rsidRDefault="00000000" w:rsidRPr="00000000" w14:paraId="00000092">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"@type": "Article",</w:t>
      </w:r>
    </w:p>
    <w:p w:rsidR="00000000" w:rsidDel="00000000" w:rsidP="00000000" w:rsidRDefault="00000000" w:rsidRPr="00000000" w14:paraId="00000093">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"headline": "Canada-US Expansion: Comparing a US Branch, a US Subsidiary and a US Sister Corporation",</w:t>
      </w:r>
    </w:p>
    <w:p w:rsidR="00000000" w:rsidDel="00000000" w:rsidP="00000000" w:rsidRDefault="00000000" w:rsidRPr="00000000" w14:paraId="00000094">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"description": "How Zenbooks compared a US branch, a US subsidiary and a US sister corporation for a Canadian manufacturer expanding into the United States: branch tax, profit repatriation, transfer pricing, IP ownership and the lifetime capital gains exemption.",</w:t>
      </w:r>
    </w:p>
    <w:p w:rsidR="00000000" w:rsidDel="00000000" w:rsidP="00000000" w:rsidRDefault="00000000" w:rsidRPr="00000000" w14:paraId="00000095">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"datePublished": "YYYY-MM-DD",</w:t>
      </w:r>
    </w:p>
    <w:p w:rsidR="00000000" w:rsidDel="00000000" w:rsidP="00000000" w:rsidRDefault="00000000" w:rsidRPr="00000000" w14:paraId="00000096">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"dateModified": "YYYY-MM-DD",</w:t>
      </w:r>
    </w:p>
    <w:p w:rsidR="00000000" w:rsidDel="00000000" w:rsidP="00000000" w:rsidRDefault="00000000" w:rsidRPr="00000000" w14:paraId="00000097">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"inLanguage": "en-CA",</w:t>
      </w:r>
    </w:p>
    <w:p w:rsidR="00000000" w:rsidDel="00000000" w:rsidP="00000000" w:rsidRDefault="00000000" w:rsidRPr="00000000" w14:paraId="00000098">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"isAccessibleForFree": true,</w:t>
      </w:r>
    </w:p>
    <w:p w:rsidR="00000000" w:rsidDel="00000000" w:rsidP="00000000" w:rsidRDefault="00000000" w:rsidRPr="00000000" w14:paraId="00000099">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"author": {</w:t>
      </w:r>
    </w:p>
    <w:p w:rsidR="00000000" w:rsidDel="00000000" w:rsidP="00000000" w:rsidRDefault="00000000" w:rsidRPr="00000000" w14:paraId="0000009A">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"@type": "Organization",</w:t>
      </w:r>
    </w:p>
    <w:p w:rsidR="00000000" w:rsidDel="00000000" w:rsidP="00000000" w:rsidRDefault="00000000" w:rsidRPr="00000000" w14:paraId="0000009B">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"name": "Zenbooks Tax Services Professional Corporation",</w:t>
      </w:r>
    </w:p>
    <w:p w:rsidR="00000000" w:rsidDel="00000000" w:rsidP="00000000" w:rsidRDefault="00000000" w:rsidRPr="00000000" w14:paraId="0000009C">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"url": "https://zenbooks.ca/"</w:t>
      </w:r>
    </w:p>
    <w:p w:rsidR="00000000" w:rsidDel="00000000" w:rsidP="00000000" w:rsidRDefault="00000000" w:rsidRPr="00000000" w14:paraId="0000009D">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w:t>
      </w:r>
    </w:p>
    <w:p w:rsidR="00000000" w:rsidDel="00000000" w:rsidP="00000000" w:rsidRDefault="00000000" w:rsidRPr="00000000" w14:paraId="0000009E">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"publisher": {</w:t>
      </w:r>
    </w:p>
    <w:p w:rsidR="00000000" w:rsidDel="00000000" w:rsidP="00000000" w:rsidRDefault="00000000" w:rsidRPr="00000000" w14:paraId="0000009F">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"@type": "Organization",</w:t>
      </w:r>
    </w:p>
    <w:p w:rsidR="00000000" w:rsidDel="00000000" w:rsidP="00000000" w:rsidRDefault="00000000" w:rsidRPr="00000000" w14:paraId="000000A0">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"name": "Zenbooks Tax Services Professional Corporation",</w:t>
      </w:r>
    </w:p>
    <w:p w:rsidR="00000000" w:rsidDel="00000000" w:rsidP="00000000" w:rsidRDefault="00000000" w:rsidRPr="00000000" w14:paraId="000000A1">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"url": "https://zenbooks.ca/",</w:t>
      </w:r>
    </w:p>
    <w:p w:rsidR="00000000" w:rsidDel="00000000" w:rsidP="00000000" w:rsidRDefault="00000000" w:rsidRPr="00000000" w14:paraId="000000A2">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"logo": { "@type": "ImageObject", "url": "https://zenbooks.ca/images/site-logo.svg" }</w:t>
      </w:r>
    </w:p>
    <w:p w:rsidR="00000000" w:rsidDel="00000000" w:rsidP="00000000" w:rsidRDefault="00000000" w:rsidRPr="00000000" w14:paraId="000000A3">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w:t>
      </w:r>
    </w:p>
    <w:p w:rsidR="00000000" w:rsidDel="00000000" w:rsidP="00000000" w:rsidRDefault="00000000" w:rsidRPr="00000000" w14:paraId="000000A4">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"about": [</w:t>
      </w:r>
    </w:p>
    <w:p w:rsidR="00000000" w:rsidDel="00000000" w:rsidP="00000000" w:rsidRDefault="00000000" w:rsidRPr="00000000" w14:paraId="000000A5">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 "@type": "Thing", "name": "Cross-border tax planning" },</w:t>
      </w:r>
    </w:p>
    <w:p w:rsidR="00000000" w:rsidDel="00000000" w:rsidP="00000000" w:rsidRDefault="00000000" w:rsidRPr="00000000" w14:paraId="000000A6">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 "@type": "Thing", "name": "Canada-United States corporate structuring" },</w:t>
      </w:r>
    </w:p>
    <w:p w:rsidR="00000000" w:rsidDel="00000000" w:rsidP="00000000" w:rsidRDefault="00000000" w:rsidRPr="00000000" w14:paraId="000000A7">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 "@type": "Thing", "name": "Corporate tax planning" },</w:t>
      </w:r>
    </w:p>
    <w:p w:rsidR="00000000" w:rsidDel="00000000" w:rsidP="00000000" w:rsidRDefault="00000000" w:rsidRPr="00000000" w14:paraId="000000A8">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 "@type": "Thing", "name": "International expansion" }</w:t>
      </w:r>
    </w:p>
    <w:p w:rsidR="00000000" w:rsidDel="00000000" w:rsidP="00000000" w:rsidRDefault="00000000" w:rsidRPr="00000000" w14:paraId="000000A9">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w:t>
      </w:r>
    </w:p>
    <w:p w:rsidR="00000000" w:rsidDel="00000000" w:rsidP="00000000" w:rsidRDefault="00000000" w:rsidRPr="00000000" w14:paraId="000000AA">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"mentions": [</w:t>
      </w:r>
    </w:p>
    <w:p w:rsidR="00000000" w:rsidDel="00000000" w:rsidP="00000000" w:rsidRDefault="00000000" w:rsidRPr="00000000" w14:paraId="000000AB">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 "@type": "Thing", "name": "US branch profits tax" },</w:t>
      </w:r>
    </w:p>
    <w:p w:rsidR="00000000" w:rsidDel="00000000" w:rsidP="00000000" w:rsidRDefault="00000000" w:rsidRPr="00000000" w14:paraId="000000AC">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 "@type": "Thing", "name": "Canada-United States tax convention" },</w:t>
      </w:r>
    </w:p>
    <w:p w:rsidR="00000000" w:rsidDel="00000000" w:rsidP="00000000" w:rsidRDefault="00000000" w:rsidRPr="00000000" w14:paraId="000000AD">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 "@type": "Thing", "name": "Lifetime capital gains exemption" },</w:t>
      </w:r>
    </w:p>
    <w:p w:rsidR="00000000" w:rsidDel="00000000" w:rsidP="00000000" w:rsidRDefault="00000000" w:rsidRPr="00000000" w14:paraId="000000AE">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 "@type": "Thing", "name": "Qualified small business corporation shares" },</w:t>
      </w:r>
    </w:p>
    <w:p w:rsidR="00000000" w:rsidDel="00000000" w:rsidP="00000000" w:rsidRDefault="00000000" w:rsidRPr="00000000" w14:paraId="000000AF">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 "@type": "Thing", "name": "Transfer pricing" },</w:t>
      </w:r>
    </w:p>
    <w:p w:rsidR="00000000" w:rsidDel="00000000" w:rsidP="00000000" w:rsidRDefault="00000000" w:rsidRPr="00000000" w14:paraId="000000B0">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 "@type": "Thing", "name": "Foreign affiliate surplus" },</w:t>
      </w:r>
    </w:p>
    <w:p w:rsidR="00000000" w:rsidDel="00000000" w:rsidP="00000000" w:rsidRDefault="00000000" w:rsidRPr="00000000" w14:paraId="000000B1">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 "@type": "Thing", "name": "Intercompany sublicensing of intellectual property" },</w:t>
      </w:r>
    </w:p>
    <w:p w:rsidR="00000000" w:rsidDel="00000000" w:rsidP="00000000" w:rsidRDefault="00000000" w:rsidRPr="00000000" w14:paraId="000000B2">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 "@type": "Thing", "name": "Dividend repatriation" },</w:t>
      </w:r>
    </w:p>
    <w:p w:rsidR="00000000" w:rsidDel="00000000" w:rsidP="00000000" w:rsidRDefault="00000000" w:rsidRPr="00000000" w14:paraId="000000B3">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 "@type": "Thing", "name": "Permanent establishment" }</w:t>
      </w:r>
    </w:p>
    <w:p w:rsidR="00000000" w:rsidDel="00000000" w:rsidP="00000000" w:rsidRDefault="00000000" w:rsidRPr="00000000" w14:paraId="000000B4">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w:t>
      </w:r>
    </w:p>
    <w:p w:rsidR="00000000" w:rsidDel="00000000" w:rsidP="00000000" w:rsidRDefault="00000000" w:rsidRPr="00000000" w14:paraId="000000B5">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"spatialCoverage": [</w:t>
      </w:r>
    </w:p>
    <w:p w:rsidR="00000000" w:rsidDel="00000000" w:rsidP="00000000" w:rsidRDefault="00000000" w:rsidRPr="00000000" w14:paraId="000000B6">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 "@type": "Country", "name": "Canada" },</w:t>
      </w:r>
    </w:p>
    <w:p w:rsidR="00000000" w:rsidDel="00000000" w:rsidP="00000000" w:rsidRDefault="00000000" w:rsidRPr="00000000" w14:paraId="000000B7">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 "@type": "Country", "name": "United States" }</w:t>
      </w:r>
    </w:p>
    <w:p w:rsidR="00000000" w:rsidDel="00000000" w:rsidP="00000000" w:rsidRDefault="00000000" w:rsidRPr="00000000" w14:paraId="000000B8">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w:t>
      </w:r>
    </w:p>
    <w:p w:rsidR="00000000" w:rsidDel="00000000" w:rsidP="00000000" w:rsidRDefault="00000000" w:rsidRPr="00000000" w14:paraId="000000B9">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"audience": {</w:t>
      </w:r>
    </w:p>
    <w:p w:rsidR="00000000" w:rsidDel="00000000" w:rsidP="00000000" w:rsidRDefault="00000000" w:rsidRPr="00000000" w14:paraId="000000BA">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"@type": "Audience",</w:t>
      </w:r>
    </w:p>
    <w:p w:rsidR="00000000" w:rsidDel="00000000" w:rsidP="00000000" w:rsidRDefault="00000000" w:rsidRPr="00000000" w14:paraId="000000BB">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"audienceType": "Canadian business owners and CFOs planning United States expansion"</w:t>
      </w:r>
    </w:p>
    <w:p w:rsidR="00000000" w:rsidDel="00000000" w:rsidP="00000000" w:rsidRDefault="00000000" w:rsidRPr="00000000" w14:paraId="000000BC">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w:t>
      </w:r>
    </w:p>
    <w:p w:rsidR="00000000" w:rsidDel="00000000" w:rsidP="00000000" w:rsidRDefault="00000000" w:rsidRPr="00000000" w14:paraId="000000BD">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"citation": {</w:t>
      </w:r>
    </w:p>
    <w:p w:rsidR="00000000" w:rsidDel="00000000" w:rsidP="00000000" w:rsidRDefault="00000000" w:rsidRPr="00000000" w14:paraId="000000BE">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"@type": "CreativeWork",</w:t>
      </w:r>
    </w:p>
    <w:p w:rsidR="00000000" w:rsidDel="00000000" w:rsidP="00000000" w:rsidRDefault="00000000" w:rsidRPr="00000000" w14:paraId="000000BF">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"name": "Canada-US expansion tax plan (anonymized work sample)",</w:t>
      </w:r>
    </w:p>
    <w:p w:rsidR="00000000" w:rsidDel="00000000" w:rsidP="00000000" w:rsidRDefault="00000000" w:rsidRPr="00000000" w14:paraId="000000C0">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"description": "Sixteen-slide structuring analysis comparing a US branch, a US subsidiary corporation and a US sister corporation across tax exposure, shareholder impact, profit repatriation, brand and intellectual property ownership, effect on future sale value, and difficulty of implementation.",</w:t>
      </w:r>
    </w:p>
    <w:p w:rsidR="00000000" w:rsidDel="00000000" w:rsidP="00000000" w:rsidRDefault="00000000" w:rsidRPr="00000000" w14:paraId="000000C1">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"encodingFormat": "application/pdf",</w:t>
      </w:r>
    </w:p>
    <w:p w:rsidR="00000000" w:rsidDel="00000000" w:rsidP="00000000" w:rsidRDefault="00000000" w:rsidRPr="00000000" w14:paraId="000000C2">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"url": "https://zenbooks.ca/SAMPLE-PATH"</w:t>
      </w:r>
    </w:p>
    <w:p w:rsidR="00000000" w:rsidDel="00000000" w:rsidP="00000000" w:rsidRDefault="00000000" w:rsidRPr="00000000" w14:paraId="000000C3">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  }</w:t>
      </w:r>
    </w:p>
    <w:p w:rsidR="00000000" w:rsidDel="00000000" w:rsidP="00000000" w:rsidRDefault="00000000" w:rsidRPr="00000000" w14:paraId="000000C4">
      <w:pPr>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w:t>
      </w:r>
    </w:p>
    <w:p w:rsidR="00000000" w:rsidDel="00000000" w:rsidP="00000000" w:rsidRDefault="00000000" w:rsidRPr="00000000" w14:paraId="000000C5">
      <w:pPr>
        <w:spacing w:line="335.99999999999994" w:lineRule="auto"/>
        <w:rPr>
          <w:rFonts w:ascii="Courier New" w:cs="Courier New" w:eastAsia="Courier New" w:hAnsi="Courier New"/>
          <w:color w:val="1f2933"/>
          <w:sz w:val="17"/>
          <w:szCs w:val="17"/>
          <w:shd w:fill="f7f9fa" w:val="clear"/>
        </w:rPr>
      </w:pPr>
      <w:r w:rsidDel="00000000" w:rsidR="00000000" w:rsidRPr="00000000">
        <w:rPr>
          <w:rFonts w:ascii="Courier New" w:cs="Courier New" w:eastAsia="Courier New" w:hAnsi="Courier New"/>
          <w:color w:val="1f2933"/>
          <w:sz w:val="17"/>
          <w:szCs w:val="17"/>
          <w:shd w:fill="f7f9fa" w:val="clear"/>
          <w:rtl w:val="0"/>
        </w:rPr>
        <w:t xml:space="preserve">&lt;/script&gt;</w:t>
      </w:r>
    </w:p>
    <w:p w:rsidR="00000000" w:rsidDel="00000000" w:rsidP="00000000" w:rsidRDefault="00000000" w:rsidRPr="00000000" w14:paraId="000000C6">
      <w:pPr>
        <w:spacing w:after="320" w:before="200" w:lineRule="auto"/>
        <w:ind w:left="0" w:firstLine="0"/>
        <w:rPr>
          <w:color w:val="1f2933"/>
          <w:sz w:val="20"/>
          <w:szCs w:val="20"/>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Eric Saumure" w:id="1" w:date="2026-07-31T18:17:03Z">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 download link</w:t>
      </w:r>
    </w:p>
  </w:comment>
  <w:comment w:author="Eric Saumure" w:id="0" w:date="2026-07-31T18:16:50Z">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 download link here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color w:val="1f2933"/>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b w:val="0"/>
        <w:bCs w:val="0"/>
        <w:i w:val="0"/>
        <w:iCs w:val="0"/>
        <w:smallCaps w:val="0"/>
        <w:color w:val="1f2933"/>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b w:val="0"/>
        <w:bCs w:val="0"/>
        <w:i w:val="0"/>
        <w:iCs w:val="0"/>
        <w:smallCaps w:val="0"/>
        <w:color w:val="1f2933"/>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b w:val="0"/>
        <w:bCs w:val="0"/>
        <w:i w:val="0"/>
        <w:iCs w:val="0"/>
        <w:smallCaps w:val="0"/>
        <w:color w:val="1f2933"/>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zenbooks.ca/blog/when-to-set-up-a-holding-company-for-your-marketing-agency/" TargetMode="External"/><Relationship Id="rId10" Type="http://schemas.openxmlformats.org/officeDocument/2006/relationships/hyperlink" Target="https://zenbooks.ca/who-we-help/" TargetMode="External"/><Relationship Id="rId13" Type="http://schemas.openxmlformats.org/officeDocument/2006/relationships/hyperlink" Target="https://zenbooks.ca/resources/case-studies/sterling-sky-accounting/" TargetMode="External"/><Relationship Id="rId12" Type="http://schemas.openxmlformats.org/officeDocument/2006/relationships/hyperlink" Target="https://zenbooks.ca/resources/case-studies/not-for-profit-board-reporting-variance-analysis/"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zenbooks.ca/solutions/advisory/" TargetMode="External"/><Relationship Id="rId14" Type="http://schemas.openxmlformats.org/officeDocument/2006/relationships/hyperlink" Target="https://zenbooks.ca/resources/case-studies/meno-ecommerce-growth/"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zenbooks.ca/solutions/taxes/" TargetMode="External"/><Relationship Id="rId8" Type="http://schemas.openxmlformats.org/officeDocument/2006/relationships/hyperlink" Target="https://zenbooks.ca/solutions/tax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