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F0ED2" w:rsidRPr="002F0ED2" w14:paraId="4E19FE38" w14:textId="77777777">
        <w:trPr>
          <w:cantSplit/>
          <w:trHeight w:hRule="exact" w:val="851"/>
        </w:trPr>
        <w:tc>
          <w:tcPr>
            <w:tcW w:w="1276" w:type="dxa"/>
            <w:tcBorders>
              <w:bottom w:val="single" w:sz="4" w:space="0" w:color="auto"/>
            </w:tcBorders>
            <w:vAlign w:val="bottom"/>
          </w:tcPr>
          <w:p w14:paraId="3FFA7D36" w14:textId="77777777" w:rsidR="006A4374" w:rsidRPr="002F0ED2" w:rsidRDefault="006A4374">
            <w:pPr>
              <w:spacing w:after="80"/>
            </w:pPr>
          </w:p>
        </w:tc>
        <w:tc>
          <w:tcPr>
            <w:tcW w:w="2268" w:type="dxa"/>
            <w:tcBorders>
              <w:bottom w:val="single" w:sz="4" w:space="0" w:color="auto"/>
            </w:tcBorders>
            <w:vAlign w:val="bottom"/>
          </w:tcPr>
          <w:p w14:paraId="07A25763" w14:textId="001ABFAF" w:rsidR="006A4374" w:rsidRPr="002F0ED2" w:rsidRDefault="006A4374">
            <w:pPr>
              <w:spacing w:after="80" w:line="300" w:lineRule="exact"/>
              <w:rPr>
                <w:b/>
                <w:sz w:val="24"/>
                <w:szCs w:val="24"/>
              </w:rPr>
            </w:pPr>
          </w:p>
        </w:tc>
        <w:tc>
          <w:tcPr>
            <w:tcW w:w="6095" w:type="dxa"/>
            <w:gridSpan w:val="2"/>
            <w:tcBorders>
              <w:bottom w:val="single" w:sz="4" w:space="0" w:color="auto"/>
            </w:tcBorders>
            <w:vAlign w:val="bottom"/>
          </w:tcPr>
          <w:p w14:paraId="79FF317A" w14:textId="06F0440E" w:rsidR="006A4374" w:rsidRPr="002F0ED2" w:rsidRDefault="004B2B0E" w:rsidP="00BF08CB">
            <w:pPr>
              <w:suppressAutoHyphens w:val="0"/>
              <w:spacing w:after="20"/>
              <w:jc w:val="right"/>
            </w:pPr>
            <w:r w:rsidRPr="002F0ED2">
              <w:rPr>
                <w:sz w:val="40"/>
              </w:rPr>
              <w:t>E</w:t>
            </w:r>
            <w:r w:rsidR="007C7DC2" w:rsidRPr="002F0ED2">
              <w:t>/C.12/</w:t>
            </w:r>
            <w:r w:rsidR="007A2CD2" w:rsidRPr="002F0ED2">
              <w:t>ITA</w:t>
            </w:r>
            <w:r w:rsidRPr="002F0ED2">
              <w:t>/CO/</w:t>
            </w:r>
            <w:r w:rsidR="00BF08CB" w:rsidRPr="002F0ED2">
              <w:t>6</w:t>
            </w:r>
          </w:p>
        </w:tc>
      </w:tr>
      <w:tr w:rsidR="002F0ED2" w:rsidRPr="002F0ED2" w14:paraId="2B5632A6" w14:textId="77777777">
        <w:trPr>
          <w:cantSplit/>
          <w:trHeight w:hRule="exact" w:val="2835"/>
        </w:trPr>
        <w:tc>
          <w:tcPr>
            <w:tcW w:w="1276" w:type="dxa"/>
            <w:tcBorders>
              <w:top w:val="single" w:sz="4" w:space="0" w:color="auto"/>
              <w:bottom w:val="single" w:sz="12" w:space="0" w:color="auto"/>
            </w:tcBorders>
          </w:tcPr>
          <w:p w14:paraId="563A8F92" w14:textId="5C172816" w:rsidR="006A4374" w:rsidRPr="002F0ED2" w:rsidRDefault="006A4374">
            <w:pPr>
              <w:spacing w:before="120"/>
              <w:jc w:val="center"/>
            </w:pPr>
          </w:p>
        </w:tc>
        <w:tc>
          <w:tcPr>
            <w:tcW w:w="5528" w:type="dxa"/>
            <w:gridSpan w:val="2"/>
            <w:tcBorders>
              <w:top w:val="single" w:sz="4" w:space="0" w:color="auto"/>
              <w:bottom w:val="single" w:sz="12" w:space="0" w:color="auto"/>
            </w:tcBorders>
          </w:tcPr>
          <w:p w14:paraId="1FA2BD17" w14:textId="7CA88350" w:rsidR="00872F85" w:rsidRPr="002F0ED2" w:rsidRDefault="008363D2" w:rsidP="000A7FE6">
            <w:pPr>
              <w:spacing w:before="120" w:line="380" w:lineRule="exact"/>
            </w:pPr>
            <w:r w:rsidRPr="008363D2">
              <w:rPr>
                <w:b/>
                <w:sz w:val="40"/>
                <w:szCs w:val="40"/>
              </w:rPr>
              <w:t>Advance Unedited Version</w:t>
            </w:r>
          </w:p>
        </w:tc>
        <w:tc>
          <w:tcPr>
            <w:tcW w:w="2835" w:type="dxa"/>
            <w:tcBorders>
              <w:top w:val="single" w:sz="4" w:space="0" w:color="auto"/>
              <w:bottom w:val="single" w:sz="12" w:space="0" w:color="auto"/>
            </w:tcBorders>
          </w:tcPr>
          <w:p w14:paraId="413CE828" w14:textId="4A6F783F" w:rsidR="006A4374" w:rsidRPr="002F0ED2" w:rsidRDefault="004B2B0E">
            <w:pPr>
              <w:suppressAutoHyphens w:val="0"/>
              <w:spacing w:before="240" w:line="240" w:lineRule="exact"/>
            </w:pPr>
            <w:r w:rsidRPr="002F0ED2">
              <w:t xml:space="preserve">Distr.: </w:t>
            </w:r>
            <w:r w:rsidR="000A7FE6">
              <w:t>General</w:t>
            </w:r>
          </w:p>
          <w:p w14:paraId="58A32756" w14:textId="2F6477E8" w:rsidR="00A62333" w:rsidRPr="002F0ED2" w:rsidRDefault="000A7FE6">
            <w:pPr>
              <w:suppressAutoHyphens w:val="0"/>
            </w:pPr>
            <w:r>
              <w:t>14</w:t>
            </w:r>
            <w:r w:rsidRPr="002F0ED2">
              <w:t xml:space="preserve"> </w:t>
            </w:r>
            <w:r w:rsidR="001C2534" w:rsidRPr="002F0ED2">
              <w:t>October</w:t>
            </w:r>
            <w:r w:rsidR="004B2B0E" w:rsidRPr="002F0ED2">
              <w:t xml:space="preserve"> 2022</w:t>
            </w:r>
          </w:p>
          <w:p w14:paraId="06290229" w14:textId="77777777" w:rsidR="00A62333" w:rsidRPr="002F0ED2" w:rsidRDefault="00A62333">
            <w:pPr>
              <w:suppressAutoHyphens w:val="0"/>
            </w:pPr>
          </w:p>
          <w:p w14:paraId="57AD3850" w14:textId="29F62EC1" w:rsidR="006A4374" w:rsidRPr="002F0ED2" w:rsidRDefault="004B2B0E" w:rsidP="000A7FE6">
            <w:pPr>
              <w:suppressAutoHyphens w:val="0"/>
            </w:pPr>
            <w:r w:rsidRPr="002F0ED2">
              <w:t>Original: English</w:t>
            </w:r>
          </w:p>
        </w:tc>
      </w:tr>
    </w:tbl>
    <w:p w14:paraId="24E1DF20" w14:textId="77777777" w:rsidR="006A4374" w:rsidRPr="002F0ED2" w:rsidRDefault="004B2B0E">
      <w:pPr>
        <w:spacing w:before="120"/>
        <w:rPr>
          <w:b/>
          <w:sz w:val="24"/>
        </w:rPr>
      </w:pPr>
      <w:r w:rsidRPr="002F0ED2">
        <w:rPr>
          <w:b/>
          <w:sz w:val="24"/>
        </w:rPr>
        <w:t>Committee on Economic, Social and Cultural Rights</w:t>
      </w:r>
    </w:p>
    <w:p w14:paraId="6969D486" w14:textId="1CB8A244" w:rsidR="006A4374" w:rsidRPr="002F0ED2" w:rsidRDefault="00781CB9" w:rsidP="00EE27DE">
      <w:pPr>
        <w:pStyle w:val="HMG"/>
      </w:pPr>
      <w:r>
        <w:tab/>
      </w:r>
      <w:r>
        <w:tab/>
      </w:r>
      <w:r w:rsidR="004B2B0E" w:rsidRPr="002F0ED2">
        <w:t xml:space="preserve">Concluding observations on the </w:t>
      </w:r>
      <w:r w:rsidR="007A2CD2" w:rsidRPr="002F0ED2">
        <w:t>sixth</w:t>
      </w:r>
      <w:r w:rsidR="004B2B0E" w:rsidRPr="002F0ED2">
        <w:t xml:space="preserve"> periodic report of </w:t>
      </w:r>
      <w:r w:rsidR="007A2CD2" w:rsidRPr="002F0ED2">
        <w:t>Italy</w:t>
      </w:r>
      <w:r w:rsidR="000A7FE6" w:rsidRPr="00C96719">
        <w:rPr>
          <w:rStyle w:val="FootnoteReference"/>
          <w:b w:val="0"/>
          <w:bCs/>
          <w:sz w:val="20"/>
        </w:rPr>
        <w:footnoteReference w:customMarkFollows="1" w:id="2"/>
        <w:t>*</w:t>
      </w:r>
    </w:p>
    <w:p w14:paraId="7047ED76" w14:textId="3C779506" w:rsidR="00CF2EE2" w:rsidRPr="002F0ED2" w:rsidRDefault="004D61C6" w:rsidP="002F0ED2">
      <w:pPr>
        <w:pStyle w:val="SingleTxtG"/>
        <w:numPr>
          <w:ilvl w:val="0"/>
          <w:numId w:val="7"/>
        </w:numPr>
        <w:tabs>
          <w:tab w:val="clear" w:pos="1701"/>
          <w:tab w:val="clear" w:pos="2268"/>
          <w:tab w:val="clear" w:pos="2835"/>
        </w:tabs>
        <w:ind w:left="1134" w:firstLine="0"/>
        <w:rPr>
          <w:bCs/>
        </w:rPr>
      </w:pPr>
      <w:r w:rsidRPr="002F0ED2">
        <w:t>The Committee considered the sixth periodic report of Italy</w:t>
      </w:r>
      <w:r w:rsidRPr="002F0ED2">
        <w:rPr>
          <w:rStyle w:val="FootnoteReference"/>
        </w:rPr>
        <w:footnoteReference w:id="3"/>
      </w:r>
      <w:r w:rsidRPr="002F0ED2">
        <w:t xml:space="preserve"> at its 38th and 39th meetings, held on 29 and 30 September 2022</w:t>
      </w:r>
      <w:r w:rsidR="00EE3AA2">
        <w:rPr>
          <w:rStyle w:val="FootnoteReference"/>
        </w:rPr>
        <w:footnoteReference w:id="4"/>
      </w:r>
      <w:r w:rsidRPr="002F0ED2">
        <w:t>, and adopted the present concluding observations at its 60th meeting, held on 14 October 2022.</w:t>
      </w:r>
    </w:p>
    <w:p w14:paraId="126DBD22" w14:textId="77777777" w:rsidR="00CF2EE2" w:rsidRPr="002F0ED2" w:rsidRDefault="00CF2EE2" w:rsidP="00CF2EE2">
      <w:pPr>
        <w:pStyle w:val="H1G"/>
        <w:rPr>
          <w:sz w:val="20"/>
        </w:rPr>
      </w:pPr>
      <w:r w:rsidRPr="002F0ED2">
        <w:rPr>
          <w:sz w:val="20"/>
        </w:rPr>
        <w:tab/>
      </w:r>
      <w:r w:rsidRPr="002F0ED2">
        <w:t>A.</w:t>
      </w:r>
      <w:r w:rsidRPr="002F0ED2">
        <w:tab/>
        <w:t>Introduction</w:t>
      </w:r>
    </w:p>
    <w:p w14:paraId="16FD7F2C" w14:textId="64D169C2" w:rsidR="00CF2EE2" w:rsidRPr="002F0ED2" w:rsidRDefault="004D61C6" w:rsidP="002F0ED2">
      <w:pPr>
        <w:pStyle w:val="SingleTxtG"/>
        <w:numPr>
          <w:ilvl w:val="0"/>
          <w:numId w:val="7"/>
        </w:numPr>
        <w:tabs>
          <w:tab w:val="clear" w:pos="1701"/>
          <w:tab w:val="clear" w:pos="2268"/>
          <w:tab w:val="clear" w:pos="2835"/>
        </w:tabs>
        <w:ind w:left="1134" w:firstLine="0"/>
        <w:rPr>
          <w:bCs/>
        </w:rPr>
      </w:pPr>
      <w:r w:rsidRPr="002F0ED2">
        <w:rPr>
          <w:bCs/>
        </w:rPr>
        <w:t>The Committee welcomes the submission by the State party of the sixth periodic report, based on the list of issues prior to reporting drawn up by the Committee</w:t>
      </w:r>
      <w:r w:rsidR="008E66CF">
        <w:rPr>
          <w:bCs/>
        </w:rPr>
        <w:t>.</w:t>
      </w:r>
      <w:r w:rsidRPr="002F0ED2">
        <w:rPr>
          <w:vertAlign w:val="superscript"/>
        </w:rPr>
        <w:footnoteReference w:id="5"/>
      </w:r>
      <w:r w:rsidRPr="002F0ED2">
        <w:rPr>
          <w:bCs/>
        </w:rPr>
        <w:t xml:space="preserve"> </w:t>
      </w:r>
      <w:r w:rsidRPr="002F0ED2">
        <w:rPr>
          <w:iCs/>
        </w:rPr>
        <w:t>The Committee expresses its appreciation to the State party for having accepted the simplified reporting procedure, as it provides an opportunity for focused consideration of the report and dialogue with the delegation. The Committee appreciates the constructive dialogue with the State party’s delegation</w:t>
      </w:r>
      <w:r w:rsidRPr="002F0ED2">
        <w:t>.</w:t>
      </w:r>
    </w:p>
    <w:p w14:paraId="160468D8" w14:textId="77777777" w:rsidR="00CF2EE2" w:rsidRPr="002F0ED2" w:rsidRDefault="00CF2EE2" w:rsidP="00CF2EE2">
      <w:pPr>
        <w:pStyle w:val="H1G"/>
      </w:pPr>
      <w:r w:rsidRPr="002F0ED2">
        <w:tab/>
        <w:t>B.</w:t>
      </w:r>
      <w:r w:rsidRPr="002F0ED2">
        <w:tab/>
        <w:t>Positive aspects</w:t>
      </w:r>
    </w:p>
    <w:p w14:paraId="4236E03D" w14:textId="77D00640" w:rsidR="00CF2EE2" w:rsidRPr="002F0ED2" w:rsidRDefault="004D61C6" w:rsidP="002F0ED2">
      <w:pPr>
        <w:pStyle w:val="SingleTxtG"/>
        <w:numPr>
          <w:ilvl w:val="0"/>
          <w:numId w:val="7"/>
        </w:numPr>
        <w:tabs>
          <w:tab w:val="clear" w:pos="1701"/>
          <w:tab w:val="clear" w:pos="2268"/>
          <w:tab w:val="clear" w:pos="2835"/>
        </w:tabs>
        <w:ind w:left="1134" w:firstLine="0"/>
        <w:rPr>
          <w:bCs/>
        </w:rPr>
      </w:pPr>
      <w:r w:rsidRPr="002F0ED2">
        <w:rPr>
          <w:bCs/>
        </w:rPr>
        <w:t>The Committee welcomes the ratification of the Convention for the Protection of All Persons from Enforced Disappearance in 2015.</w:t>
      </w:r>
    </w:p>
    <w:p w14:paraId="2DFD6475" w14:textId="6C85B010" w:rsidR="00132918" w:rsidRPr="000A7FE6" w:rsidRDefault="004D61C6" w:rsidP="00C5082D">
      <w:pPr>
        <w:pStyle w:val="SingleTxtG"/>
        <w:numPr>
          <w:ilvl w:val="0"/>
          <w:numId w:val="7"/>
        </w:numPr>
        <w:tabs>
          <w:tab w:val="clear" w:pos="1701"/>
          <w:tab w:val="clear" w:pos="2268"/>
          <w:tab w:val="clear" w:pos="2835"/>
        </w:tabs>
        <w:ind w:left="1134" w:firstLine="0"/>
        <w:rPr>
          <w:bCs/>
        </w:rPr>
      </w:pPr>
      <w:r w:rsidRPr="000A7FE6">
        <w:rPr>
          <w:bCs/>
        </w:rPr>
        <w:t xml:space="preserve">The Committee also welcomes the legislative, institutional and policy measures taken to increase </w:t>
      </w:r>
      <w:r w:rsidR="00D83E2E" w:rsidRPr="000A7FE6">
        <w:rPr>
          <w:bCs/>
        </w:rPr>
        <w:t xml:space="preserve">the </w:t>
      </w:r>
      <w:r w:rsidRPr="000A7FE6">
        <w:rPr>
          <w:bCs/>
        </w:rPr>
        <w:t xml:space="preserve">protection of economic, social and cultural rights in the State party, such as the adoption </w:t>
      </w:r>
      <w:r w:rsidR="008D421F" w:rsidRPr="000A7FE6">
        <w:rPr>
          <w:bCs/>
        </w:rPr>
        <w:t xml:space="preserve">of </w:t>
      </w:r>
      <w:r w:rsidR="00D94C4F" w:rsidRPr="000A7FE6">
        <w:rPr>
          <w:bCs/>
        </w:rPr>
        <w:t>Law No. 32 of April</w:t>
      </w:r>
      <w:r w:rsidRPr="000A7FE6">
        <w:rPr>
          <w:bCs/>
        </w:rPr>
        <w:t xml:space="preserve"> 2022 (the Family Act) aiming at improving the quality of life of families with children, and Law No. 26 of March 2019 (the Citizens</w:t>
      </w:r>
      <w:r w:rsidR="005147F8" w:rsidRPr="000A7FE6">
        <w:rPr>
          <w:bCs/>
        </w:rPr>
        <w:t>’</w:t>
      </w:r>
      <w:r w:rsidRPr="000A7FE6">
        <w:rPr>
          <w:bCs/>
        </w:rPr>
        <w:t xml:space="preserve"> Income Law), Italy’s second National Action Plan on Business and Human Rights (2021-2026), and the measures mentioned in the present concluding observations.</w:t>
      </w:r>
    </w:p>
    <w:p w14:paraId="567614B2" w14:textId="23931DC4" w:rsidR="00CF2EE2" w:rsidRPr="002F0ED2" w:rsidRDefault="00CF2EE2" w:rsidP="00CF2EE2">
      <w:pPr>
        <w:pStyle w:val="H1G"/>
        <w:rPr>
          <w:b w:val="0"/>
          <w:bCs/>
          <w:i/>
          <w:iCs/>
          <w:sz w:val="20"/>
        </w:rPr>
      </w:pPr>
      <w:r w:rsidRPr="002F0ED2">
        <w:rPr>
          <w:sz w:val="20"/>
        </w:rPr>
        <w:tab/>
      </w:r>
      <w:r w:rsidRPr="002F0ED2">
        <w:t>C.</w:t>
      </w:r>
      <w:r w:rsidRPr="002F0ED2">
        <w:tab/>
        <w:t>Principal subjects of concern and recommendations</w:t>
      </w:r>
      <w:r w:rsidRPr="002F0ED2">
        <w:rPr>
          <w:sz w:val="20"/>
        </w:rPr>
        <w:t xml:space="preserve"> </w:t>
      </w:r>
    </w:p>
    <w:p w14:paraId="0B04DE5D" w14:textId="77777777" w:rsidR="00CF2EE2" w:rsidRPr="002F0ED2" w:rsidRDefault="00CF2EE2" w:rsidP="00781CB9">
      <w:pPr>
        <w:pStyle w:val="H23G"/>
        <w:ind w:firstLine="0"/>
      </w:pPr>
      <w:r w:rsidRPr="002F0ED2">
        <w:t>Domestic application of the Covenant</w:t>
      </w:r>
      <w:r w:rsidR="0097535B" w:rsidRPr="002F0ED2">
        <w:t xml:space="preserve"> </w:t>
      </w:r>
    </w:p>
    <w:p w14:paraId="54D34643" w14:textId="557E9ADC" w:rsidR="00CF2EE2" w:rsidRPr="002F0ED2" w:rsidRDefault="00ED61C3" w:rsidP="002F0ED2">
      <w:pPr>
        <w:pStyle w:val="SingleTxtG"/>
        <w:numPr>
          <w:ilvl w:val="0"/>
          <w:numId w:val="7"/>
        </w:numPr>
        <w:tabs>
          <w:tab w:val="clear" w:pos="1701"/>
          <w:tab w:val="clear" w:pos="2268"/>
          <w:tab w:val="clear" w:pos="2835"/>
        </w:tabs>
        <w:ind w:left="1134" w:firstLine="0"/>
      </w:pPr>
      <w:r w:rsidRPr="002F0ED2">
        <w:t>T</w:t>
      </w:r>
      <w:r w:rsidRPr="002F0ED2">
        <w:rPr>
          <w:bCs/>
        </w:rPr>
        <w:t>he Committee remain</w:t>
      </w:r>
      <w:r w:rsidR="008E6370">
        <w:rPr>
          <w:bCs/>
        </w:rPr>
        <w:t>s</w:t>
      </w:r>
      <w:r w:rsidRPr="002F0ED2">
        <w:rPr>
          <w:bCs/>
        </w:rPr>
        <w:t xml:space="preserve"> concerned a</w:t>
      </w:r>
      <w:r w:rsidR="00574054">
        <w:rPr>
          <w:bCs/>
        </w:rPr>
        <w:t>bout</w:t>
      </w:r>
      <w:r w:rsidRPr="002F0ED2">
        <w:rPr>
          <w:bCs/>
        </w:rPr>
        <w:t xml:space="preserve"> the absence of court decisions invoking provisions of the Covenant, and the lack of specialized training for judges, prosecutors and lawyers on the justiciability of the provisions of the Covenant. </w:t>
      </w:r>
      <w:r w:rsidR="004E3E39">
        <w:rPr>
          <w:bCs/>
        </w:rPr>
        <w:t>The Committee</w:t>
      </w:r>
      <w:r w:rsidRPr="002F0ED2">
        <w:rPr>
          <w:bCs/>
        </w:rPr>
        <w:t xml:space="preserve"> is also concerned about the lack of awareness of the State party’s obligations under the Covenant among public officials, especially those responsible for </w:t>
      </w:r>
      <w:r w:rsidR="004E3E39">
        <w:rPr>
          <w:bCs/>
        </w:rPr>
        <w:t xml:space="preserve">its </w:t>
      </w:r>
      <w:r w:rsidRPr="002F0ED2">
        <w:rPr>
          <w:bCs/>
        </w:rPr>
        <w:t xml:space="preserve">implementation </w:t>
      </w:r>
      <w:r w:rsidRPr="002F0ED2">
        <w:t>(art. 2 (1))</w:t>
      </w:r>
      <w:r w:rsidRPr="002F0ED2">
        <w:rPr>
          <w:bCs/>
        </w:rPr>
        <w:t>.</w:t>
      </w:r>
    </w:p>
    <w:p w14:paraId="483B662F" w14:textId="4D717188" w:rsidR="00ED61C3" w:rsidRPr="002F0ED2" w:rsidRDefault="00422B61" w:rsidP="002F0ED2">
      <w:pPr>
        <w:pStyle w:val="SingleTxtG"/>
        <w:numPr>
          <w:ilvl w:val="0"/>
          <w:numId w:val="7"/>
        </w:numPr>
        <w:tabs>
          <w:tab w:val="clear" w:pos="1701"/>
          <w:tab w:val="clear" w:pos="2268"/>
          <w:tab w:val="clear" w:pos="2835"/>
        </w:tabs>
        <w:ind w:left="1134" w:firstLine="0"/>
        <w:rPr>
          <w:b/>
        </w:rPr>
      </w:pPr>
      <w:r>
        <w:rPr>
          <w:b/>
        </w:rPr>
        <w:lastRenderedPageBreak/>
        <w:t xml:space="preserve">The Committee recommends that the State party: </w:t>
      </w:r>
    </w:p>
    <w:p w14:paraId="29CBFDDB" w14:textId="7507C196" w:rsidR="00ED61C3" w:rsidRPr="002F0ED2" w:rsidRDefault="00ED61C3" w:rsidP="00ED61C3">
      <w:pPr>
        <w:pStyle w:val="SingleTxtG"/>
        <w:rPr>
          <w:b/>
        </w:rPr>
      </w:pPr>
      <w:r w:rsidRPr="002F0ED2">
        <w:rPr>
          <w:b/>
        </w:rPr>
        <w:tab/>
      </w:r>
      <w:r w:rsidRPr="002F0ED2">
        <w:rPr>
          <w:b/>
          <w:bCs/>
        </w:rPr>
        <w:t>(a)</w:t>
      </w:r>
      <w:r w:rsidRPr="002F0ED2">
        <w:rPr>
          <w:b/>
        </w:rPr>
        <w:tab/>
        <w:t>Regularly provide specialized training on the provisions of the Covenant and their justiciability for judges, prosecutors and lawyers;</w:t>
      </w:r>
    </w:p>
    <w:p w14:paraId="11D679CD" w14:textId="74905EA6" w:rsidR="00ED61C3" w:rsidRDefault="00ED61C3" w:rsidP="00ED61C3">
      <w:pPr>
        <w:pStyle w:val="SingleTxtG"/>
        <w:rPr>
          <w:b/>
        </w:rPr>
      </w:pPr>
      <w:r w:rsidRPr="002F0ED2">
        <w:rPr>
          <w:b/>
        </w:rPr>
        <w:tab/>
      </w:r>
      <w:r w:rsidRPr="002F0ED2">
        <w:rPr>
          <w:b/>
          <w:bCs/>
        </w:rPr>
        <w:t>(b)</w:t>
      </w:r>
      <w:r w:rsidRPr="002F0ED2">
        <w:rPr>
          <w:b/>
        </w:rPr>
        <w:tab/>
        <w:t>Enhance awareness of economic, social and cultural rights among State actors responsible for the implementation of the Covenant</w:t>
      </w:r>
      <w:r w:rsidRPr="002F0ED2">
        <w:rPr>
          <w:rFonts w:eastAsia="Malgun Gothic" w:hint="eastAsia"/>
          <w:b/>
          <w:lang w:eastAsia="ko-KR"/>
        </w:rPr>
        <w:t xml:space="preserve">, such as </w:t>
      </w:r>
      <w:r w:rsidR="00A24ADB" w:rsidRPr="002F0ED2">
        <w:rPr>
          <w:rFonts w:eastAsia="Malgun Gothic"/>
          <w:b/>
          <w:lang w:eastAsia="ko-KR"/>
        </w:rPr>
        <w:t>law enfo</w:t>
      </w:r>
      <w:r w:rsidR="00F1483D" w:rsidRPr="002F0ED2">
        <w:rPr>
          <w:rFonts w:eastAsia="Malgun Gothic"/>
          <w:b/>
          <w:lang w:eastAsia="ko-KR"/>
        </w:rPr>
        <w:t>r</w:t>
      </w:r>
      <w:r w:rsidR="00A24ADB" w:rsidRPr="002F0ED2">
        <w:rPr>
          <w:rFonts w:eastAsia="Malgun Gothic"/>
          <w:b/>
          <w:lang w:eastAsia="ko-KR"/>
        </w:rPr>
        <w:t xml:space="preserve">cement agencies, </w:t>
      </w:r>
      <w:r w:rsidRPr="002F0ED2">
        <w:rPr>
          <w:rFonts w:eastAsia="Malgun Gothic" w:hint="eastAsia"/>
          <w:b/>
          <w:lang w:eastAsia="ko-KR"/>
        </w:rPr>
        <w:t>labo</w:t>
      </w:r>
      <w:r w:rsidRPr="002F0ED2">
        <w:rPr>
          <w:rFonts w:eastAsia="Malgun Gothic"/>
          <w:b/>
          <w:lang w:eastAsia="ko-KR"/>
        </w:rPr>
        <w:t>u</w:t>
      </w:r>
      <w:r w:rsidRPr="002F0ED2">
        <w:rPr>
          <w:rFonts w:eastAsia="Malgun Gothic" w:hint="eastAsia"/>
          <w:b/>
          <w:lang w:eastAsia="ko-KR"/>
        </w:rPr>
        <w:t>r inspectors, social workers, health</w:t>
      </w:r>
      <w:r w:rsidRPr="002F0ED2">
        <w:rPr>
          <w:rFonts w:eastAsia="Malgun Gothic"/>
          <w:b/>
          <w:lang w:eastAsia="ko-KR"/>
        </w:rPr>
        <w:t>-care</w:t>
      </w:r>
      <w:r w:rsidRPr="002F0ED2">
        <w:rPr>
          <w:rFonts w:eastAsia="Malgun Gothic" w:hint="eastAsia"/>
          <w:b/>
          <w:lang w:eastAsia="ko-KR"/>
        </w:rPr>
        <w:t xml:space="preserve"> personnel and teachers</w:t>
      </w:r>
      <w:r w:rsidR="00422B61">
        <w:rPr>
          <w:b/>
        </w:rPr>
        <w:t>;</w:t>
      </w:r>
    </w:p>
    <w:p w14:paraId="5AA44AB3" w14:textId="5F29778A" w:rsidR="00AC58A2" w:rsidRDefault="000C287A" w:rsidP="00ED61C3">
      <w:pPr>
        <w:pStyle w:val="SingleTxtG"/>
        <w:rPr>
          <w:b/>
        </w:rPr>
      </w:pPr>
      <w:r>
        <w:rPr>
          <w:b/>
          <w:bCs/>
        </w:rPr>
        <w:tab/>
      </w:r>
      <w:r w:rsidR="00AC58A2" w:rsidRPr="002F0ED2">
        <w:rPr>
          <w:b/>
          <w:bCs/>
        </w:rPr>
        <w:t>(c)</w:t>
      </w:r>
      <w:r w:rsidR="00AC58A2" w:rsidRPr="002F0ED2">
        <w:rPr>
          <w:b/>
        </w:rPr>
        <w:tab/>
        <w:t>Systematize a human rights impact assessment in the process of formulating legislation and policies in the areas of economic, social and cultural rights;</w:t>
      </w:r>
    </w:p>
    <w:p w14:paraId="48B7348A" w14:textId="4CED1ADB" w:rsidR="00422B61" w:rsidRPr="002F0ED2" w:rsidRDefault="00422B61" w:rsidP="00ED61C3">
      <w:pPr>
        <w:pStyle w:val="SingleTxtG"/>
        <w:rPr>
          <w:b/>
        </w:rPr>
      </w:pPr>
      <w:r>
        <w:rPr>
          <w:b/>
        </w:rPr>
        <w:tab/>
        <w:t>(</w:t>
      </w:r>
      <w:r w:rsidR="000C287A">
        <w:rPr>
          <w:b/>
        </w:rPr>
        <w:t>d</w:t>
      </w:r>
      <w:r>
        <w:rPr>
          <w:b/>
        </w:rPr>
        <w:t>)</w:t>
      </w:r>
      <w:r>
        <w:rPr>
          <w:b/>
        </w:rPr>
        <w:tab/>
        <w:t xml:space="preserve">Be guided by and follow the Committee’s </w:t>
      </w:r>
      <w:r w:rsidRPr="002F0ED2">
        <w:rPr>
          <w:b/>
        </w:rPr>
        <w:t>General comment No 9 on the domestic application of the Covenant</w:t>
      </w:r>
      <w:r w:rsidR="008E66CF">
        <w:rPr>
          <w:b/>
        </w:rPr>
        <w:t>.</w:t>
      </w:r>
      <w:r w:rsidRPr="002F0ED2">
        <w:rPr>
          <w:rStyle w:val="FootnoteReference"/>
          <w:b/>
        </w:rPr>
        <w:footnoteReference w:id="6"/>
      </w:r>
    </w:p>
    <w:p w14:paraId="6C0B6CA3" w14:textId="77777777" w:rsidR="00CF2EE2" w:rsidRPr="002F0ED2" w:rsidRDefault="00CF2EE2" w:rsidP="00781CB9">
      <w:pPr>
        <w:pStyle w:val="H23G"/>
        <w:ind w:firstLine="0"/>
      </w:pPr>
      <w:r w:rsidRPr="002F0ED2">
        <w:t>National human rights institution</w:t>
      </w:r>
      <w:r w:rsidR="0097535B" w:rsidRPr="002F0ED2">
        <w:t xml:space="preserve"> </w:t>
      </w:r>
    </w:p>
    <w:p w14:paraId="0D5387C7" w14:textId="77777777" w:rsidR="00ED61C3" w:rsidRPr="002F0ED2" w:rsidRDefault="00ED61C3" w:rsidP="002F0ED2">
      <w:pPr>
        <w:pStyle w:val="SingleTxtG"/>
        <w:numPr>
          <w:ilvl w:val="0"/>
          <w:numId w:val="7"/>
        </w:numPr>
        <w:tabs>
          <w:tab w:val="clear" w:pos="1701"/>
          <w:tab w:val="clear" w:pos="2268"/>
          <w:tab w:val="clear" w:pos="2835"/>
        </w:tabs>
        <w:ind w:left="1134" w:firstLine="0"/>
      </w:pPr>
      <w:r w:rsidRPr="002F0ED2">
        <w:t>The Committee regrets the continued lack of concrete results with respect to the establishment of an independent national human rights institution despite years of consideration by the State party (art. 2</w:t>
      </w:r>
      <w:r w:rsidR="00CD68FF" w:rsidRPr="002F0ED2">
        <w:t xml:space="preserve"> (1)</w:t>
      </w:r>
      <w:r w:rsidRPr="002F0ED2">
        <w:t>).</w:t>
      </w:r>
    </w:p>
    <w:p w14:paraId="588C99C2" w14:textId="459A8543" w:rsidR="00ED61C3" w:rsidRPr="002F0ED2" w:rsidRDefault="00422B61" w:rsidP="002F0ED2">
      <w:pPr>
        <w:pStyle w:val="SingleTxtG"/>
        <w:numPr>
          <w:ilvl w:val="0"/>
          <w:numId w:val="7"/>
        </w:numPr>
        <w:tabs>
          <w:tab w:val="clear" w:pos="1701"/>
          <w:tab w:val="clear" w:pos="2268"/>
          <w:tab w:val="clear" w:pos="2835"/>
        </w:tabs>
        <w:ind w:left="1134" w:firstLine="0"/>
        <w:rPr>
          <w:b/>
          <w:bCs/>
          <w:shd w:val="clear" w:color="auto" w:fill="FFFFFF"/>
        </w:rPr>
      </w:pPr>
      <w:r>
        <w:rPr>
          <w:b/>
        </w:rPr>
        <w:t>T</w:t>
      </w:r>
      <w:r w:rsidR="00ED61C3" w:rsidRPr="002F0ED2">
        <w:rPr>
          <w:b/>
        </w:rPr>
        <w:t>he Committee urges the State party to establish a</w:t>
      </w:r>
      <w:r w:rsidR="00A24ADB" w:rsidRPr="002F0ED2">
        <w:rPr>
          <w:b/>
        </w:rPr>
        <w:t>n independent</w:t>
      </w:r>
      <w:r w:rsidR="00ED61C3" w:rsidRPr="002F0ED2">
        <w:rPr>
          <w:b/>
        </w:rPr>
        <w:t xml:space="preserve"> national human rights institution with a broad mandate in line with the </w:t>
      </w:r>
      <w:r w:rsidR="00ED61C3" w:rsidRPr="002F0ED2">
        <w:rPr>
          <w:b/>
          <w:bCs/>
        </w:rPr>
        <w:t>principles relating to the status of national institutions for the promotion and protection of human rights (the Paris Principles</w:t>
      </w:r>
      <w:r w:rsidR="00C570AD" w:rsidRPr="002F0ED2">
        <w:rPr>
          <w:rStyle w:val="FootnoteReference"/>
          <w:b/>
          <w:bCs/>
        </w:rPr>
        <w:footnoteReference w:id="7"/>
      </w:r>
      <w:r w:rsidR="005C5C1E" w:rsidRPr="002F0ED2">
        <w:rPr>
          <w:b/>
          <w:bCs/>
        </w:rPr>
        <w:t>),</w:t>
      </w:r>
      <w:r w:rsidR="005C5C1E" w:rsidRPr="002F0ED2">
        <w:rPr>
          <w:b/>
          <w:bCs/>
          <w:shd w:val="clear" w:color="auto" w:fill="FFFFFF"/>
        </w:rPr>
        <w:t xml:space="preserve"> allocating</w:t>
      </w:r>
      <w:r w:rsidR="00ED61C3" w:rsidRPr="002F0ED2">
        <w:rPr>
          <w:b/>
          <w:bCs/>
          <w:shd w:val="clear" w:color="auto" w:fill="FFFFFF"/>
        </w:rPr>
        <w:t xml:space="preserve"> sufficient human, technical and financial resources </w:t>
      </w:r>
      <w:r w:rsidR="005C5C1E" w:rsidRPr="002F0ED2">
        <w:rPr>
          <w:b/>
          <w:bCs/>
          <w:shd w:val="clear" w:color="auto" w:fill="FFFFFF"/>
        </w:rPr>
        <w:t>for</w:t>
      </w:r>
      <w:r w:rsidR="00ED61C3" w:rsidRPr="002F0ED2">
        <w:rPr>
          <w:b/>
          <w:bCs/>
          <w:shd w:val="clear" w:color="auto" w:fill="FFFFFF"/>
        </w:rPr>
        <w:t xml:space="preserve"> it to fully exercise its mandate in relation to economic, social and cultural rights.</w:t>
      </w:r>
      <w:r>
        <w:rPr>
          <w:b/>
          <w:bCs/>
          <w:shd w:val="clear" w:color="auto" w:fill="FFFFFF"/>
        </w:rPr>
        <w:t xml:space="preserve"> In this regard, the Committee </w:t>
      </w:r>
      <w:r>
        <w:rPr>
          <w:b/>
        </w:rPr>
        <w:t>recall</w:t>
      </w:r>
      <w:r w:rsidR="00574054">
        <w:rPr>
          <w:b/>
        </w:rPr>
        <w:t>s</w:t>
      </w:r>
      <w:r w:rsidRPr="002F0ED2">
        <w:rPr>
          <w:b/>
        </w:rPr>
        <w:t xml:space="preserve"> its General comment 10 on the role of national human rights institutions in the protection of economic, social and cultural rights</w:t>
      </w:r>
      <w:r w:rsidR="008E66CF">
        <w:rPr>
          <w:b/>
        </w:rPr>
        <w:t>.</w:t>
      </w:r>
      <w:r w:rsidRPr="002F0ED2">
        <w:rPr>
          <w:rStyle w:val="FootnoteReference"/>
          <w:b/>
        </w:rPr>
        <w:footnoteReference w:id="8"/>
      </w:r>
    </w:p>
    <w:p w14:paraId="24F397B9" w14:textId="72C61378" w:rsidR="00321D7C" w:rsidRPr="002F0ED2" w:rsidRDefault="00321D7C" w:rsidP="00781CB9">
      <w:pPr>
        <w:pStyle w:val="H23G"/>
        <w:ind w:firstLine="0"/>
      </w:pPr>
      <w:r w:rsidRPr="002F0ED2">
        <w:t>Civil society</w:t>
      </w:r>
      <w:r w:rsidR="004274E9">
        <w:t>,</w:t>
      </w:r>
      <w:r w:rsidRPr="002F0ED2">
        <w:t xml:space="preserve"> human rights defenders</w:t>
      </w:r>
      <w:r w:rsidR="004274E9">
        <w:t xml:space="preserve"> and journalists</w:t>
      </w:r>
    </w:p>
    <w:p w14:paraId="30104B6E" w14:textId="6445F6D8" w:rsidR="00321D7C" w:rsidRPr="002F0ED2" w:rsidRDefault="00321D7C" w:rsidP="002F0ED2">
      <w:pPr>
        <w:pStyle w:val="SingleTxtG"/>
        <w:numPr>
          <w:ilvl w:val="0"/>
          <w:numId w:val="7"/>
        </w:numPr>
        <w:tabs>
          <w:tab w:val="clear" w:pos="1701"/>
          <w:tab w:val="clear" w:pos="2268"/>
          <w:tab w:val="clear" w:pos="2835"/>
        </w:tabs>
        <w:ind w:left="1134" w:firstLine="0"/>
      </w:pPr>
      <w:r w:rsidRPr="002F0ED2">
        <w:t>T</w:t>
      </w:r>
      <w:r w:rsidRPr="002F0ED2">
        <w:rPr>
          <w:bCs/>
        </w:rPr>
        <w:t>he Committee is concerned about repeated allegations of harassment, physical threats, and verbal attacks by both non-State and State actors on human rights defenders and journalists advocating for economic, social a</w:t>
      </w:r>
      <w:r w:rsidR="001124CD">
        <w:rPr>
          <w:bCs/>
        </w:rPr>
        <w:t>nd cultural rights</w:t>
      </w:r>
      <w:r w:rsidR="003E591D">
        <w:t>,</w:t>
      </w:r>
      <w:r w:rsidR="001124CD">
        <w:t xml:space="preserve"> </w:t>
      </w:r>
      <w:r w:rsidR="0086592F">
        <w:t xml:space="preserve">particularly in the context of </w:t>
      </w:r>
      <w:r w:rsidR="005D7AE0">
        <w:t xml:space="preserve">protection of </w:t>
      </w:r>
      <w:r w:rsidR="0086592F">
        <w:t>refugees</w:t>
      </w:r>
      <w:r w:rsidR="00513358">
        <w:t xml:space="preserve"> </w:t>
      </w:r>
      <w:r w:rsidR="00513358" w:rsidRPr="002F0ED2">
        <w:t>(art. 5)</w:t>
      </w:r>
      <w:r w:rsidR="00513358">
        <w:t>.</w:t>
      </w:r>
    </w:p>
    <w:p w14:paraId="7C2A8FC7" w14:textId="48B54677" w:rsidR="00321D7C" w:rsidRPr="002F0ED2" w:rsidRDefault="00321D7C" w:rsidP="002F0ED2">
      <w:pPr>
        <w:pStyle w:val="SingleTxtG"/>
        <w:numPr>
          <w:ilvl w:val="0"/>
          <w:numId w:val="7"/>
        </w:numPr>
        <w:tabs>
          <w:tab w:val="clear" w:pos="1701"/>
          <w:tab w:val="clear" w:pos="2268"/>
          <w:tab w:val="clear" w:pos="2835"/>
        </w:tabs>
        <w:ind w:left="1134" w:firstLine="0"/>
        <w:rPr>
          <w:b/>
          <w:bCs/>
        </w:rPr>
      </w:pPr>
      <w:r w:rsidRPr="002F0ED2">
        <w:rPr>
          <w:b/>
        </w:rPr>
        <w:t>The Committee recommends that the State party g</w:t>
      </w:r>
      <w:r w:rsidRPr="002F0ED2">
        <w:rPr>
          <w:b/>
          <w:bCs/>
        </w:rPr>
        <w:t>uarantee the effective protection, including by expanding personal protection programmes, of independent journalists</w:t>
      </w:r>
      <w:r w:rsidR="00574054">
        <w:rPr>
          <w:b/>
          <w:bCs/>
        </w:rPr>
        <w:t>,</w:t>
      </w:r>
      <w:r w:rsidRPr="002F0ED2">
        <w:rPr>
          <w:b/>
          <w:bCs/>
        </w:rPr>
        <w:t xml:space="preserve"> human rights defenders and other activists. </w:t>
      </w:r>
    </w:p>
    <w:p w14:paraId="07DAB6D0" w14:textId="77777777" w:rsidR="00592E41" w:rsidRPr="002F0ED2" w:rsidRDefault="00592E41" w:rsidP="00781CB9">
      <w:pPr>
        <w:pStyle w:val="H23G"/>
        <w:ind w:firstLine="0"/>
      </w:pPr>
      <w:r w:rsidRPr="002F0ED2">
        <w:t>Regional disparities</w:t>
      </w:r>
      <w:r w:rsidR="0097535B" w:rsidRPr="002F0ED2">
        <w:t xml:space="preserve"> </w:t>
      </w:r>
    </w:p>
    <w:p w14:paraId="6CA4043B" w14:textId="7F09FCB1" w:rsidR="00592E41" w:rsidRPr="002F0ED2" w:rsidRDefault="00592E41" w:rsidP="002F0ED2">
      <w:pPr>
        <w:pStyle w:val="SingleTxtG"/>
        <w:numPr>
          <w:ilvl w:val="0"/>
          <w:numId w:val="7"/>
        </w:numPr>
        <w:tabs>
          <w:tab w:val="clear" w:pos="1701"/>
          <w:tab w:val="clear" w:pos="2268"/>
          <w:tab w:val="clear" w:pos="2835"/>
        </w:tabs>
        <w:ind w:left="1134" w:firstLine="0"/>
      </w:pPr>
      <w:r w:rsidRPr="002F0ED2">
        <w:t>The Committee</w:t>
      </w:r>
      <w:r w:rsidR="00BC4594" w:rsidRPr="002F0ED2">
        <w:t xml:space="preserve"> </w:t>
      </w:r>
      <w:r w:rsidRPr="002F0ED2">
        <w:t>is concerned about persistent regional disparities in access to social services</w:t>
      </w:r>
      <w:r w:rsidR="00195D2A" w:rsidRPr="002F0ED2">
        <w:t>,</w:t>
      </w:r>
      <w:r w:rsidR="00011C2C" w:rsidRPr="002F0ED2">
        <w:t xml:space="preserve"> and insufficient measures taken to address these,</w:t>
      </w:r>
      <w:r w:rsidRPr="002F0ED2">
        <w:t xml:space="preserve"> the low and varying levels of financial and administrative capacity of local governments</w:t>
      </w:r>
      <w:r w:rsidR="005F7636" w:rsidRPr="002F0ED2">
        <w:t>,</w:t>
      </w:r>
      <w:r w:rsidRPr="002F0ED2">
        <w:t xml:space="preserve"> and the lack of coordination between </w:t>
      </w:r>
      <w:r w:rsidR="00113955" w:rsidRPr="002F0ED2">
        <w:t xml:space="preserve">the </w:t>
      </w:r>
      <w:r w:rsidRPr="002F0ED2">
        <w:t>national and local governments (art. 2 (1)).</w:t>
      </w:r>
    </w:p>
    <w:p w14:paraId="6B432DE3" w14:textId="77777777" w:rsidR="00592E41" w:rsidRPr="002F0ED2" w:rsidRDefault="00592E41" w:rsidP="002F0ED2">
      <w:pPr>
        <w:pStyle w:val="SingleTxtG"/>
        <w:numPr>
          <w:ilvl w:val="0"/>
          <w:numId w:val="7"/>
        </w:numPr>
        <w:tabs>
          <w:tab w:val="clear" w:pos="1701"/>
          <w:tab w:val="clear" w:pos="2268"/>
          <w:tab w:val="clear" w:pos="2835"/>
        </w:tabs>
        <w:ind w:left="1134" w:firstLine="0"/>
        <w:rPr>
          <w:b/>
        </w:rPr>
      </w:pPr>
      <w:r w:rsidRPr="002F0ED2">
        <w:rPr>
          <w:b/>
        </w:rPr>
        <w:t>The Committee recommends that the State party:</w:t>
      </w:r>
    </w:p>
    <w:p w14:paraId="0B445162" w14:textId="77777777" w:rsidR="00592E41" w:rsidRPr="002F0ED2" w:rsidRDefault="00592E41" w:rsidP="00592E41">
      <w:pPr>
        <w:pStyle w:val="SingleTxtG"/>
        <w:rPr>
          <w:b/>
        </w:rPr>
      </w:pPr>
      <w:r w:rsidRPr="002F0ED2">
        <w:rPr>
          <w:b/>
        </w:rPr>
        <w:tab/>
      </w:r>
      <w:r w:rsidRPr="002F0ED2">
        <w:rPr>
          <w:b/>
          <w:bCs/>
        </w:rPr>
        <w:t>(a)</w:t>
      </w:r>
      <w:r w:rsidRPr="002F0ED2">
        <w:rPr>
          <w:b/>
        </w:rPr>
        <w:tab/>
        <w:t>Strengthen the financial and administrative capacity of local governments with a view to ensuring that people in the State party enjoy Covenant rights on an equal basis regardless of the region in which they live;</w:t>
      </w:r>
    </w:p>
    <w:p w14:paraId="56F2D014" w14:textId="53E155C8" w:rsidR="00592E41" w:rsidRPr="002F0ED2" w:rsidRDefault="00592E41" w:rsidP="00592E41">
      <w:pPr>
        <w:pStyle w:val="SingleTxtG"/>
        <w:rPr>
          <w:b/>
        </w:rPr>
      </w:pPr>
      <w:r w:rsidRPr="002F0ED2">
        <w:rPr>
          <w:b/>
        </w:rPr>
        <w:tab/>
        <w:t>(b)</w:t>
      </w:r>
      <w:r w:rsidRPr="002F0ED2">
        <w:rPr>
          <w:b/>
        </w:rPr>
        <w:tab/>
        <w:t xml:space="preserve">Increase transfer of public funds from wealthier, </w:t>
      </w:r>
      <w:r w:rsidR="00D81331" w:rsidRPr="002F0ED2">
        <w:rPr>
          <w:b/>
        </w:rPr>
        <w:t>N</w:t>
      </w:r>
      <w:r w:rsidRPr="002F0ED2">
        <w:rPr>
          <w:b/>
        </w:rPr>
        <w:t>orthern regions to poorer, Southern regions;</w:t>
      </w:r>
    </w:p>
    <w:p w14:paraId="0104B095" w14:textId="3D8F36BD" w:rsidR="00592E41" w:rsidRPr="002F0ED2" w:rsidRDefault="00592E41" w:rsidP="00592E41">
      <w:pPr>
        <w:pStyle w:val="SingleTxtG"/>
        <w:rPr>
          <w:b/>
        </w:rPr>
      </w:pPr>
      <w:r w:rsidRPr="002F0ED2">
        <w:rPr>
          <w:b/>
        </w:rPr>
        <w:tab/>
      </w:r>
      <w:r w:rsidR="000C287A">
        <w:rPr>
          <w:b/>
          <w:lang w:val="en-US"/>
        </w:rPr>
        <w:t>(c</w:t>
      </w:r>
      <w:r w:rsidRPr="002F0ED2">
        <w:rPr>
          <w:b/>
          <w:lang w:val="en-US"/>
        </w:rPr>
        <w:t xml:space="preserve">) </w:t>
      </w:r>
      <w:r w:rsidR="0011265B" w:rsidRPr="002F0ED2">
        <w:rPr>
          <w:b/>
          <w:lang w:val="en-US"/>
        </w:rPr>
        <w:tab/>
        <w:t>M</w:t>
      </w:r>
      <w:r w:rsidRPr="002F0ED2">
        <w:rPr>
          <w:b/>
          <w:lang w:val="en-US"/>
        </w:rPr>
        <w:t>ake increased use of the possibilities to obtain funding</w:t>
      </w:r>
      <w:r w:rsidR="00F14CA3">
        <w:rPr>
          <w:b/>
          <w:lang w:val="en-US"/>
        </w:rPr>
        <w:t xml:space="preserve"> for regional development projects</w:t>
      </w:r>
      <w:r w:rsidRPr="002F0ED2">
        <w:rPr>
          <w:b/>
          <w:lang w:val="en-US"/>
        </w:rPr>
        <w:t>, as a member of the E</w:t>
      </w:r>
      <w:r w:rsidR="00CD37EA" w:rsidRPr="002F0ED2">
        <w:rPr>
          <w:b/>
          <w:lang w:val="en-US"/>
        </w:rPr>
        <w:t xml:space="preserve">uropean </w:t>
      </w:r>
      <w:r w:rsidRPr="002F0ED2">
        <w:rPr>
          <w:b/>
          <w:lang w:val="en-US"/>
        </w:rPr>
        <w:t>U</w:t>
      </w:r>
      <w:r w:rsidR="00CD37EA" w:rsidRPr="002F0ED2">
        <w:rPr>
          <w:b/>
          <w:lang w:val="en-US"/>
        </w:rPr>
        <w:t>nion</w:t>
      </w:r>
      <w:r w:rsidRPr="002F0ED2">
        <w:rPr>
          <w:b/>
          <w:lang w:val="en-US"/>
        </w:rPr>
        <w:t>, from the European Regional Development Fund.</w:t>
      </w:r>
    </w:p>
    <w:p w14:paraId="2BF6EBFE" w14:textId="77777777" w:rsidR="00592E41" w:rsidRPr="00781CB9" w:rsidRDefault="00592E41" w:rsidP="00781CB9">
      <w:pPr>
        <w:pStyle w:val="H23G"/>
        <w:ind w:firstLine="0"/>
      </w:pPr>
      <w:r w:rsidRPr="00781CB9">
        <w:lastRenderedPageBreak/>
        <w:t>Business and human rights</w:t>
      </w:r>
      <w:r w:rsidR="0097535B" w:rsidRPr="00781CB9">
        <w:t xml:space="preserve"> </w:t>
      </w:r>
    </w:p>
    <w:p w14:paraId="3AC83B07" w14:textId="53F73939" w:rsidR="00592E41" w:rsidRPr="00EF59E8" w:rsidRDefault="008E6F0D" w:rsidP="002F0ED2">
      <w:pPr>
        <w:pStyle w:val="SingleTxtG"/>
        <w:numPr>
          <w:ilvl w:val="0"/>
          <w:numId w:val="7"/>
        </w:numPr>
        <w:tabs>
          <w:tab w:val="clear" w:pos="1701"/>
          <w:tab w:val="clear" w:pos="2268"/>
          <w:tab w:val="clear" w:pos="2835"/>
        </w:tabs>
        <w:ind w:left="1134" w:firstLine="0"/>
      </w:pPr>
      <w:r w:rsidRPr="00EF59E8">
        <w:t>Noting</w:t>
      </w:r>
      <w:r w:rsidR="00592E41" w:rsidRPr="00EF59E8">
        <w:t xml:space="preserve"> </w:t>
      </w:r>
      <w:r w:rsidRPr="00EF59E8">
        <w:t xml:space="preserve">the </w:t>
      </w:r>
      <w:r w:rsidR="00592E41" w:rsidRPr="00EF59E8">
        <w:t>State party’s</w:t>
      </w:r>
      <w:r w:rsidR="00F2130E" w:rsidRPr="00EF59E8">
        <w:t xml:space="preserve"> adoption of its</w:t>
      </w:r>
      <w:r w:rsidR="00592E41" w:rsidRPr="00EF59E8">
        <w:t xml:space="preserve"> second National Action Plan on Business and Human rights (2021-2026), the Committee is concerned that the Legislative Decree 231/2001 does not </w:t>
      </w:r>
      <w:r w:rsidR="005A0FD0">
        <w:t xml:space="preserve">adequately </w:t>
      </w:r>
      <w:r w:rsidR="00592E41" w:rsidRPr="00EF59E8">
        <w:t>cover corporate abuses of human rights</w:t>
      </w:r>
      <w:r w:rsidR="00FD4D70" w:rsidRPr="00EF59E8">
        <w:t xml:space="preserve"> </w:t>
      </w:r>
      <w:r w:rsidR="00592E41" w:rsidRPr="00EF59E8">
        <w:t>and provides for exemption from liability if companies demonstrate they have adopted an adequate model of risk prevention and management. The Committee is also concerned that the legal and regulatory framework regarding due diligence does not sufficiently encompass sub-suppliers,</w:t>
      </w:r>
      <w:r w:rsidR="00F41314">
        <w:t xml:space="preserve"> including foreign ones</w:t>
      </w:r>
      <w:r w:rsidR="00592E41" w:rsidRPr="00EF59E8">
        <w:t xml:space="preserve"> (art. 2 (1)). </w:t>
      </w:r>
    </w:p>
    <w:p w14:paraId="2E8D5306" w14:textId="77777777" w:rsidR="00592E41" w:rsidRPr="002F0ED2" w:rsidRDefault="00592E41" w:rsidP="002F0ED2">
      <w:pPr>
        <w:pStyle w:val="SingleTxtG"/>
        <w:numPr>
          <w:ilvl w:val="0"/>
          <w:numId w:val="7"/>
        </w:numPr>
        <w:tabs>
          <w:tab w:val="clear" w:pos="1701"/>
          <w:tab w:val="clear" w:pos="2268"/>
          <w:tab w:val="clear" w:pos="2835"/>
        </w:tabs>
        <w:ind w:left="1134" w:firstLine="0"/>
        <w:rPr>
          <w:b/>
          <w:bCs/>
        </w:rPr>
      </w:pPr>
      <w:r w:rsidRPr="002F0ED2">
        <w:rPr>
          <w:b/>
          <w:bCs/>
        </w:rPr>
        <w:t>The Committee recommends that the State party:</w:t>
      </w:r>
    </w:p>
    <w:p w14:paraId="7EB6D64E" w14:textId="4E5B3066" w:rsidR="00592E41" w:rsidRPr="002F0ED2" w:rsidRDefault="00592E41" w:rsidP="00592E41">
      <w:pPr>
        <w:pStyle w:val="SingleTxtG"/>
        <w:rPr>
          <w:b/>
          <w:bCs/>
        </w:rPr>
      </w:pPr>
      <w:r w:rsidRPr="002F0ED2">
        <w:tab/>
      </w:r>
      <w:r w:rsidRPr="002F0ED2">
        <w:rPr>
          <w:b/>
        </w:rPr>
        <w:t>(a)</w:t>
      </w:r>
      <w:r w:rsidRPr="002F0ED2">
        <w:rPr>
          <w:b/>
        </w:rPr>
        <w:tab/>
      </w:r>
      <w:r w:rsidR="001601EB" w:rsidRPr="002F0ED2">
        <w:rPr>
          <w:b/>
        </w:rPr>
        <w:t>A</w:t>
      </w:r>
      <w:r w:rsidR="001601EB">
        <w:rPr>
          <w:b/>
        </w:rPr>
        <w:t>mend the</w:t>
      </w:r>
      <w:r w:rsidRPr="002F0ED2">
        <w:rPr>
          <w:b/>
        </w:rPr>
        <w:t xml:space="preserve"> Legislative Decree 231/2001 to abolish the exemptions of liability for business entities and to cover abuses of all human rights;</w:t>
      </w:r>
    </w:p>
    <w:p w14:paraId="47487954" w14:textId="6ED4FD50" w:rsidR="00592E41" w:rsidRPr="002F0ED2" w:rsidRDefault="00592E41" w:rsidP="00592E41">
      <w:pPr>
        <w:pStyle w:val="SingleTxtG"/>
        <w:rPr>
          <w:b/>
          <w:bCs/>
        </w:rPr>
      </w:pPr>
      <w:r w:rsidRPr="002F0ED2">
        <w:rPr>
          <w:b/>
        </w:rPr>
        <w:tab/>
        <w:t>(b)</w:t>
      </w:r>
      <w:r w:rsidRPr="002F0ED2">
        <w:rPr>
          <w:b/>
        </w:rPr>
        <w:tab/>
      </w:r>
      <w:r w:rsidR="00DF0153" w:rsidRPr="001124CD">
        <w:rPr>
          <w:b/>
          <w:bCs/>
        </w:rPr>
        <w:t>Mandate</w:t>
      </w:r>
      <w:r w:rsidRPr="001124CD">
        <w:rPr>
          <w:b/>
          <w:bCs/>
        </w:rPr>
        <w:t xml:space="preserve"> </w:t>
      </w:r>
      <w:r w:rsidR="00A16458" w:rsidRPr="001124CD">
        <w:rPr>
          <w:b/>
          <w:bCs/>
        </w:rPr>
        <w:t>business entities’</w:t>
      </w:r>
      <w:r w:rsidR="00A16458" w:rsidRPr="002F0ED2">
        <w:rPr>
          <w:b/>
          <w:bCs/>
        </w:rPr>
        <w:t xml:space="preserve"> </w:t>
      </w:r>
      <w:r w:rsidRPr="002F0ED2">
        <w:rPr>
          <w:b/>
          <w:bCs/>
        </w:rPr>
        <w:t xml:space="preserve">legal responsibility </w:t>
      </w:r>
      <w:r w:rsidR="00962F36" w:rsidRPr="002F0ED2">
        <w:rPr>
          <w:b/>
          <w:bCs/>
        </w:rPr>
        <w:t xml:space="preserve">and due diligence </w:t>
      </w:r>
      <w:r w:rsidR="005C7427" w:rsidRPr="002F0ED2">
        <w:rPr>
          <w:b/>
          <w:bCs/>
        </w:rPr>
        <w:t>responsibilities</w:t>
      </w:r>
      <w:r w:rsidR="00962F36" w:rsidRPr="002F0ED2">
        <w:rPr>
          <w:b/>
          <w:bCs/>
        </w:rPr>
        <w:t xml:space="preserve"> </w:t>
      </w:r>
      <w:r w:rsidRPr="002F0ED2">
        <w:rPr>
          <w:b/>
          <w:bCs/>
        </w:rPr>
        <w:t xml:space="preserve">to the whole supply chain, including sub-suppliers, at home and abroad; </w:t>
      </w:r>
    </w:p>
    <w:p w14:paraId="42636342" w14:textId="1A48658A" w:rsidR="00592E41" w:rsidRPr="002F0ED2" w:rsidRDefault="00592E41" w:rsidP="005A38D9">
      <w:pPr>
        <w:pStyle w:val="SingleTxtG"/>
        <w:rPr>
          <w:b/>
          <w:bCs/>
        </w:rPr>
      </w:pPr>
      <w:r w:rsidRPr="002F0ED2">
        <w:rPr>
          <w:b/>
          <w:bCs/>
        </w:rPr>
        <w:tab/>
        <w:t>(c)</w:t>
      </w:r>
      <w:r w:rsidRPr="002F0ED2">
        <w:rPr>
          <w:b/>
          <w:bCs/>
        </w:rPr>
        <w:tab/>
      </w:r>
      <w:r w:rsidR="005A38D9" w:rsidRPr="002F0ED2">
        <w:rPr>
          <w:b/>
          <w:bCs/>
        </w:rPr>
        <w:t>The Committee encourages the State party t</w:t>
      </w:r>
      <w:r w:rsidR="005C7427" w:rsidRPr="002F0ED2">
        <w:rPr>
          <w:b/>
          <w:bCs/>
        </w:rPr>
        <w:t>o include those elements in future</w:t>
      </w:r>
      <w:r w:rsidR="005A38D9" w:rsidRPr="002F0ED2">
        <w:rPr>
          <w:b/>
          <w:bCs/>
        </w:rPr>
        <w:t xml:space="preserve"> national action plan</w:t>
      </w:r>
      <w:r w:rsidR="005C7427" w:rsidRPr="002F0ED2">
        <w:rPr>
          <w:b/>
          <w:bCs/>
        </w:rPr>
        <w:t>s</w:t>
      </w:r>
      <w:r w:rsidR="005A38D9" w:rsidRPr="002F0ED2">
        <w:rPr>
          <w:b/>
          <w:bCs/>
        </w:rPr>
        <w:t xml:space="preserve"> on business and human rights and b</w:t>
      </w:r>
      <w:r w:rsidRPr="002F0ED2">
        <w:rPr>
          <w:b/>
        </w:rPr>
        <w:t xml:space="preserve">e guided by and follow </w:t>
      </w:r>
      <w:r w:rsidRPr="002F0ED2">
        <w:rPr>
          <w:b/>
          <w:bCs/>
        </w:rPr>
        <w:t>the Committee’s general comment No. 24 (2017) on State obligations under the International Covenant on Economic, Social and Cultural Rights in the context of business activities</w:t>
      </w:r>
      <w:r w:rsidR="008E66CF">
        <w:rPr>
          <w:b/>
          <w:bCs/>
        </w:rPr>
        <w:t>.</w:t>
      </w:r>
      <w:r w:rsidR="00800A8D">
        <w:rPr>
          <w:rStyle w:val="FootnoteReference"/>
          <w:b/>
          <w:bCs/>
        </w:rPr>
        <w:footnoteReference w:id="9"/>
      </w:r>
    </w:p>
    <w:p w14:paraId="79E3A959" w14:textId="77777777" w:rsidR="007B1985" w:rsidRPr="00781CB9" w:rsidRDefault="007B1985" w:rsidP="00781CB9">
      <w:pPr>
        <w:pStyle w:val="H23G"/>
        <w:ind w:firstLine="0"/>
      </w:pPr>
      <w:r w:rsidRPr="002F0ED2">
        <w:t>Arms exports</w:t>
      </w:r>
      <w:r w:rsidR="00912A98" w:rsidRPr="002F0ED2">
        <w:t xml:space="preserve"> </w:t>
      </w:r>
    </w:p>
    <w:p w14:paraId="2DE4BB63" w14:textId="08BCCB39" w:rsidR="007B1985" w:rsidRPr="002F0ED2" w:rsidRDefault="007B1985" w:rsidP="002F0ED2">
      <w:pPr>
        <w:pStyle w:val="SingleTxtG"/>
        <w:numPr>
          <w:ilvl w:val="0"/>
          <w:numId w:val="7"/>
        </w:numPr>
        <w:tabs>
          <w:tab w:val="clear" w:pos="1701"/>
          <w:tab w:val="clear" w:pos="2268"/>
          <w:tab w:val="clear" w:pos="2835"/>
        </w:tabs>
        <w:ind w:left="1134" w:firstLine="0"/>
      </w:pPr>
      <w:r w:rsidRPr="002F0ED2">
        <w:t>The C</w:t>
      </w:r>
      <w:r w:rsidR="005C7427" w:rsidRPr="002F0ED2">
        <w:t xml:space="preserve">ommittee is concerned that </w:t>
      </w:r>
      <w:r w:rsidRPr="002F0ED2">
        <w:t>human rights impact assessments into arms export control mechanisms have been inadequate, and that past and recent arms transfers and export from the State party to countries that have subsequently used the arms in conflict zones may have facil</w:t>
      </w:r>
      <w:r w:rsidR="00CD68FF" w:rsidRPr="002F0ED2">
        <w:t>itated human rights violations.</w:t>
      </w:r>
      <w:r w:rsidR="00392F4B" w:rsidRPr="002F0ED2">
        <w:t xml:space="preserve"> The Comm</w:t>
      </w:r>
      <w:r w:rsidR="00C01DEF" w:rsidRPr="002F0ED2">
        <w:t>ittee is also concerned about reports that</w:t>
      </w:r>
      <w:r w:rsidR="00392F4B" w:rsidRPr="002F0ED2">
        <w:t xml:space="preserve"> </w:t>
      </w:r>
      <w:r w:rsidR="00C01DEF" w:rsidRPr="002F0ED2">
        <w:t>the non-transparent</w:t>
      </w:r>
      <w:r w:rsidR="00392F4B" w:rsidRPr="002F0ED2">
        <w:t xml:space="preserve"> natur</w:t>
      </w:r>
      <w:r w:rsidR="00A61A4C" w:rsidRPr="002F0ED2">
        <w:t xml:space="preserve">e of granting arms licences </w:t>
      </w:r>
      <w:r w:rsidR="00392F4B" w:rsidRPr="002F0ED2">
        <w:t xml:space="preserve">leads to corruption and </w:t>
      </w:r>
      <w:r w:rsidR="000D3AAF" w:rsidRPr="002F0ED2">
        <w:t>mal</w:t>
      </w:r>
      <w:r w:rsidR="00C0196A" w:rsidRPr="002F0ED2">
        <w:t>practices (art. 2 (1)).</w:t>
      </w:r>
    </w:p>
    <w:p w14:paraId="3AF588C7" w14:textId="77777777" w:rsidR="007B1985" w:rsidRPr="002F0ED2" w:rsidRDefault="007B1985" w:rsidP="002F0ED2">
      <w:pPr>
        <w:pStyle w:val="SingleTxtG"/>
        <w:numPr>
          <w:ilvl w:val="0"/>
          <w:numId w:val="7"/>
        </w:numPr>
        <w:tabs>
          <w:tab w:val="clear" w:pos="1701"/>
          <w:tab w:val="clear" w:pos="2268"/>
          <w:tab w:val="clear" w:pos="2835"/>
        </w:tabs>
        <w:ind w:left="1134" w:firstLine="0"/>
        <w:rPr>
          <w:b/>
        </w:rPr>
      </w:pPr>
      <w:r w:rsidRPr="002F0ED2">
        <w:rPr>
          <w:b/>
        </w:rPr>
        <w:t>The Committee recommends that the State party conduct thorough risk assessments prior to granting licences for arms exports and refuse or suspend such licences when there is a risk that arms could be used to violate human rights, including econo</w:t>
      </w:r>
      <w:r w:rsidR="00AD0E0A" w:rsidRPr="002F0ED2">
        <w:rPr>
          <w:b/>
        </w:rPr>
        <w:t xml:space="preserve">mic, social and cultural rights, and that </w:t>
      </w:r>
      <w:r w:rsidRPr="002F0ED2">
        <w:rPr>
          <w:b/>
        </w:rPr>
        <w:t>all arms transfers and exports comply with the State party’s obligations under the Arms Trade Treaty.</w:t>
      </w:r>
    </w:p>
    <w:p w14:paraId="788CFC87" w14:textId="77777777" w:rsidR="00CF2EE2" w:rsidRPr="002F0ED2" w:rsidRDefault="00CF2EE2" w:rsidP="00781CB9">
      <w:pPr>
        <w:pStyle w:val="H23G"/>
        <w:ind w:firstLine="0"/>
      </w:pPr>
      <w:r w:rsidRPr="002F0ED2">
        <w:t>Climate change</w:t>
      </w:r>
      <w:r w:rsidR="00DE1376" w:rsidRPr="002F0ED2">
        <w:t xml:space="preserve"> </w:t>
      </w:r>
      <w:r w:rsidR="00CD68FF" w:rsidRPr="002F0ED2">
        <w:t>(</w:t>
      </w:r>
      <w:r w:rsidRPr="00781CB9">
        <w:t>see art 11 for adaptation)</w:t>
      </w:r>
      <w:r w:rsidRPr="002F0ED2">
        <w:t xml:space="preserve"> </w:t>
      </w:r>
    </w:p>
    <w:p w14:paraId="53C0B6C3" w14:textId="7ADC2881" w:rsidR="00592E41" w:rsidRPr="002F0ED2" w:rsidRDefault="00592E41" w:rsidP="002F0ED2">
      <w:pPr>
        <w:pStyle w:val="SingleTxtG"/>
        <w:numPr>
          <w:ilvl w:val="0"/>
          <w:numId w:val="7"/>
        </w:numPr>
        <w:tabs>
          <w:tab w:val="clear" w:pos="1701"/>
          <w:tab w:val="clear" w:pos="2268"/>
          <w:tab w:val="clear" w:pos="2835"/>
        </w:tabs>
        <w:ind w:left="1134" w:firstLine="0"/>
        <w:rPr>
          <w:rFonts w:eastAsia="Times New Roman"/>
          <w:lang w:eastAsia="en-GB"/>
        </w:rPr>
      </w:pPr>
      <w:r w:rsidRPr="002F0ED2">
        <w:t>The Committee is concerned that current emission-reducing policies may not be sufficient for the State party to observe its obligations under the Paris Agreement</w:t>
      </w:r>
      <w:r w:rsidR="00102EE3" w:rsidRPr="002F0ED2">
        <w:t>, and that</w:t>
      </w:r>
      <w:r w:rsidR="00162578" w:rsidRPr="002F0ED2">
        <w:t xml:space="preserve"> unsustainable practices have </w:t>
      </w:r>
      <w:r w:rsidR="0087180C">
        <w:t xml:space="preserve">an </w:t>
      </w:r>
      <w:r w:rsidR="00162578" w:rsidRPr="002F0ED2">
        <w:t>adverse impact on climate change beyond the State party’s border</w:t>
      </w:r>
      <w:r w:rsidR="00102EE3" w:rsidRPr="002F0ED2">
        <w:t>s (art. 2 (1)).</w:t>
      </w:r>
    </w:p>
    <w:p w14:paraId="23302A16" w14:textId="77777777" w:rsidR="00592E41" w:rsidRPr="002F0ED2" w:rsidRDefault="00592E41" w:rsidP="002F0ED2">
      <w:pPr>
        <w:pStyle w:val="SingleTxtG"/>
        <w:numPr>
          <w:ilvl w:val="0"/>
          <w:numId w:val="7"/>
        </w:numPr>
        <w:tabs>
          <w:tab w:val="clear" w:pos="1701"/>
          <w:tab w:val="clear" w:pos="2268"/>
          <w:tab w:val="clear" w:pos="2835"/>
        </w:tabs>
        <w:ind w:left="1134" w:firstLine="0"/>
        <w:rPr>
          <w:b/>
          <w:bCs/>
          <w:lang w:val="en-US"/>
        </w:rPr>
      </w:pPr>
      <w:r w:rsidRPr="002F0ED2">
        <w:rPr>
          <w:b/>
        </w:rPr>
        <w:t>T</w:t>
      </w:r>
      <w:r w:rsidRPr="002F0ED2">
        <w:rPr>
          <w:b/>
          <w:bCs/>
          <w:lang w:val="en-US"/>
        </w:rPr>
        <w:t>he Committee recommends that the State party:</w:t>
      </w:r>
    </w:p>
    <w:p w14:paraId="09CB6044" w14:textId="57DFC3FC" w:rsidR="00592E41" w:rsidRPr="002F0ED2" w:rsidRDefault="00592E41" w:rsidP="00592E41">
      <w:pPr>
        <w:pStyle w:val="SingleTxtG"/>
        <w:ind w:firstLine="567"/>
        <w:rPr>
          <w:b/>
        </w:rPr>
      </w:pPr>
      <w:r w:rsidRPr="002F0ED2">
        <w:rPr>
          <w:b/>
        </w:rPr>
        <w:t>(a)</w:t>
      </w:r>
      <w:r w:rsidRPr="002F0ED2">
        <w:rPr>
          <w:b/>
        </w:rPr>
        <w:tab/>
        <w:t>Take measures to achieve its nationally determined contributions under the Paris Agreement</w:t>
      </w:r>
      <w:r w:rsidR="000865EF">
        <w:rPr>
          <w:b/>
        </w:rPr>
        <w:t xml:space="preserve"> </w:t>
      </w:r>
      <w:r w:rsidRPr="002F0ED2">
        <w:rPr>
          <w:b/>
        </w:rPr>
        <w:t>by</w:t>
      </w:r>
      <w:r w:rsidR="001124CD">
        <w:rPr>
          <w:b/>
        </w:rPr>
        <w:t>, inter alia,</w:t>
      </w:r>
      <w:r w:rsidRPr="002F0ED2">
        <w:rPr>
          <w:b/>
        </w:rPr>
        <w:t xml:space="preserve"> increasing taxation of emissions;</w:t>
      </w:r>
    </w:p>
    <w:p w14:paraId="5A38D51D" w14:textId="77777777" w:rsidR="00592E41" w:rsidRPr="002F0ED2" w:rsidRDefault="00592E41" w:rsidP="00592E41">
      <w:pPr>
        <w:pStyle w:val="SingleTxtG"/>
        <w:ind w:firstLine="567"/>
        <w:rPr>
          <w:b/>
          <w:strike/>
        </w:rPr>
      </w:pPr>
      <w:r w:rsidRPr="002F0ED2">
        <w:rPr>
          <w:b/>
        </w:rPr>
        <w:t>(b)</w:t>
      </w:r>
      <w:r w:rsidRPr="002F0ED2">
        <w:rPr>
          <w:b/>
        </w:rPr>
        <w:tab/>
      </w:r>
      <w:r w:rsidR="00F27FA1" w:rsidRPr="002F0ED2">
        <w:rPr>
          <w:b/>
        </w:rPr>
        <w:t xml:space="preserve">Make </w:t>
      </w:r>
      <w:r w:rsidR="003125F8" w:rsidRPr="002F0ED2">
        <w:rPr>
          <w:b/>
        </w:rPr>
        <w:t>all</w:t>
      </w:r>
      <w:r w:rsidR="00F27FA1" w:rsidRPr="002F0ED2">
        <w:rPr>
          <w:b/>
        </w:rPr>
        <w:t xml:space="preserve"> efforts to replace fossil fuel</w:t>
      </w:r>
      <w:r w:rsidR="00182C14" w:rsidRPr="002F0ED2">
        <w:rPr>
          <w:b/>
        </w:rPr>
        <w:t xml:space="preserve"> in its energy mix,</w:t>
      </w:r>
      <w:r w:rsidR="00F27FA1" w:rsidRPr="002F0ED2">
        <w:rPr>
          <w:b/>
        </w:rPr>
        <w:t xml:space="preserve"> including by increasing renewable energy as an alternative</w:t>
      </w:r>
      <w:r w:rsidR="00182C14" w:rsidRPr="002F0ED2">
        <w:rPr>
          <w:b/>
        </w:rPr>
        <w:t>;</w:t>
      </w:r>
      <w:r w:rsidR="00FE35CE" w:rsidRPr="002F0ED2">
        <w:rPr>
          <w:b/>
        </w:rPr>
        <w:t xml:space="preserve"> </w:t>
      </w:r>
    </w:p>
    <w:p w14:paraId="51548D28" w14:textId="1B5C9A17" w:rsidR="00592E41" w:rsidRPr="00612040" w:rsidRDefault="00592E41" w:rsidP="00592E41">
      <w:pPr>
        <w:pStyle w:val="SingleTxtG"/>
        <w:ind w:firstLine="567"/>
        <w:rPr>
          <w:b/>
        </w:rPr>
      </w:pPr>
      <w:r w:rsidRPr="00612040">
        <w:rPr>
          <w:b/>
        </w:rPr>
        <w:t>(c)</w:t>
      </w:r>
      <w:r w:rsidRPr="00612040">
        <w:rPr>
          <w:b/>
        </w:rPr>
        <w:tab/>
        <w:t xml:space="preserve">Be guided by and follow the Committee’s statement on </w:t>
      </w:r>
      <w:r w:rsidR="00612040" w:rsidRPr="00612040">
        <w:rPr>
          <w:b/>
        </w:rPr>
        <w:t>Climate change and the International Covenant on Economic, Social and Cultural Rights</w:t>
      </w:r>
      <w:r w:rsidR="008E66CF">
        <w:rPr>
          <w:b/>
        </w:rPr>
        <w:t>.</w:t>
      </w:r>
      <w:r w:rsidR="00612040" w:rsidRPr="00612040">
        <w:rPr>
          <w:rStyle w:val="FootnoteReference"/>
          <w:b/>
        </w:rPr>
        <w:footnoteReference w:id="10"/>
      </w:r>
    </w:p>
    <w:p w14:paraId="33B80648" w14:textId="77777777" w:rsidR="000E19F5" w:rsidRPr="00781CB9" w:rsidRDefault="000E19F5" w:rsidP="00781CB9">
      <w:pPr>
        <w:pStyle w:val="H23G"/>
        <w:ind w:firstLine="0"/>
      </w:pPr>
      <w:r w:rsidRPr="002F0ED2">
        <w:tab/>
        <w:t>Maximum available resources</w:t>
      </w:r>
      <w:r w:rsidR="00DE1376" w:rsidRPr="002F0ED2">
        <w:t xml:space="preserve"> </w:t>
      </w:r>
    </w:p>
    <w:p w14:paraId="35D5CE53" w14:textId="54C14F68" w:rsidR="000E19F5" w:rsidRPr="002F0ED2" w:rsidRDefault="000E19F5" w:rsidP="002F0ED2">
      <w:pPr>
        <w:pStyle w:val="SingleTxtG"/>
        <w:numPr>
          <w:ilvl w:val="0"/>
          <w:numId w:val="7"/>
        </w:numPr>
        <w:tabs>
          <w:tab w:val="clear" w:pos="1701"/>
          <w:tab w:val="clear" w:pos="2268"/>
          <w:tab w:val="clear" w:pos="2835"/>
        </w:tabs>
        <w:ind w:left="1134" w:firstLine="0"/>
      </w:pPr>
      <w:r w:rsidRPr="002F0ED2">
        <w:t xml:space="preserve">The Committee is </w:t>
      </w:r>
      <w:r w:rsidR="00CB79E8" w:rsidRPr="002F0ED2">
        <w:t xml:space="preserve">also </w:t>
      </w:r>
      <w:r w:rsidRPr="002F0ED2">
        <w:t>concerned about the recent years’ decrease of</w:t>
      </w:r>
      <w:r w:rsidR="00A27996" w:rsidRPr="002F0ED2">
        <w:t xml:space="preserve"> the tax rates</w:t>
      </w:r>
      <w:r w:rsidRPr="002F0ED2">
        <w:t xml:space="preserve"> on corporate income, the persistent relatively high value-added tax rates that are in themselves regressive, and the very low inheritance tax rate, all of which contribute to narrowing the </w:t>
      </w:r>
      <w:r w:rsidRPr="002F0ED2">
        <w:lastRenderedPageBreak/>
        <w:t>fiscal space.</w:t>
      </w:r>
      <w:r w:rsidR="003C79EA" w:rsidRPr="002F0ED2">
        <w:t xml:space="preserve"> The Committee is also concerned about the timely implementation of the National Recovery and Resilience Plan, </w:t>
      </w:r>
      <w:r w:rsidR="00462A71" w:rsidRPr="002F0ED2">
        <w:t xml:space="preserve">potentially </w:t>
      </w:r>
      <w:r w:rsidR="003C79EA" w:rsidRPr="002F0ED2">
        <w:t>hamper</w:t>
      </w:r>
      <w:r w:rsidR="00462A71" w:rsidRPr="002F0ED2">
        <w:t>ing</w:t>
      </w:r>
      <w:r w:rsidR="003C79EA" w:rsidRPr="002F0ED2">
        <w:t xml:space="preserve"> the transfer of funds needed for post-pandemic </w:t>
      </w:r>
      <w:r w:rsidR="00CD68FF" w:rsidRPr="002F0ED2">
        <w:t>financial and economic recovery (</w:t>
      </w:r>
      <w:r w:rsidR="005A3202" w:rsidRPr="002F0ED2">
        <w:t>a</w:t>
      </w:r>
      <w:r w:rsidR="00CD68FF" w:rsidRPr="002F0ED2">
        <w:t>rt. 2 (1)).</w:t>
      </w:r>
    </w:p>
    <w:p w14:paraId="66591BA5" w14:textId="485CE076" w:rsidR="000E19F5" w:rsidRDefault="000E19F5" w:rsidP="002F0ED2">
      <w:pPr>
        <w:pStyle w:val="SingleTxtG"/>
        <w:numPr>
          <w:ilvl w:val="0"/>
          <w:numId w:val="7"/>
        </w:numPr>
        <w:tabs>
          <w:tab w:val="clear" w:pos="1701"/>
          <w:tab w:val="clear" w:pos="2268"/>
          <w:tab w:val="clear" w:pos="2835"/>
        </w:tabs>
        <w:ind w:left="1134" w:firstLine="0"/>
        <w:rPr>
          <w:b/>
        </w:rPr>
      </w:pPr>
      <w:r w:rsidRPr="002F0ED2">
        <w:rPr>
          <w:b/>
        </w:rPr>
        <w:t xml:space="preserve">The Committee recommends that the State party readjust its tax system’s structure in a more progressive direction by revisiting the revenue deriving from taxes levied on corporations’ income, the value-added tax rates, and the inheritance tax rate with a view to expanding the tax base and fiscal space for the progressive realization of economic, social and cultural rights, and to increasing its redistributive effect. </w:t>
      </w:r>
      <w:r w:rsidR="003C79EA" w:rsidRPr="002F0ED2">
        <w:rPr>
          <w:b/>
        </w:rPr>
        <w:t>The Committee also recommends that the State party adhere to the National Recovery and Resilience Plan</w:t>
      </w:r>
      <w:r w:rsidR="00A90046">
        <w:rPr>
          <w:b/>
        </w:rPr>
        <w:t xml:space="preserve"> implementation</w:t>
      </w:r>
      <w:r w:rsidR="001B7CBD" w:rsidRPr="002F0ED2">
        <w:rPr>
          <w:b/>
        </w:rPr>
        <w:t>.</w:t>
      </w:r>
    </w:p>
    <w:p w14:paraId="1615E7B7" w14:textId="0693876A" w:rsidR="00AD4803" w:rsidRPr="00BC27B1" w:rsidRDefault="00422B61" w:rsidP="00BC27B1">
      <w:pPr>
        <w:pStyle w:val="H23G"/>
        <w:ind w:firstLine="0"/>
      </w:pPr>
      <w:r w:rsidRPr="00BC27B1">
        <w:t>Official Development Assistance</w:t>
      </w:r>
    </w:p>
    <w:p w14:paraId="44D7366C" w14:textId="4A902073" w:rsidR="00AD4803" w:rsidRDefault="00AD4803" w:rsidP="00BC27B1">
      <w:pPr>
        <w:pStyle w:val="SingleTxtG"/>
        <w:numPr>
          <w:ilvl w:val="0"/>
          <w:numId w:val="7"/>
        </w:numPr>
        <w:tabs>
          <w:tab w:val="clear" w:pos="1701"/>
          <w:tab w:val="clear" w:pos="2268"/>
          <w:tab w:val="clear" w:pos="2835"/>
        </w:tabs>
        <w:ind w:left="1134" w:firstLine="0"/>
      </w:pPr>
      <w:r w:rsidRPr="002F0ED2">
        <w:t xml:space="preserve">The Committee is concerned that the State party’s Official Development </w:t>
      </w:r>
      <w:r w:rsidR="00422B61">
        <w:t>Assistance</w:t>
      </w:r>
      <w:r w:rsidR="002C4B3B">
        <w:t xml:space="preserve"> </w:t>
      </w:r>
      <w:r w:rsidRPr="002F0ED2">
        <w:t>remain</w:t>
      </w:r>
      <w:r w:rsidR="003F16E0">
        <w:t>s</w:t>
      </w:r>
      <w:r w:rsidRPr="002F0ED2">
        <w:t xml:space="preserve"> well below the United Nations</w:t>
      </w:r>
      <w:r w:rsidR="0087180C">
        <w:t>’</w:t>
      </w:r>
      <w:r w:rsidRPr="002F0ED2">
        <w:t xml:space="preserve"> official target of 0.7 % of the Gross National Income.</w:t>
      </w:r>
    </w:p>
    <w:p w14:paraId="2A541750" w14:textId="1639A92E" w:rsidR="00AD4803" w:rsidRPr="002F0ED2" w:rsidRDefault="00AD4803" w:rsidP="00BC27B1">
      <w:pPr>
        <w:pStyle w:val="SingleTxtG"/>
        <w:numPr>
          <w:ilvl w:val="0"/>
          <w:numId w:val="7"/>
        </w:numPr>
        <w:tabs>
          <w:tab w:val="clear" w:pos="1701"/>
          <w:tab w:val="clear" w:pos="2268"/>
          <w:tab w:val="clear" w:pos="2835"/>
        </w:tabs>
        <w:ind w:left="1134" w:firstLine="0"/>
        <w:rPr>
          <w:b/>
        </w:rPr>
      </w:pPr>
      <w:r w:rsidRPr="002F0ED2">
        <w:rPr>
          <w:b/>
        </w:rPr>
        <w:t xml:space="preserve">The Committee </w:t>
      </w:r>
      <w:r w:rsidR="002C4B3B">
        <w:rPr>
          <w:b/>
        </w:rPr>
        <w:t xml:space="preserve">takes note of the </w:t>
      </w:r>
      <w:r w:rsidR="001124CD">
        <w:rPr>
          <w:b/>
        </w:rPr>
        <w:t>S</w:t>
      </w:r>
      <w:r w:rsidRPr="002F0ED2">
        <w:rPr>
          <w:b/>
        </w:rPr>
        <w:t>tate party</w:t>
      </w:r>
      <w:r w:rsidR="002C4B3B">
        <w:rPr>
          <w:b/>
        </w:rPr>
        <w:t>’s stated intention</w:t>
      </w:r>
      <w:r w:rsidRPr="002F0ED2">
        <w:rPr>
          <w:b/>
        </w:rPr>
        <w:t xml:space="preserve"> </w:t>
      </w:r>
      <w:r>
        <w:rPr>
          <w:b/>
        </w:rPr>
        <w:t xml:space="preserve">to </w:t>
      </w:r>
      <w:r w:rsidRPr="002F0ED2">
        <w:rPr>
          <w:b/>
        </w:rPr>
        <w:t>increase its Official Development A</w:t>
      </w:r>
      <w:r w:rsidR="00422B61">
        <w:rPr>
          <w:b/>
        </w:rPr>
        <w:t>ssistance</w:t>
      </w:r>
      <w:r w:rsidRPr="002F0ED2">
        <w:rPr>
          <w:b/>
        </w:rPr>
        <w:t xml:space="preserve"> to the United </w:t>
      </w:r>
      <w:r w:rsidR="0087180C">
        <w:rPr>
          <w:b/>
        </w:rPr>
        <w:t>Nations’</w:t>
      </w:r>
      <w:r w:rsidR="0087180C" w:rsidRPr="002F0ED2">
        <w:rPr>
          <w:b/>
        </w:rPr>
        <w:t xml:space="preserve"> </w:t>
      </w:r>
      <w:r w:rsidRPr="002F0ED2">
        <w:rPr>
          <w:b/>
        </w:rPr>
        <w:t>official target of 0.7 % of the Gross National Income</w:t>
      </w:r>
      <w:r>
        <w:rPr>
          <w:b/>
        </w:rPr>
        <w:t xml:space="preserve"> </w:t>
      </w:r>
      <w:r w:rsidR="00341AF7">
        <w:rPr>
          <w:b/>
        </w:rPr>
        <w:t>b</w:t>
      </w:r>
      <w:r w:rsidR="002D367F">
        <w:rPr>
          <w:b/>
        </w:rPr>
        <w:t>y</w:t>
      </w:r>
      <w:r w:rsidR="00366FF3">
        <w:rPr>
          <w:b/>
        </w:rPr>
        <w:t xml:space="preserve"> 2030 and </w:t>
      </w:r>
      <w:r>
        <w:rPr>
          <w:b/>
        </w:rPr>
        <w:t>recommends</w:t>
      </w:r>
      <w:r w:rsidR="002C4B3B">
        <w:rPr>
          <w:b/>
        </w:rPr>
        <w:t xml:space="preserve"> that</w:t>
      </w:r>
      <w:r>
        <w:rPr>
          <w:b/>
        </w:rPr>
        <w:t xml:space="preserve"> </w:t>
      </w:r>
      <w:r w:rsidR="002C4B3B">
        <w:rPr>
          <w:b/>
        </w:rPr>
        <w:t>the State part</w:t>
      </w:r>
      <w:r w:rsidR="00BC27B1">
        <w:rPr>
          <w:b/>
        </w:rPr>
        <w:t xml:space="preserve">y implement, without delay, this increase </w:t>
      </w:r>
      <w:r w:rsidR="002C4B3B">
        <w:rPr>
          <w:b/>
        </w:rPr>
        <w:t>to said level</w:t>
      </w:r>
      <w:r w:rsidRPr="002F0ED2">
        <w:rPr>
          <w:b/>
        </w:rPr>
        <w:t>.</w:t>
      </w:r>
    </w:p>
    <w:p w14:paraId="03866C73" w14:textId="77777777" w:rsidR="006C406D" w:rsidRPr="00781CB9" w:rsidRDefault="006C406D" w:rsidP="00781CB9">
      <w:pPr>
        <w:pStyle w:val="H23G"/>
        <w:ind w:firstLine="0"/>
      </w:pPr>
      <w:r w:rsidRPr="002F0ED2">
        <w:t xml:space="preserve">Corruption </w:t>
      </w:r>
    </w:p>
    <w:p w14:paraId="56FB33A5" w14:textId="0B58AF39" w:rsidR="006C406D" w:rsidRPr="002F0ED2" w:rsidRDefault="006C406D" w:rsidP="002F0ED2">
      <w:pPr>
        <w:pStyle w:val="SingleTxtG"/>
        <w:numPr>
          <w:ilvl w:val="0"/>
          <w:numId w:val="7"/>
        </w:numPr>
        <w:tabs>
          <w:tab w:val="clear" w:pos="1701"/>
          <w:tab w:val="clear" w:pos="2268"/>
          <w:tab w:val="clear" w:pos="2835"/>
        </w:tabs>
        <w:ind w:left="1134" w:firstLine="0"/>
        <w:rPr>
          <w:lang w:val="en-US"/>
        </w:rPr>
      </w:pPr>
      <w:r w:rsidRPr="002F0ED2">
        <w:t>Noting the strengthening of the anti-corruption legal framework with the adoption of Law No.3/2019, the Committee remains concerned that corruption continues to be</w:t>
      </w:r>
      <w:r w:rsidRPr="002F0ED2">
        <w:rPr>
          <w:lang w:val="en-US"/>
        </w:rPr>
        <w:t xml:space="preserve"> pervasive within the State party, including in the judiciary. It is also concerned about the inadequate and under-resourced institu</w:t>
      </w:r>
      <w:r w:rsidR="00CD68FF" w:rsidRPr="002F0ED2">
        <w:rPr>
          <w:lang w:val="en-US"/>
        </w:rPr>
        <w:t xml:space="preserve">tions </w:t>
      </w:r>
      <w:r w:rsidR="00422B61">
        <w:rPr>
          <w:lang w:val="en-US"/>
        </w:rPr>
        <w:t>empowered</w:t>
      </w:r>
      <w:r w:rsidR="00CD68FF" w:rsidRPr="002F0ED2">
        <w:rPr>
          <w:lang w:val="en-US"/>
        </w:rPr>
        <w:t xml:space="preserve"> to curb corruption </w:t>
      </w:r>
      <w:r w:rsidR="00CD68FF" w:rsidRPr="002F0ED2">
        <w:t>(art. 2 (1)).</w:t>
      </w:r>
    </w:p>
    <w:p w14:paraId="7DF91FCC" w14:textId="3D1C158A" w:rsidR="006C406D" w:rsidRPr="002F0ED2" w:rsidRDefault="006C406D" w:rsidP="002F0ED2">
      <w:pPr>
        <w:pStyle w:val="SingleTxtG"/>
        <w:numPr>
          <w:ilvl w:val="0"/>
          <w:numId w:val="7"/>
        </w:numPr>
        <w:tabs>
          <w:tab w:val="clear" w:pos="1701"/>
          <w:tab w:val="clear" w:pos="2268"/>
          <w:tab w:val="clear" w:pos="2835"/>
        </w:tabs>
        <w:ind w:left="1134" w:firstLine="0"/>
        <w:rPr>
          <w:b/>
          <w:lang w:val="en-US"/>
        </w:rPr>
      </w:pPr>
      <w:r w:rsidRPr="002F0ED2">
        <w:rPr>
          <w:b/>
          <w:lang w:val="en-US"/>
        </w:rPr>
        <w:t>The Committee reiterates its recommendation</w:t>
      </w:r>
      <w:r w:rsidRPr="002F0ED2">
        <w:rPr>
          <w:rStyle w:val="FootnoteReference"/>
          <w:b/>
          <w:lang w:val="en-US"/>
        </w:rPr>
        <w:footnoteReference w:id="11"/>
      </w:r>
      <w:r w:rsidRPr="002F0ED2">
        <w:rPr>
          <w:b/>
          <w:lang w:val="en-US"/>
        </w:rPr>
        <w:t xml:space="preserve"> that the State party investigate all allegations of corruption</w:t>
      </w:r>
      <w:r w:rsidR="00347322" w:rsidRPr="002F0ED2">
        <w:rPr>
          <w:b/>
          <w:lang w:val="en-US"/>
        </w:rPr>
        <w:t>,</w:t>
      </w:r>
      <w:r w:rsidRPr="002F0ED2">
        <w:rPr>
          <w:b/>
          <w:lang w:val="en-US"/>
        </w:rPr>
        <w:t xml:space="preserve"> </w:t>
      </w:r>
      <w:r w:rsidR="007A1805" w:rsidRPr="002F0ED2">
        <w:rPr>
          <w:b/>
          <w:lang w:val="en-US"/>
        </w:rPr>
        <w:t xml:space="preserve">including in the judiciary, </w:t>
      </w:r>
      <w:r w:rsidRPr="002F0ED2">
        <w:rPr>
          <w:b/>
          <w:lang w:val="en-US"/>
        </w:rPr>
        <w:t xml:space="preserve">and ensure effective implementation of the anti-corruption law. It also </w:t>
      </w:r>
      <w:r w:rsidR="00347322" w:rsidRPr="002F0ED2">
        <w:rPr>
          <w:b/>
          <w:lang w:val="en-US"/>
        </w:rPr>
        <w:t>recommends</w:t>
      </w:r>
      <w:r w:rsidRPr="002F0ED2">
        <w:rPr>
          <w:b/>
          <w:lang w:val="en-US"/>
        </w:rPr>
        <w:t xml:space="preserve"> </w:t>
      </w:r>
      <w:r w:rsidR="0087180C">
        <w:rPr>
          <w:b/>
          <w:lang w:val="en-US"/>
        </w:rPr>
        <w:t xml:space="preserve">that </w:t>
      </w:r>
      <w:r w:rsidRPr="002F0ED2">
        <w:rPr>
          <w:b/>
          <w:lang w:val="en-US"/>
        </w:rPr>
        <w:t xml:space="preserve">the State party allocate sufficient resources to anti-corruption </w:t>
      </w:r>
      <w:r w:rsidR="0012557C" w:rsidRPr="002F0ED2">
        <w:rPr>
          <w:b/>
          <w:lang w:val="en-US"/>
        </w:rPr>
        <w:t>institutions</w:t>
      </w:r>
      <w:r w:rsidRPr="002F0ED2">
        <w:rPr>
          <w:b/>
          <w:lang w:val="en-US"/>
        </w:rPr>
        <w:t>, implement a zero-tolerance policy against corruption and ensure effective protection of victims of corruption, whistle-blowers, and their lawyers.</w:t>
      </w:r>
    </w:p>
    <w:p w14:paraId="5945D3A9" w14:textId="77777777" w:rsidR="000E19F5" w:rsidRPr="002F0ED2" w:rsidRDefault="000E19F5" w:rsidP="00781CB9">
      <w:pPr>
        <w:pStyle w:val="H23G"/>
        <w:ind w:firstLine="0"/>
      </w:pPr>
      <w:r w:rsidRPr="002F0ED2">
        <w:t>Austerity measures and public debt</w:t>
      </w:r>
    </w:p>
    <w:p w14:paraId="66D5F2A7" w14:textId="2EEE759C" w:rsidR="000E19F5" w:rsidRPr="002F0ED2" w:rsidRDefault="000E19F5" w:rsidP="002F0ED2">
      <w:pPr>
        <w:pStyle w:val="SingleTxtG"/>
        <w:numPr>
          <w:ilvl w:val="0"/>
          <w:numId w:val="7"/>
        </w:numPr>
        <w:tabs>
          <w:tab w:val="clear" w:pos="1701"/>
          <w:tab w:val="clear" w:pos="2268"/>
          <w:tab w:val="clear" w:pos="2835"/>
        </w:tabs>
        <w:ind w:left="1134" w:firstLine="0"/>
        <w:rPr>
          <w:bCs/>
        </w:rPr>
      </w:pPr>
      <w:r w:rsidRPr="002F0ED2">
        <w:rPr>
          <w:bCs/>
        </w:rPr>
        <w:t>Noting the State party’s measures to reduce the public debt following the financial crisis, the Committee is concerned about the significant continued adverse impact of these austerity measures on the enjoyment of economic, social and cultural rights, and particularly budget cuts to the health care sector which exacerbated the effects of the COVID-19 pandemic.</w:t>
      </w:r>
      <w:r w:rsidR="00181C62" w:rsidRPr="002F0ED2">
        <w:rPr>
          <w:bCs/>
        </w:rPr>
        <w:t xml:space="preserve"> </w:t>
      </w:r>
      <w:r w:rsidRPr="002F0ED2">
        <w:rPr>
          <w:lang w:val="en-US"/>
        </w:rPr>
        <w:t xml:space="preserve">The Committee is </w:t>
      </w:r>
      <w:r w:rsidR="00181C62" w:rsidRPr="002F0ED2">
        <w:rPr>
          <w:lang w:val="en-US"/>
        </w:rPr>
        <w:t xml:space="preserve">also </w:t>
      </w:r>
      <w:r w:rsidRPr="002F0ED2">
        <w:rPr>
          <w:lang w:val="en-US"/>
        </w:rPr>
        <w:t xml:space="preserve">concerned that budget deficit and debt control might require the adoption of further austerity measures and reduce the State party’s capacity to meet its obligation to mobilize the maximum </w:t>
      </w:r>
      <w:r w:rsidR="00CD68FF" w:rsidRPr="002F0ED2">
        <w:rPr>
          <w:lang w:val="en-US"/>
        </w:rPr>
        <w:t>available resources</w:t>
      </w:r>
      <w:r w:rsidRPr="002F0ED2">
        <w:rPr>
          <w:lang w:val="en-US"/>
        </w:rPr>
        <w:t xml:space="preserve">, as well as the ability to adequately fund </w:t>
      </w:r>
      <w:r w:rsidR="00CD68FF" w:rsidRPr="002F0ED2">
        <w:rPr>
          <w:lang w:val="en-US"/>
        </w:rPr>
        <w:t xml:space="preserve">the health care system </w:t>
      </w:r>
      <w:r w:rsidR="00CD68FF" w:rsidRPr="002F0ED2">
        <w:rPr>
          <w:bCs/>
        </w:rPr>
        <w:t>(arts. 2 (1), 6, 9 and 11).</w:t>
      </w:r>
    </w:p>
    <w:p w14:paraId="38CADEF7" w14:textId="77777777" w:rsidR="000E19F5" w:rsidRPr="002F0ED2" w:rsidRDefault="000E19F5" w:rsidP="002F0ED2">
      <w:pPr>
        <w:pStyle w:val="SingleTxtG"/>
        <w:numPr>
          <w:ilvl w:val="0"/>
          <w:numId w:val="7"/>
        </w:numPr>
        <w:tabs>
          <w:tab w:val="clear" w:pos="1701"/>
          <w:tab w:val="clear" w:pos="2268"/>
          <w:tab w:val="clear" w:pos="2835"/>
        </w:tabs>
        <w:ind w:left="1134" w:firstLine="0"/>
        <w:rPr>
          <w:b/>
          <w:bCs/>
          <w:lang w:val="en-US"/>
        </w:rPr>
      </w:pPr>
      <w:r w:rsidRPr="002F0ED2">
        <w:rPr>
          <w:b/>
          <w:bCs/>
          <w:lang w:val="en-US"/>
        </w:rPr>
        <w:t>The Committee recommends that the State party:</w:t>
      </w:r>
    </w:p>
    <w:p w14:paraId="59D86B97" w14:textId="0CAED429" w:rsidR="000E19F5" w:rsidRPr="002F0ED2" w:rsidRDefault="000E19F5" w:rsidP="000E19F5">
      <w:pPr>
        <w:pStyle w:val="SingleTxtG"/>
        <w:rPr>
          <w:b/>
          <w:bCs/>
          <w:lang w:val="en-US"/>
        </w:rPr>
      </w:pPr>
      <w:r w:rsidRPr="002F0ED2">
        <w:rPr>
          <w:b/>
        </w:rPr>
        <w:tab/>
      </w:r>
      <w:r w:rsidRPr="002F0ED2">
        <w:rPr>
          <w:b/>
          <w:lang w:val="en-US"/>
        </w:rPr>
        <w:t>(a)</w:t>
      </w:r>
      <w:r w:rsidRPr="002F0ED2">
        <w:rPr>
          <w:lang w:val="en-US"/>
        </w:rPr>
        <w:tab/>
      </w:r>
      <w:r w:rsidRPr="002F0ED2">
        <w:rPr>
          <w:b/>
          <w:lang w:val="en-US"/>
        </w:rPr>
        <w:t>A</w:t>
      </w:r>
      <w:r w:rsidRPr="002F0ED2">
        <w:rPr>
          <w:b/>
          <w:bCs/>
          <w:lang w:val="en-US"/>
        </w:rPr>
        <w:t>ssess the impact on the Covenant rights when making budgetary adjustments and take all necessary measures to ensure that any negative impact is reduced to the minimum, paying particular attention to adequately prio</w:t>
      </w:r>
      <w:r w:rsidR="00D67167">
        <w:rPr>
          <w:b/>
          <w:bCs/>
          <w:lang w:val="en-US"/>
        </w:rPr>
        <w:t>ritizing the health care sector;</w:t>
      </w:r>
    </w:p>
    <w:p w14:paraId="5EA47318" w14:textId="5DE71BC1" w:rsidR="000E19F5" w:rsidRPr="002F0ED2" w:rsidRDefault="000E19F5" w:rsidP="000E19F5">
      <w:pPr>
        <w:pStyle w:val="SingleTxtG"/>
        <w:rPr>
          <w:b/>
        </w:rPr>
      </w:pPr>
      <w:r w:rsidRPr="002F0ED2">
        <w:rPr>
          <w:b/>
          <w:bCs/>
        </w:rPr>
        <w:tab/>
        <w:t>(b)</w:t>
      </w:r>
      <w:r w:rsidRPr="002F0ED2">
        <w:rPr>
          <w:b/>
        </w:rPr>
        <w:tab/>
        <w:t>Be guided by and follow the Committee’s open letter dated 16 May 2012 to States parties on economic, social and cultural rights in the context of the economic and financial crisis, and its statement on public debt, austerity measures and the Covenant issued in 2016</w:t>
      </w:r>
      <w:r w:rsidR="008E66CF">
        <w:rPr>
          <w:b/>
        </w:rPr>
        <w:t>.</w:t>
      </w:r>
      <w:r w:rsidRPr="002F0ED2">
        <w:rPr>
          <w:rStyle w:val="FootnoteReference"/>
          <w:b/>
        </w:rPr>
        <w:footnoteReference w:id="12"/>
      </w:r>
    </w:p>
    <w:p w14:paraId="65E0477E" w14:textId="77777777" w:rsidR="00C97081" w:rsidRPr="002F0ED2" w:rsidRDefault="00C97081" w:rsidP="007B24B4">
      <w:pPr>
        <w:pStyle w:val="H23G"/>
        <w:ind w:firstLine="0"/>
      </w:pPr>
      <w:r w:rsidRPr="002F0ED2">
        <w:lastRenderedPageBreak/>
        <w:t>Discrimination</w:t>
      </w:r>
    </w:p>
    <w:p w14:paraId="68239C90" w14:textId="79732213" w:rsidR="00C97081" w:rsidRPr="002F0ED2" w:rsidRDefault="00C97081" w:rsidP="002F0ED2">
      <w:pPr>
        <w:pStyle w:val="SingleTxtG"/>
        <w:numPr>
          <w:ilvl w:val="0"/>
          <w:numId w:val="7"/>
        </w:numPr>
        <w:tabs>
          <w:tab w:val="clear" w:pos="1701"/>
          <w:tab w:val="clear" w:pos="2268"/>
          <w:tab w:val="clear" w:pos="2835"/>
        </w:tabs>
        <w:ind w:left="1134" w:firstLine="0"/>
        <w:rPr>
          <w:bCs/>
        </w:rPr>
      </w:pPr>
      <w:r w:rsidRPr="002F0ED2">
        <w:rPr>
          <w:bCs/>
        </w:rPr>
        <w:t xml:space="preserve">The Committee </w:t>
      </w:r>
      <w:r w:rsidR="005B5EFD" w:rsidRPr="002F0ED2">
        <w:rPr>
          <w:bCs/>
        </w:rPr>
        <w:t xml:space="preserve">is concerned about </w:t>
      </w:r>
      <w:r w:rsidRPr="002F0ED2">
        <w:rPr>
          <w:bCs/>
        </w:rPr>
        <w:t>recent instances of hate speech inciting animosity towa</w:t>
      </w:r>
      <w:r w:rsidR="005B5EFD" w:rsidRPr="002F0ED2">
        <w:rPr>
          <w:bCs/>
        </w:rPr>
        <w:t>rds sexual orientation</w:t>
      </w:r>
      <w:r w:rsidR="003F16E0">
        <w:rPr>
          <w:bCs/>
        </w:rPr>
        <w:t xml:space="preserve">, </w:t>
      </w:r>
      <w:proofErr w:type="spellStart"/>
      <w:r w:rsidR="003F16E0">
        <w:rPr>
          <w:bCs/>
        </w:rPr>
        <w:t>and</w:t>
      </w:r>
      <w:r w:rsidR="005B5EFD" w:rsidRPr="002F0ED2">
        <w:rPr>
          <w:bCs/>
        </w:rPr>
        <w:t>migrant</w:t>
      </w:r>
      <w:proofErr w:type="spellEnd"/>
      <w:r w:rsidRPr="002F0ED2">
        <w:rPr>
          <w:bCs/>
        </w:rPr>
        <w:t>, religion and race-based communities</w:t>
      </w:r>
      <w:r w:rsidR="0027175A" w:rsidRPr="002F0ED2">
        <w:rPr>
          <w:bCs/>
        </w:rPr>
        <w:t>,</w:t>
      </w:r>
      <w:r w:rsidR="005B5EFD" w:rsidRPr="002F0ED2">
        <w:rPr>
          <w:bCs/>
        </w:rPr>
        <w:t xml:space="preserve"> including proposals to deprive these communities of</w:t>
      </w:r>
      <w:r w:rsidR="00182C14" w:rsidRPr="002F0ED2">
        <w:rPr>
          <w:bCs/>
        </w:rPr>
        <w:t xml:space="preserve"> their</w:t>
      </w:r>
      <w:r w:rsidR="005B5EFD" w:rsidRPr="002F0ED2">
        <w:rPr>
          <w:bCs/>
        </w:rPr>
        <w:t xml:space="preserve"> economic, social and cultural rights</w:t>
      </w:r>
      <w:r w:rsidR="00BB4C34" w:rsidRPr="002F0ED2">
        <w:rPr>
          <w:bCs/>
        </w:rPr>
        <w:t xml:space="preserve"> (art. 2 (1))</w:t>
      </w:r>
      <w:r w:rsidR="005B5EFD" w:rsidRPr="002F0ED2">
        <w:rPr>
          <w:bCs/>
        </w:rPr>
        <w:t>.</w:t>
      </w:r>
    </w:p>
    <w:p w14:paraId="393A40D1" w14:textId="062091CF" w:rsidR="00C97081" w:rsidRPr="002F0ED2" w:rsidRDefault="00D6440A" w:rsidP="002F0ED2">
      <w:pPr>
        <w:pStyle w:val="SingleTxtG"/>
        <w:numPr>
          <w:ilvl w:val="0"/>
          <w:numId w:val="7"/>
        </w:numPr>
        <w:tabs>
          <w:tab w:val="clear" w:pos="1701"/>
          <w:tab w:val="clear" w:pos="2268"/>
          <w:tab w:val="clear" w:pos="2835"/>
        </w:tabs>
        <w:ind w:left="1134" w:firstLine="0"/>
        <w:rPr>
          <w:b/>
          <w:lang w:val="en-US"/>
        </w:rPr>
      </w:pPr>
      <w:r>
        <w:rPr>
          <w:b/>
          <w:lang w:val="en-US"/>
        </w:rPr>
        <w:t>T</w:t>
      </w:r>
      <w:r w:rsidR="00B16324" w:rsidRPr="002F0ED2">
        <w:rPr>
          <w:b/>
          <w:lang w:val="en-US"/>
        </w:rPr>
        <w:t xml:space="preserve">he </w:t>
      </w:r>
      <w:r w:rsidR="00C97081" w:rsidRPr="002F0ED2">
        <w:rPr>
          <w:b/>
          <w:lang w:val="en-US"/>
        </w:rPr>
        <w:t>Committee recommends that the State party adopt comprehensive anti-discriminatory policies</w:t>
      </w:r>
      <w:r w:rsidR="00244B59" w:rsidRPr="002F0ED2">
        <w:rPr>
          <w:b/>
          <w:lang w:val="en-US"/>
        </w:rPr>
        <w:t xml:space="preserve"> and laws </w:t>
      </w:r>
      <w:r w:rsidR="005B5EFD" w:rsidRPr="002F0ED2">
        <w:rPr>
          <w:b/>
          <w:lang w:val="en-US"/>
        </w:rPr>
        <w:t xml:space="preserve">to strengthen the </w:t>
      </w:r>
      <w:r w:rsidR="00244B59" w:rsidRPr="002F0ED2">
        <w:rPr>
          <w:b/>
          <w:lang w:val="en-US"/>
        </w:rPr>
        <w:t xml:space="preserve">protection of </w:t>
      </w:r>
      <w:r w:rsidR="005B5EFD" w:rsidRPr="002F0ED2">
        <w:rPr>
          <w:b/>
          <w:lang w:val="en-US"/>
        </w:rPr>
        <w:t xml:space="preserve">economic, social and cultural </w:t>
      </w:r>
      <w:r w:rsidR="00244B59" w:rsidRPr="002F0ED2">
        <w:rPr>
          <w:b/>
          <w:lang w:val="en-US"/>
        </w:rPr>
        <w:t xml:space="preserve">human rights </w:t>
      </w:r>
      <w:r w:rsidR="005B5EFD" w:rsidRPr="002F0ED2">
        <w:rPr>
          <w:b/>
          <w:lang w:val="en-US"/>
        </w:rPr>
        <w:t xml:space="preserve">for all persons </w:t>
      </w:r>
      <w:r w:rsidR="00244B59" w:rsidRPr="002F0ED2">
        <w:rPr>
          <w:b/>
          <w:lang w:val="en-US"/>
        </w:rPr>
        <w:t>against all forms of discrimination</w:t>
      </w:r>
      <w:r w:rsidR="00FE22D2">
        <w:rPr>
          <w:b/>
          <w:lang w:val="en-US"/>
        </w:rPr>
        <w:t>, including hate speech.</w:t>
      </w:r>
      <w:r w:rsidR="000530C0">
        <w:rPr>
          <w:b/>
          <w:lang w:val="en-US"/>
        </w:rPr>
        <w:t xml:space="preserve"> </w:t>
      </w:r>
      <w:r>
        <w:rPr>
          <w:b/>
          <w:lang w:val="en-US"/>
        </w:rPr>
        <w:t>In this regard, the Committee r</w:t>
      </w:r>
      <w:r w:rsidRPr="002F0ED2">
        <w:rPr>
          <w:b/>
          <w:lang w:val="en-US"/>
        </w:rPr>
        <w:t>ecall</w:t>
      </w:r>
      <w:r>
        <w:rPr>
          <w:b/>
          <w:lang w:val="en-US"/>
        </w:rPr>
        <w:t>s</w:t>
      </w:r>
      <w:r w:rsidRPr="002F0ED2">
        <w:rPr>
          <w:b/>
          <w:lang w:val="en-US"/>
        </w:rPr>
        <w:t xml:space="preserve"> its General Comment No. 20 on non-discrimination in economic, social and cultural rights</w:t>
      </w:r>
      <w:r w:rsidR="008E66CF">
        <w:rPr>
          <w:b/>
          <w:lang w:val="en-US"/>
        </w:rPr>
        <w:t>.</w:t>
      </w:r>
      <w:r w:rsidRPr="002F0ED2">
        <w:rPr>
          <w:rStyle w:val="FootnoteReference"/>
          <w:b/>
        </w:rPr>
        <w:footnoteReference w:id="13"/>
      </w:r>
    </w:p>
    <w:p w14:paraId="0AD5591C" w14:textId="77777777" w:rsidR="00DE288B" w:rsidRPr="002F0ED2" w:rsidRDefault="00474AAB" w:rsidP="00781CB9">
      <w:pPr>
        <w:pStyle w:val="H23G"/>
        <w:ind w:firstLine="0"/>
      </w:pPr>
      <w:r w:rsidRPr="002F0ED2">
        <w:t>Persons with disabilities</w:t>
      </w:r>
      <w:r w:rsidR="00CF2EE2" w:rsidRPr="002F0ED2">
        <w:t xml:space="preserve"> </w:t>
      </w:r>
    </w:p>
    <w:p w14:paraId="35C85014" w14:textId="2A866BBF" w:rsidR="00DE288B" w:rsidRPr="002F0ED2" w:rsidRDefault="00DE288B" w:rsidP="002F0ED2">
      <w:pPr>
        <w:pStyle w:val="SingleTxtG"/>
        <w:numPr>
          <w:ilvl w:val="0"/>
          <w:numId w:val="7"/>
        </w:numPr>
        <w:tabs>
          <w:tab w:val="clear" w:pos="1701"/>
          <w:tab w:val="clear" w:pos="2268"/>
          <w:tab w:val="clear" w:pos="2835"/>
        </w:tabs>
        <w:ind w:left="1134" w:firstLine="0"/>
        <w:rPr>
          <w:rFonts w:eastAsia="Malgun Gothic"/>
          <w:b/>
        </w:rPr>
      </w:pPr>
      <w:r w:rsidRPr="002F0ED2">
        <w:t>T</w:t>
      </w:r>
      <w:r w:rsidRPr="002F0ED2">
        <w:rPr>
          <w:lang w:val="en-US"/>
        </w:rPr>
        <w:t>he Committee shares the concerns of the Committee o</w:t>
      </w:r>
      <w:r w:rsidR="001D5BE3">
        <w:rPr>
          <w:lang w:val="en-US"/>
        </w:rPr>
        <w:t>n</w:t>
      </w:r>
      <w:r w:rsidRPr="002F0ED2">
        <w:rPr>
          <w:lang w:val="en-US"/>
        </w:rPr>
        <w:t xml:space="preserve"> the Rights of Persons with Disabilities</w:t>
      </w:r>
      <w:r w:rsidRPr="002F0ED2">
        <w:rPr>
          <w:rStyle w:val="FootnoteReference"/>
          <w:lang w:val="en-US"/>
        </w:rPr>
        <w:footnoteReference w:id="14"/>
      </w:r>
      <w:r w:rsidRPr="002F0ED2">
        <w:rPr>
          <w:lang w:val="en-US"/>
        </w:rPr>
        <w:t xml:space="preserve"> </w:t>
      </w:r>
      <w:r w:rsidRPr="002F0ED2">
        <w:rPr>
          <w:rFonts w:eastAsia="Malgun Gothic"/>
        </w:rPr>
        <w:t>that national legislation lacks a definition of reasonable accommodation and does not include an explicit recognition that the denial of reasonable accommodation constitutes disability-based discrimination</w:t>
      </w:r>
      <w:r w:rsidR="008E66CF">
        <w:rPr>
          <w:rFonts w:eastAsia="Malgun Gothic"/>
        </w:rPr>
        <w:t>,</w:t>
      </w:r>
      <w:r w:rsidRPr="002F0ED2">
        <w:rPr>
          <w:rStyle w:val="FootnoteReference"/>
          <w:rFonts w:eastAsia="Malgun Gothic"/>
        </w:rPr>
        <w:footnoteReference w:id="15"/>
      </w:r>
      <w:r w:rsidR="00C47C1F" w:rsidRPr="002F0ED2">
        <w:rPr>
          <w:rFonts w:eastAsia="Malgun Gothic"/>
        </w:rPr>
        <w:t xml:space="preserve"> and that social protection programmes do not meet the requirements of persons with disabilities </w:t>
      </w:r>
      <w:r w:rsidR="00CD68FF" w:rsidRPr="002F0ED2">
        <w:t>(art. 2 (2))</w:t>
      </w:r>
      <w:r w:rsidRPr="002F0ED2">
        <w:rPr>
          <w:rFonts w:eastAsia="Malgun Gothic"/>
        </w:rPr>
        <w:t xml:space="preserve">. </w:t>
      </w:r>
    </w:p>
    <w:p w14:paraId="60B4DEFD" w14:textId="6128F8AC" w:rsidR="00DE288B" w:rsidRPr="002F0ED2" w:rsidRDefault="00347322" w:rsidP="002F0ED2">
      <w:pPr>
        <w:pStyle w:val="SingleTxtG"/>
        <w:numPr>
          <w:ilvl w:val="0"/>
          <w:numId w:val="7"/>
        </w:numPr>
        <w:tabs>
          <w:tab w:val="clear" w:pos="1701"/>
          <w:tab w:val="clear" w:pos="2268"/>
          <w:tab w:val="clear" w:pos="2835"/>
        </w:tabs>
        <w:ind w:left="1134" w:firstLine="0"/>
        <w:rPr>
          <w:rFonts w:eastAsia="Malgun Gothic"/>
          <w:b/>
          <w:bCs/>
        </w:rPr>
      </w:pPr>
      <w:r w:rsidRPr="002F0ED2">
        <w:rPr>
          <w:rFonts w:eastAsia="Malgun Gothic"/>
          <w:b/>
          <w:bCs/>
        </w:rPr>
        <w:t>T</w:t>
      </w:r>
      <w:r w:rsidR="00DE288B" w:rsidRPr="002F0ED2">
        <w:rPr>
          <w:rFonts w:eastAsia="Malgun Gothic"/>
          <w:b/>
        </w:rPr>
        <w:t xml:space="preserve">he Committee recommends that </w:t>
      </w:r>
      <w:r w:rsidR="00DE288B" w:rsidRPr="002F0ED2">
        <w:rPr>
          <w:rFonts w:eastAsia="Malgun Gothic"/>
          <w:b/>
          <w:bCs/>
        </w:rPr>
        <w:t>the State party enact legislation that explicitly recognize the denial of reasonable accommodation as disability-based discrimination across all areas of life, including within public and private sectors</w:t>
      </w:r>
      <w:r w:rsidRPr="002F0ED2">
        <w:rPr>
          <w:rFonts w:eastAsia="Malgun Gothic"/>
          <w:b/>
          <w:bCs/>
        </w:rPr>
        <w:t>, as</w:t>
      </w:r>
      <w:r w:rsidR="00DE288B" w:rsidRPr="002F0ED2">
        <w:rPr>
          <w:rFonts w:eastAsia="Malgun Gothic"/>
          <w:b/>
          <w:bCs/>
        </w:rPr>
        <w:t xml:space="preserve"> also recommended by the Committee </w:t>
      </w:r>
      <w:r w:rsidR="001219AC">
        <w:rPr>
          <w:rFonts w:eastAsia="Malgun Gothic"/>
          <w:b/>
          <w:bCs/>
        </w:rPr>
        <w:t>o</w:t>
      </w:r>
      <w:r w:rsidR="001D5BE3">
        <w:rPr>
          <w:rFonts w:eastAsia="Malgun Gothic"/>
          <w:b/>
          <w:bCs/>
        </w:rPr>
        <w:t>n</w:t>
      </w:r>
      <w:r w:rsidR="001124CD">
        <w:rPr>
          <w:rFonts w:eastAsia="Malgun Gothic"/>
          <w:b/>
          <w:bCs/>
        </w:rPr>
        <w:t xml:space="preserve"> </w:t>
      </w:r>
      <w:r w:rsidR="00DE288B" w:rsidRPr="002F0ED2">
        <w:rPr>
          <w:rFonts w:eastAsia="Malgun Gothic"/>
          <w:b/>
          <w:bCs/>
        </w:rPr>
        <w:t>the Rights of Persons with Disabilities</w:t>
      </w:r>
      <w:r w:rsidR="0087180C">
        <w:rPr>
          <w:rFonts w:eastAsia="Malgun Gothic"/>
          <w:b/>
          <w:bCs/>
        </w:rPr>
        <w:t>.</w:t>
      </w:r>
      <w:r w:rsidR="00DE288B" w:rsidRPr="002F0ED2">
        <w:rPr>
          <w:rStyle w:val="FootnoteReference"/>
          <w:rFonts w:eastAsia="Malgun Gothic"/>
          <w:b/>
          <w:bCs/>
        </w:rPr>
        <w:footnoteReference w:id="16"/>
      </w:r>
      <w:r w:rsidR="006A28D5">
        <w:rPr>
          <w:rFonts w:eastAsia="Malgun Gothic"/>
          <w:b/>
          <w:bCs/>
        </w:rPr>
        <w:t xml:space="preserve"> </w:t>
      </w:r>
      <w:r w:rsidR="000A0C8E" w:rsidRPr="002F0ED2">
        <w:rPr>
          <w:rFonts w:eastAsia="Malgun Gothic"/>
          <w:b/>
        </w:rPr>
        <w:t xml:space="preserve">The Committee also recommends that the State party ensure </w:t>
      </w:r>
      <w:r w:rsidR="000A0C8E" w:rsidRPr="002F0ED2">
        <w:rPr>
          <w:b/>
        </w:rPr>
        <w:t>that social protection programmes meet the requirements of the diverse range of persons with disabilities on an equal basis with others,</w:t>
      </w:r>
      <w:r w:rsidR="00670FFC" w:rsidRPr="002F0ED2">
        <w:rPr>
          <w:b/>
        </w:rPr>
        <w:t xml:space="preserve"> as required</w:t>
      </w:r>
      <w:r w:rsidR="000A0C8E" w:rsidRPr="002F0ED2">
        <w:rPr>
          <w:b/>
        </w:rPr>
        <w:t xml:space="preserve"> by the </w:t>
      </w:r>
      <w:r w:rsidR="00BB4D34" w:rsidRPr="002F0ED2">
        <w:rPr>
          <w:rFonts w:eastAsia="Malgun Gothic"/>
          <w:b/>
          <w:bCs/>
        </w:rPr>
        <w:t>Committee o</w:t>
      </w:r>
      <w:r w:rsidR="001219AC">
        <w:rPr>
          <w:rFonts w:eastAsia="Malgun Gothic"/>
          <w:b/>
          <w:bCs/>
        </w:rPr>
        <w:t>n</w:t>
      </w:r>
      <w:r w:rsidR="00BB4D34" w:rsidRPr="002F0ED2">
        <w:rPr>
          <w:rFonts w:eastAsia="Malgun Gothic"/>
          <w:b/>
          <w:bCs/>
        </w:rPr>
        <w:t xml:space="preserve"> the Rights of Persons with Disabilities</w:t>
      </w:r>
      <w:r w:rsidR="00BB4D34" w:rsidRPr="002F0ED2">
        <w:rPr>
          <w:rStyle w:val="FootnoteReference"/>
          <w:b/>
        </w:rPr>
        <w:t xml:space="preserve"> </w:t>
      </w:r>
      <w:r w:rsidR="008E66CF">
        <w:rPr>
          <w:rStyle w:val="FootnoteReference"/>
          <w:b/>
        </w:rPr>
        <w:t>.</w:t>
      </w:r>
      <w:r w:rsidR="000A0C8E" w:rsidRPr="002F0ED2">
        <w:rPr>
          <w:rStyle w:val="FootnoteReference"/>
          <w:b/>
        </w:rPr>
        <w:footnoteReference w:id="17"/>
      </w:r>
    </w:p>
    <w:p w14:paraId="15DB73F1" w14:textId="77777777" w:rsidR="00DE288B" w:rsidRPr="00781CB9" w:rsidRDefault="00DE288B" w:rsidP="00781CB9">
      <w:pPr>
        <w:pStyle w:val="H23G"/>
        <w:ind w:firstLine="0"/>
      </w:pPr>
      <w:r w:rsidRPr="00781CB9">
        <w:t>Migrants, asylum seekers and refugees</w:t>
      </w:r>
      <w:r w:rsidR="006062E2" w:rsidRPr="00781CB9">
        <w:t xml:space="preserve"> </w:t>
      </w:r>
    </w:p>
    <w:p w14:paraId="1EFBAAD6" w14:textId="53958C11" w:rsidR="00DE288B" w:rsidRPr="002F0ED2" w:rsidRDefault="00DE288B" w:rsidP="002F0ED2">
      <w:pPr>
        <w:pStyle w:val="SingleTxtG"/>
        <w:numPr>
          <w:ilvl w:val="0"/>
          <w:numId w:val="7"/>
        </w:numPr>
        <w:tabs>
          <w:tab w:val="clear" w:pos="1701"/>
          <w:tab w:val="clear" w:pos="2268"/>
          <w:tab w:val="clear" w:pos="2835"/>
        </w:tabs>
        <w:ind w:left="1134" w:firstLine="0"/>
        <w:rPr>
          <w:lang w:val="en-US"/>
        </w:rPr>
      </w:pPr>
      <w:r w:rsidRPr="002F0ED2">
        <w:rPr>
          <w:lang w:val="en-US"/>
        </w:rPr>
        <w:t xml:space="preserve">The Committee remains concerned about </w:t>
      </w:r>
      <w:r w:rsidR="00BF2424">
        <w:rPr>
          <w:lang w:val="en-US"/>
        </w:rPr>
        <w:t xml:space="preserve">the </w:t>
      </w:r>
      <w:r w:rsidRPr="002F0ED2">
        <w:rPr>
          <w:lang w:val="en-US"/>
        </w:rPr>
        <w:t xml:space="preserve">limited enjoyment of the Covenant rights by </w:t>
      </w:r>
      <w:r w:rsidRPr="002F0ED2">
        <w:t>migrants</w:t>
      </w:r>
      <w:r w:rsidRPr="002F0ED2">
        <w:rPr>
          <w:lang w:val="en-US"/>
        </w:rPr>
        <w:t xml:space="preserve">, asylum seekers and refugees upon arrival in the State party. </w:t>
      </w:r>
      <w:r w:rsidR="00732DB9" w:rsidRPr="002F0ED2">
        <w:rPr>
          <w:lang w:val="en-US"/>
        </w:rPr>
        <w:t>The Committee is also</w:t>
      </w:r>
      <w:r w:rsidR="00462611" w:rsidRPr="002F0ED2">
        <w:rPr>
          <w:lang w:val="en-US"/>
        </w:rPr>
        <w:t xml:space="preserve"> concerned that</w:t>
      </w:r>
      <w:r w:rsidR="00732DB9" w:rsidRPr="002F0ED2">
        <w:rPr>
          <w:lang w:val="en-US"/>
        </w:rPr>
        <w:t xml:space="preserve"> the</w:t>
      </w:r>
      <w:r w:rsidR="00732DB9" w:rsidRPr="002F0ED2">
        <w:rPr>
          <w:b/>
          <w:lang w:val="en-US"/>
        </w:rPr>
        <w:t xml:space="preserve"> </w:t>
      </w:r>
      <w:r w:rsidR="00732DB9" w:rsidRPr="002F0ED2">
        <w:rPr>
          <w:lang w:val="en-US"/>
        </w:rPr>
        <w:t>Law No. 132 of December 1, 2018</w:t>
      </w:r>
      <w:r w:rsidR="00BF2424">
        <w:rPr>
          <w:lang w:val="en-US"/>
        </w:rPr>
        <w:t>,</w:t>
      </w:r>
      <w:r w:rsidR="00732DB9" w:rsidRPr="002F0ED2">
        <w:rPr>
          <w:lang w:val="en-US"/>
        </w:rPr>
        <w:t xml:space="preserve"> on immigration and citizenship </w:t>
      </w:r>
      <w:r w:rsidR="00462611" w:rsidRPr="002F0ED2">
        <w:rPr>
          <w:lang w:val="en-US"/>
        </w:rPr>
        <w:t>has</w:t>
      </w:r>
      <w:r w:rsidR="00732DB9" w:rsidRPr="002F0ED2">
        <w:rPr>
          <w:lang w:val="en-US"/>
        </w:rPr>
        <w:t xml:space="preserve"> contributed to a rise in the number of irregular migrants in the State party a</w:t>
      </w:r>
      <w:r w:rsidR="00726685" w:rsidRPr="002F0ED2">
        <w:rPr>
          <w:lang w:val="en-US"/>
        </w:rPr>
        <w:t>nd has increased</w:t>
      </w:r>
      <w:r w:rsidR="00732DB9" w:rsidRPr="002F0ED2">
        <w:rPr>
          <w:lang w:val="en-US"/>
        </w:rPr>
        <w:t xml:space="preserve"> their risk of exploitation. Furthermore, the Committee is concerned that unclear communication pertaining to various regularization campaigns discouraged </w:t>
      </w:r>
      <w:r w:rsidR="00CD68FF" w:rsidRPr="002F0ED2">
        <w:rPr>
          <w:lang w:val="en-US"/>
        </w:rPr>
        <w:t>applications for regularization (</w:t>
      </w:r>
      <w:r w:rsidR="005A3202" w:rsidRPr="002F0ED2">
        <w:rPr>
          <w:lang w:val="en-US"/>
        </w:rPr>
        <w:t>a</w:t>
      </w:r>
      <w:r w:rsidR="00CD68FF" w:rsidRPr="002F0ED2">
        <w:rPr>
          <w:lang w:val="en-US"/>
        </w:rPr>
        <w:t>rt. 2 (2)).</w:t>
      </w:r>
    </w:p>
    <w:p w14:paraId="37D595C1" w14:textId="4C97580F" w:rsidR="00DE288B" w:rsidRPr="002F0ED2" w:rsidRDefault="00DE288B" w:rsidP="002F0ED2">
      <w:pPr>
        <w:pStyle w:val="SingleTxtG"/>
        <w:numPr>
          <w:ilvl w:val="0"/>
          <w:numId w:val="7"/>
        </w:numPr>
        <w:tabs>
          <w:tab w:val="clear" w:pos="1701"/>
          <w:tab w:val="clear" w:pos="2268"/>
          <w:tab w:val="clear" w:pos="2835"/>
        </w:tabs>
        <w:ind w:left="1134" w:firstLine="0"/>
        <w:rPr>
          <w:b/>
          <w:lang w:val="en-US"/>
        </w:rPr>
      </w:pPr>
      <w:r w:rsidRPr="002F0ED2">
        <w:rPr>
          <w:b/>
          <w:lang w:val="en-US"/>
        </w:rPr>
        <w:t>In implementing its Covenant obligations towards</w:t>
      </w:r>
      <w:r w:rsidR="0021597A" w:rsidRPr="002F0ED2">
        <w:rPr>
          <w:b/>
          <w:lang w:val="en-US"/>
        </w:rPr>
        <w:t xml:space="preserve"> </w:t>
      </w:r>
      <w:r w:rsidR="0087180C">
        <w:rPr>
          <w:b/>
          <w:lang w:val="en-US"/>
        </w:rPr>
        <w:t xml:space="preserve">the </w:t>
      </w:r>
      <w:r w:rsidR="0021597A" w:rsidRPr="002F0ED2">
        <w:rPr>
          <w:b/>
          <w:lang w:val="en-US"/>
        </w:rPr>
        <w:t>protection and promotion of human rights of</w:t>
      </w:r>
      <w:r w:rsidRPr="002F0ED2">
        <w:rPr>
          <w:b/>
          <w:lang w:val="en-US"/>
        </w:rPr>
        <w:t xml:space="preserve"> migrants, asylum seekers and refugees, it is recommended that the State party seek and strengthen international cooperation and assistance, in particular with other European Union member states.</w:t>
      </w:r>
      <w:r w:rsidR="00732DB9" w:rsidRPr="002F0ED2">
        <w:rPr>
          <w:b/>
          <w:lang w:val="en-US"/>
        </w:rPr>
        <w:t xml:space="preserve"> </w:t>
      </w:r>
      <w:r w:rsidRPr="002F0ED2">
        <w:rPr>
          <w:b/>
          <w:lang w:val="en-US"/>
        </w:rPr>
        <w:t xml:space="preserve">The Committee </w:t>
      </w:r>
      <w:r w:rsidR="00732DB9" w:rsidRPr="002F0ED2">
        <w:rPr>
          <w:b/>
          <w:lang w:val="en-US"/>
        </w:rPr>
        <w:t xml:space="preserve">also </w:t>
      </w:r>
      <w:r w:rsidRPr="002F0ED2">
        <w:rPr>
          <w:b/>
          <w:lang w:val="en-US"/>
        </w:rPr>
        <w:t xml:space="preserve">recommends that the State party </w:t>
      </w:r>
      <w:r w:rsidR="001D5BE3">
        <w:rPr>
          <w:b/>
          <w:lang w:val="en-US"/>
        </w:rPr>
        <w:t>review the Law No. 132 of December 1, 2018</w:t>
      </w:r>
      <w:r w:rsidR="00BF2424">
        <w:rPr>
          <w:b/>
          <w:lang w:val="en-US"/>
        </w:rPr>
        <w:t>,</w:t>
      </w:r>
      <w:r w:rsidR="001D5BE3">
        <w:rPr>
          <w:b/>
          <w:lang w:val="en-US"/>
        </w:rPr>
        <w:t xml:space="preserve"> with the aim of </w:t>
      </w:r>
      <w:r w:rsidRPr="002F0ED2">
        <w:rPr>
          <w:b/>
          <w:lang w:val="en-US"/>
        </w:rPr>
        <w:t>increas</w:t>
      </w:r>
      <w:r w:rsidR="001D5BE3">
        <w:rPr>
          <w:b/>
          <w:lang w:val="en-US"/>
        </w:rPr>
        <w:t>ing</w:t>
      </w:r>
      <w:r w:rsidRPr="002F0ED2">
        <w:rPr>
          <w:b/>
          <w:lang w:val="en-US"/>
        </w:rPr>
        <w:t xml:space="preserve"> </w:t>
      </w:r>
      <w:r w:rsidR="0087180C">
        <w:rPr>
          <w:b/>
          <w:lang w:val="en-US"/>
        </w:rPr>
        <w:t xml:space="preserve">the </w:t>
      </w:r>
      <w:r w:rsidRPr="002F0ED2">
        <w:rPr>
          <w:b/>
          <w:lang w:val="en-US"/>
        </w:rPr>
        <w:t>regularization of migrants</w:t>
      </w:r>
      <w:r w:rsidR="001D5BE3">
        <w:rPr>
          <w:b/>
          <w:lang w:val="en-US"/>
        </w:rPr>
        <w:t>, and that</w:t>
      </w:r>
      <w:r w:rsidRPr="002F0ED2">
        <w:rPr>
          <w:b/>
          <w:lang w:val="en-US"/>
        </w:rPr>
        <w:t xml:space="preserve"> </w:t>
      </w:r>
      <w:r w:rsidR="001D5BE3">
        <w:rPr>
          <w:b/>
          <w:lang w:val="en-US"/>
        </w:rPr>
        <w:t xml:space="preserve">the State party should </w:t>
      </w:r>
      <w:r w:rsidRPr="002F0ED2">
        <w:rPr>
          <w:b/>
          <w:lang w:val="en-US"/>
        </w:rPr>
        <w:t xml:space="preserve">ensure legal </w:t>
      </w:r>
      <w:r w:rsidR="00462611" w:rsidRPr="002F0ED2">
        <w:rPr>
          <w:b/>
          <w:lang w:val="en-US"/>
        </w:rPr>
        <w:t xml:space="preserve">and communicative </w:t>
      </w:r>
      <w:r w:rsidRPr="002F0ED2">
        <w:rPr>
          <w:b/>
          <w:lang w:val="en-US"/>
        </w:rPr>
        <w:t>certainty and clarity in regularization instruments</w:t>
      </w:r>
      <w:r w:rsidR="00726685" w:rsidRPr="002F0ED2">
        <w:rPr>
          <w:b/>
          <w:lang w:val="en-US"/>
        </w:rPr>
        <w:t xml:space="preserve"> and campaigns.</w:t>
      </w:r>
      <w:r w:rsidRPr="002F0ED2">
        <w:rPr>
          <w:b/>
          <w:lang w:val="en-US"/>
        </w:rPr>
        <w:t xml:space="preserve"> </w:t>
      </w:r>
    </w:p>
    <w:p w14:paraId="17DEE7EE" w14:textId="00CAED31" w:rsidR="00DE288B" w:rsidRPr="00781CB9" w:rsidRDefault="00DE288B" w:rsidP="00781CB9">
      <w:pPr>
        <w:pStyle w:val="H23G"/>
        <w:ind w:firstLine="0"/>
      </w:pPr>
      <w:r w:rsidRPr="002F0ED2">
        <w:t>Equality</w:t>
      </w:r>
      <w:r w:rsidR="00CD68FF" w:rsidRPr="002F0ED2">
        <w:t xml:space="preserve"> between men and women</w:t>
      </w:r>
      <w:r w:rsidR="002736ED">
        <w:t xml:space="preserve"> </w:t>
      </w:r>
    </w:p>
    <w:p w14:paraId="5D744EA1" w14:textId="77777777" w:rsidR="00DE288B" w:rsidRPr="002F0ED2" w:rsidRDefault="00DE288B" w:rsidP="002F0ED2">
      <w:pPr>
        <w:pStyle w:val="SingleTxtG"/>
        <w:numPr>
          <w:ilvl w:val="0"/>
          <w:numId w:val="7"/>
        </w:numPr>
        <w:tabs>
          <w:tab w:val="clear" w:pos="1701"/>
          <w:tab w:val="clear" w:pos="2268"/>
          <w:tab w:val="clear" w:pos="2835"/>
        </w:tabs>
        <w:ind w:left="1134" w:firstLine="0"/>
        <w:rPr>
          <w:lang w:val="en-US" w:eastAsia="en-GB"/>
        </w:rPr>
      </w:pPr>
      <w:r w:rsidRPr="002F0ED2">
        <w:rPr>
          <w:lang w:val="en-US"/>
        </w:rPr>
        <w:t xml:space="preserve">The Committee remains concerned that gender role stereotypes persist and that women’s representation </w:t>
      </w:r>
      <w:r w:rsidRPr="002F0ED2">
        <w:rPr>
          <w:lang w:val="en-US" w:eastAsia="en-GB"/>
        </w:rPr>
        <w:t>in the judiciary and senior positions within the public administration remains unsatisfactory.</w:t>
      </w:r>
      <w:r w:rsidR="00532D7E" w:rsidRPr="002F0ED2">
        <w:rPr>
          <w:lang w:val="en-US" w:eastAsia="en-GB"/>
        </w:rPr>
        <w:t xml:space="preserve"> </w:t>
      </w:r>
      <w:r w:rsidR="00532D7E" w:rsidRPr="002F0ED2">
        <w:rPr>
          <w:bCs/>
          <w:shd w:val="clear" w:color="auto" w:fill="FFFFFF"/>
        </w:rPr>
        <w:t xml:space="preserve">The Committee is also concerned about the much lower labour </w:t>
      </w:r>
      <w:r w:rsidR="00462611" w:rsidRPr="002F0ED2">
        <w:rPr>
          <w:bCs/>
          <w:shd w:val="clear" w:color="auto" w:fill="FFFFFF"/>
        </w:rPr>
        <w:t xml:space="preserve">market </w:t>
      </w:r>
      <w:r w:rsidR="00532D7E" w:rsidRPr="002F0ED2">
        <w:rPr>
          <w:bCs/>
          <w:shd w:val="clear" w:color="auto" w:fill="FFFFFF"/>
        </w:rPr>
        <w:t>participation rate of women and the</w:t>
      </w:r>
      <w:r w:rsidR="00532D7E" w:rsidRPr="002F0ED2">
        <w:t xml:space="preserve"> concentration of women in traditionally female-dominated professions</w:t>
      </w:r>
      <w:r w:rsidR="00347322" w:rsidRPr="002F0ED2">
        <w:t>, contributing negatively to the gender pay gap</w:t>
      </w:r>
      <w:r w:rsidR="00532D7E" w:rsidRPr="002F0ED2">
        <w:t xml:space="preserve"> (arts. 3 and 7).</w:t>
      </w:r>
    </w:p>
    <w:p w14:paraId="51F96708" w14:textId="03F87F97" w:rsidR="00DE288B" w:rsidRPr="002F0ED2" w:rsidRDefault="00A640EC" w:rsidP="002F0ED2">
      <w:pPr>
        <w:pStyle w:val="SingleTxtG"/>
        <w:numPr>
          <w:ilvl w:val="0"/>
          <w:numId w:val="7"/>
        </w:numPr>
        <w:tabs>
          <w:tab w:val="clear" w:pos="1701"/>
          <w:tab w:val="clear" w:pos="2268"/>
          <w:tab w:val="clear" w:pos="2835"/>
        </w:tabs>
        <w:ind w:left="1134" w:firstLine="0"/>
        <w:rPr>
          <w:b/>
          <w:lang w:val="en-US" w:eastAsia="en-GB"/>
        </w:rPr>
      </w:pPr>
      <w:r>
        <w:rPr>
          <w:b/>
          <w:lang w:val="en-US" w:eastAsia="en-GB"/>
        </w:rPr>
        <w:t>T</w:t>
      </w:r>
      <w:r w:rsidR="00DE288B" w:rsidRPr="002F0ED2">
        <w:rPr>
          <w:b/>
          <w:lang w:val="en-US" w:eastAsia="en-GB"/>
        </w:rPr>
        <w:t>he Committee recommends that the State increase its efforts to combat gender stereotypes, including by increas</w:t>
      </w:r>
      <w:r w:rsidR="00BF2424">
        <w:rPr>
          <w:b/>
          <w:lang w:val="en-US" w:eastAsia="en-GB"/>
        </w:rPr>
        <w:t>ing the</w:t>
      </w:r>
      <w:r w:rsidR="00DE288B" w:rsidRPr="002F0ED2">
        <w:rPr>
          <w:b/>
          <w:lang w:val="en-US" w:eastAsia="en-GB"/>
        </w:rPr>
        <w:t xml:space="preserve"> use of the media and awareness-raising </w:t>
      </w:r>
      <w:r w:rsidR="00DE288B" w:rsidRPr="002F0ED2">
        <w:rPr>
          <w:b/>
          <w:lang w:val="en-US" w:eastAsia="en-GB"/>
        </w:rPr>
        <w:lastRenderedPageBreak/>
        <w:t>campaigns</w:t>
      </w:r>
      <w:r w:rsidR="00462611" w:rsidRPr="002F0ED2">
        <w:rPr>
          <w:b/>
          <w:lang w:val="en-US" w:eastAsia="en-GB"/>
        </w:rPr>
        <w:t xml:space="preserve"> and</w:t>
      </w:r>
      <w:r w:rsidR="00DE288B" w:rsidRPr="002F0ED2">
        <w:rPr>
          <w:b/>
          <w:lang w:val="en-US" w:eastAsia="en-GB"/>
        </w:rPr>
        <w:t xml:space="preserve"> </w:t>
      </w:r>
      <w:r w:rsidR="00BF2424">
        <w:rPr>
          <w:b/>
          <w:lang w:val="en-US" w:eastAsia="en-GB"/>
        </w:rPr>
        <w:t>enhancing</w:t>
      </w:r>
      <w:r w:rsidR="00DE288B" w:rsidRPr="002F0ED2">
        <w:rPr>
          <w:b/>
          <w:lang w:val="en-US" w:eastAsia="en-GB"/>
        </w:rPr>
        <w:t xml:space="preserve"> women’s participation in the judiciary and senior public positions, including by considering quotas.</w:t>
      </w:r>
      <w:r w:rsidR="00532D7E" w:rsidRPr="002F0ED2">
        <w:rPr>
          <w:b/>
          <w:lang w:val="en-US" w:eastAsia="en-GB"/>
        </w:rPr>
        <w:t xml:space="preserve"> </w:t>
      </w:r>
      <w:r w:rsidR="00DE288B" w:rsidRPr="002F0ED2">
        <w:rPr>
          <w:b/>
          <w:bCs/>
        </w:rPr>
        <w:t xml:space="preserve">The Committee </w:t>
      </w:r>
      <w:r w:rsidR="00532D7E" w:rsidRPr="002F0ED2">
        <w:rPr>
          <w:b/>
          <w:bCs/>
        </w:rPr>
        <w:t xml:space="preserve">also </w:t>
      </w:r>
      <w:r w:rsidR="00DE288B" w:rsidRPr="002F0ED2">
        <w:rPr>
          <w:b/>
          <w:bCs/>
        </w:rPr>
        <w:t>recommends that the State party i</w:t>
      </w:r>
      <w:r w:rsidR="00DE288B" w:rsidRPr="002F0ED2">
        <w:rPr>
          <w:b/>
          <w:shd w:val="clear" w:color="auto" w:fill="FFFFFF"/>
        </w:rPr>
        <w:t xml:space="preserve">ntensify its efforts to </w:t>
      </w:r>
      <w:r w:rsidR="00DE288B" w:rsidRPr="002F0ED2">
        <w:rPr>
          <w:rFonts w:eastAsiaTheme="minorEastAsia"/>
          <w:b/>
          <w:shd w:val="clear" w:color="auto" w:fill="FFFFFF"/>
          <w:lang w:eastAsia="ko-KR"/>
        </w:rPr>
        <w:t>close</w:t>
      </w:r>
      <w:r w:rsidR="00DE288B" w:rsidRPr="002F0ED2">
        <w:rPr>
          <w:b/>
          <w:shd w:val="clear" w:color="auto" w:fill="FFFFFF"/>
        </w:rPr>
        <w:t xml:space="preserve"> the gender pay gap</w:t>
      </w:r>
      <w:r w:rsidR="00A200F7" w:rsidRPr="002F0ED2">
        <w:rPr>
          <w:b/>
          <w:shd w:val="clear" w:color="auto" w:fill="FFFFFF"/>
        </w:rPr>
        <w:t>, including</w:t>
      </w:r>
      <w:r w:rsidR="00DE288B" w:rsidRPr="002F0ED2">
        <w:rPr>
          <w:b/>
          <w:shd w:val="clear" w:color="auto" w:fill="FFFFFF"/>
        </w:rPr>
        <w:t xml:space="preserve"> by addressing the gender-based segregation in the labour market, reviewing its social and tax policies and addressing the factors that discourage women from continuing their careers or taking up full-time employment.</w:t>
      </w:r>
      <w:r w:rsidRPr="00A640EC">
        <w:rPr>
          <w:b/>
          <w:lang w:val="en-US" w:eastAsia="en-GB"/>
        </w:rPr>
        <w:t xml:space="preserve"> </w:t>
      </w:r>
      <w:r>
        <w:rPr>
          <w:b/>
          <w:lang w:val="en-US" w:eastAsia="en-GB"/>
        </w:rPr>
        <w:t xml:space="preserve">In this regard, the Committee </w:t>
      </w:r>
      <w:r w:rsidR="00D6440A">
        <w:rPr>
          <w:b/>
          <w:lang w:val="en-US" w:eastAsia="en-GB"/>
        </w:rPr>
        <w:t>r</w:t>
      </w:r>
      <w:r w:rsidRPr="002F0ED2">
        <w:rPr>
          <w:b/>
          <w:lang w:val="en-US" w:eastAsia="en-GB"/>
        </w:rPr>
        <w:t>ecall</w:t>
      </w:r>
      <w:r>
        <w:rPr>
          <w:b/>
          <w:lang w:val="en-US" w:eastAsia="en-GB"/>
        </w:rPr>
        <w:t>s</w:t>
      </w:r>
      <w:r w:rsidRPr="002F0ED2">
        <w:rPr>
          <w:b/>
          <w:lang w:val="en-US" w:eastAsia="en-GB"/>
        </w:rPr>
        <w:t xml:space="preserve"> its general comment No. 16 (2005) on the equal rights of men and women to the enjoyment of all economic, social and cultural rights</w:t>
      </w:r>
      <w:r w:rsidR="008E66CF">
        <w:rPr>
          <w:b/>
          <w:lang w:val="en-US" w:eastAsia="en-GB"/>
        </w:rPr>
        <w:t>,</w:t>
      </w:r>
      <w:r w:rsidRPr="002F0ED2">
        <w:rPr>
          <w:rStyle w:val="FootnoteReference"/>
          <w:b/>
          <w:lang w:eastAsia="en-GB"/>
        </w:rPr>
        <w:footnoteReference w:id="18"/>
      </w:r>
      <w:r w:rsidRPr="002F0ED2">
        <w:rPr>
          <w:b/>
          <w:lang w:val="en-US" w:eastAsia="en-GB"/>
        </w:rPr>
        <w:t xml:space="preserve"> as well as its previous recommendations</w:t>
      </w:r>
      <w:r w:rsidR="008E66CF">
        <w:rPr>
          <w:b/>
          <w:lang w:val="en-US" w:eastAsia="en-GB"/>
        </w:rPr>
        <w:t>.</w:t>
      </w:r>
      <w:r w:rsidRPr="002F0ED2">
        <w:rPr>
          <w:rStyle w:val="FootnoteReference"/>
          <w:b/>
          <w:lang w:val="en-US" w:eastAsia="en-GB"/>
        </w:rPr>
        <w:footnoteReference w:id="19"/>
      </w:r>
    </w:p>
    <w:p w14:paraId="67F27100" w14:textId="77777777" w:rsidR="00090536" w:rsidRPr="002F0ED2" w:rsidRDefault="00090536" w:rsidP="00781CB9">
      <w:pPr>
        <w:pStyle w:val="H23G"/>
        <w:ind w:firstLine="0"/>
      </w:pPr>
      <w:r w:rsidRPr="002F0ED2">
        <w:tab/>
        <w:t>Unemployment</w:t>
      </w:r>
    </w:p>
    <w:p w14:paraId="5AE5F7B2" w14:textId="7326549C" w:rsidR="00090536" w:rsidRPr="002F0ED2" w:rsidRDefault="00F125F7" w:rsidP="002F0ED2">
      <w:pPr>
        <w:pStyle w:val="SingleTxtG"/>
        <w:numPr>
          <w:ilvl w:val="0"/>
          <w:numId w:val="7"/>
        </w:numPr>
        <w:tabs>
          <w:tab w:val="clear" w:pos="1701"/>
          <w:tab w:val="clear" w:pos="2268"/>
          <w:tab w:val="clear" w:pos="2835"/>
        </w:tabs>
        <w:ind w:left="1134" w:firstLine="0"/>
        <w:rPr>
          <w:lang w:val="en-US"/>
        </w:rPr>
      </w:pPr>
      <w:r w:rsidRPr="002F0ED2">
        <w:rPr>
          <w:lang w:val="en-US"/>
        </w:rPr>
        <w:t xml:space="preserve">The Committee is particularly concerned that the youth unemployment rate for </w:t>
      </w:r>
      <w:r w:rsidR="00F24093">
        <w:rPr>
          <w:lang w:val="en-US"/>
        </w:rPr>
        <w:t>women</w:t>
      </w:r>
      <w:r w:rsidR="00F24093" w:rsidRPr="002F0ED2">
        <w:rPr>
          <w:lang w:val="en-US"/>
        </w:rPr>
        <w:t xml:space="preserve"> </w:t>
      </w:r>
      <w:r w:rsidRPr="002F0ED2">
        <w:rPr>
          <w:lang w:val="en-US"/>
        </w:rPr>
        <w:t xml:space="preserve">has recently increased and remains stagnant compared to the last periodic report.  </w:t>
      </w:r>
      <w:r w:rsidR="00090536" w:rsidRPr="002F0ED2">
        <w:rPr>
          <w:lang w:val="en-US"/>
        </w:rPr>
        <w:t xml:space="preserve">The Committee remains concerned that the unemployment rate remains high in the State party for the youth, persons with disabilities, </w:t>
      </w:r>
      <w:r w:rsidR="00D6244B" w:rsidRPr="002F0ED2">
        <w:rPr>
          <w:lang w:val="en-US"/>
        </w:rPr>
        <w:t>in the southern regions and on the islands</w:t>
      </w:r>
      <w:r w:rsidRPr="002F0ED2">
        <w:rPr>
          <w:lang w:val="en-US"/>
        </w:rPr>
        <w:t xml:space="preserve"> (art. 6).</w:t>
      </w:r>
    </w:p>
    <w:p w14:paraId="435C5AAE" w14:textId="2088D8F6" w:rsidR="00090536" w:rsidRPr="002F0ED2" w:rsidRDefault="00090536" w:rsidP="002F0ED2">
      <w:pPr>
        <w:pStyle w:val="SingleTxtG"/>
        <w:numPr>
          <w:ilvl w:val="0"/>
          <w:numId w:val="7"/>
        </w:numPr>
        <w:tabs>
          <w:tab w:val="clear" w:pos="1701"/>
          <w:tab w:val="clear" w:pos="2268"/>
          <w:tab w:val="clear" w:pos="2835"/>
        </w:tabs>
        <w:ind w:left="1134" w:firstLine="0"/>
        <w:rPr>
          <w:b/>
          <w:lang w:val="en-US"/>
        </w:rPr>
      </w:pPr>
      <w:r w:rsidRPr="002F0ED2">
        <w:rPr>
          <w:b/>
          <w:lang w:val="en-US"/>
        </w:rPr>
        <w:t>Recalling its recommendation</w:t>
      </w:r>
      <w:r w:rsidR="00D6244B" w:rsidRPr="002F0ED2">
        <w:rPr>
          <w:b/>
          <w:lang w:val="en-US"/>
        </w:rPr>
        <w:t>s</w:t>
      </w:r>
      <w:r w:rsidR="008E66CF">
        <w:rPr>
          <w:b/>
          <w:lang w:val="en-US"/>
        </w:rPr>
        <w:t>,</w:t>
      </w:r>
      <w:r w:rsidR="00D6244B" w:rsidRPr="002F0ED2">
        <w:rPr>
          <w:rStyle w:val="FootnoteReference"/>
          <w:b/>
          <w:lang w:val="en-US"/>
        </w:rPr>
        <w:footnoteReference w:id="20"/>
      </w:r>
      <w:r w:rsidRPr="002F0ED2">
        <w:rPr>
          <w:b/>
          <w:lang w:val="en-US"/>
        </w:rPr>
        <w:t xml:space="preserve"> the Committee recommends that the State party increase its efforts to address unemployment, </w:t>
      </w:r>
      <w:r w:rsidR="00D6244B" w:rsidRPr="002F0ED2">
        <w:rPr>
          <w:b/>
          <w:lang w:val="en-US"/>
        </w:rPr>
        <w:t xml:space="preserve">for example by </w:t>
      </w:r>
      <w:r w:rsidR="00434237" w:rsidRPr="002F0ED2">
        <w:rPr>
          <w:b/>
          <w:lang w:val="en-US"/>
        </w:rPr>
        <w:t xml:space="preserve">implementing </w:t>
      </w:r>
      <w:r w:rsidRPr="002F0ED2">
        <w:rPr>
          <w:b/>
          <w:lang w:val="en-US"/>
        </w:rPr>
        <w:t xml:space="preserve">targeted public sector employment schemes paying particular attention to the youth and in particular </w:t>
      </w:r>
      <w:r w:rsidR="00E84D13">
        <w:rPr>
          <w:b/>
          <w:lang w:val="en-US"/>
        </w:rPr>
        <w:t xml:space="preserve">to </w:t>
      </w:r>
      <w:r w:rsidR="00F24093">
        <w:rPr>
          <w:b/>
          <w:lang w:val="en-US"/>
        </w:rPr>
        <w:t>young women</w:t>
      </w:r>
      <w:r w:rsidRPr="002F0ED2">
        <w:rPr>
          <w:b/>
          <w:lang w:val="en-US"/>
        </w:rPr>
        <w:t>, persons with disabilities</w:t>
      </w:r>
      <w:r w:rsidR="00A640EC">
        <w:rPr>
          <w:b/>
          <w:lang w:val="en-US"/>
        </w:rPr>
        <w:t>,</w:t>
      </w:r>
      <w:r w:rsidR="00D6244B" w:rsidRPr="002F0ED2">
        <w:rPr>
          <w:b/>
          <w:lang w:val="en-US"/>
        </w:rPr>
        <w:t xml:space="preserve"> and by </w:t>
      </w:r>
      <w:r w:rsidRPr="002F0ED2">
        <w:rPr>
          <w:b/>
          <w:lang w:val="en-US"/>
        </w:rPr>
        <w:t>expand</w:t>
      </w:r>
      <w:r w:rsidR="00D6244B" w:rsidRPr="002F0ED2">
        <w:rPr>
          <w:b/>
          <w:lang w:val="en-US"/>
        </w:rPr>
        <w:t>ing</w:t>
      </w:r>
      <w:r w:rsidRPr="002F0ED2">
        <w:rPr>
          <w:b/>
          <w:lang w:val="en-US"/>
        </w:rPr>
        <w:t xml:space="preserve"> localized employment </w:t>
      </w:r>
      <w:proofErr w:type="spellStart"/>
      <w:r w:rsidRPr="002F0ED2">
        <w:rPr>
          <w:b/>
          <w:lang w:val="en-US"/>
        </w:rPr>
        <w:t>programmes</w:t>
      </w:r>
      <w:proofErr w:type="spellEnd"/>
      <w:r w:rsidRPr="002F0ED2">
        <w:rPr>
          <w:b/>
          <w:lang w:val="en-US"/>
        </w:rPr>
        <w:t xml:space="preserve"> in the Southern provinces and on the islands. </w:t>
      </w:r>
    </w:p>
    <w:p w14:paraId="490F9815" w14:textId="735284EA" w:rsidR="00090536" w:rsidRPr="00781CB9" w:rsidRDefault="00A134FA" w:rsidP="00781CB9">
      <w:pPr>
        <w:pStyle w:val="H23G"/>
        <w:ind w:firstLine="0"/>
      </w:pPr>
      <w:r>
        <w:t xml:space="preserve">Informal economy, </w:t>
      </w:r>
      <w:r w:rsidR="00523B6C">
        <w:t>secu</w:t>
      </w:r>
      <w:r w:rsidR="00532D7E" w:rsidRPr="002F0ED2">
        <w:t xml:space="preserve">rity </w:t>
      </w:r>
      <w:r w:rsidR="00523B6C">
        <w:t xml:space="preserve">in employment </w:t>
      </w:r>
      <w:r w:rsidR="00532D7E" w:rsidRPr="002F0ED2">
        <w:t xml:space="preserve">and social protection </w:t>
      </w:r>
    </w:p>
    <w:p w14:paraId="764A336B" w14:textId="77777777" w:rsidR="00090536" w:rsidRPr="002F0ED2" w:rsidRDefault="00090536" w:rsidP="002F0ED2">
      <w:pPr>
        <w:pStyle w:val="SingleTxtG"/>
        <w:numPr>
          <w:ilvl w:val="0"/>
          <w:numId w:val="7"/>
        </w:numPr>
        <w:tabs>
          <w:tab w:val="clear" w:pos="1701"/>
          <w:tab w:val="clear" w:pos="2268"/>
          <w:tab w:val="clear" w:pos="2835"/>
        </w:tabs>
        <w:ind w:left="1134" w:firstLine="0"/>
      </w:pPr>
      <w:r w:rsidRPr="002F0ED2">
        <w:t xml:space="preserve">The Committee </w:t>
      </w:r>
      <w:r w:rsidRPr="002F0ED2">
        <w:rPr>
          <w:lang w:val="en-US"/>
        </w:rPr>
        <w:t xml:space="preserve">reiterates its concern about the considerable proportion of workers in the informal </w:t>
      </w:r>
      <w:r w:rsidR="007B4D27" w:rsidRPr="002F0ED2">
        <w:rPr>
          <w:lang w:val="en-US"/>
        </w:rPr>
        <w:t xml:space="preserve">economy in the State party, </w:t>
      </w:r>
      <w:r w:rsidRPr="002F0ED2">
        <w:rPr>
          <w:lang w:val="en-US"/>
        </w:rPr>
        <w:t xml:space="preserve">that such workers are not adequately covered by </w:t>
      </w:r>
      <w:proofErr w:type="spellStart"/>
      <w:r w:rsidRPr="002F0ED2">
        <w:rPr>
          <w:lang w:val="en-US"/>
        </w:rPr>
        <w:t>labour</w:t>
      </w:r>
      <w:proofErr w:type="spellEnd"/>
      <w:r w:rsidRPr="002F0ED2">
        <w:rPr>
          <w:lang w:val="en-US"/>
        </w:rPr>
        <w:t xml:space="preserve"> and social protection laws</w:t>
      </w:r>
      <w:r w:rsidR="007B4D27" w:rsidRPr="002F0ED2">
        <w:rPr>
          <w:lang w:val="en-US"/>
        </w:rPr>
        <w:t xml:space="preserve">, and </w:t>
      </w:r>
      <w:r w:rsidRPr="002F0ED2">
        <w:rPr>
          <w:lang w:val="en-US"/>
        </w:rPr>
        <w:t xml:space="preserve">the punitive approach taken by the State party towards </w:t>
      </w:r>
      <w:r w:rsidR="007B4D27" w:rsidRPr="002F0ED2">
        <w:rPr>
          <w:lang w:val="en-US"/>
        </w:rPr>
        <w:t>such workers</w:t>
      </w:r>
      <w:r w:rsidRPr="002F0ED2">
        <w:rPr>
          <w:lang w:val="en-US"/>
        </w:rPr>
        <w:t xml:space="preserve"> (art</w:t>
      </w:r>
      <w:r w:rsidR="005A3202" w:rsidRPr="002F0ED2">
        <w:rPr>
          <w:lang w:val="en-US"/>
        </w:rPr>
        <w:t>s</w:t>
      </w:r>
      <w:r w:rsidRPr="002F0ED2">
        <w:rPr>
          <w:lang w:val="en-US"/>
        </w:rPr>
        <w:t>. 7 and 9).</w:t>
      </w:r>
    </w:p>
    <w:p w14:paraId="17A38F41" w14:textId="77777777" w:rsidR="00090536" w:rsidRPr="002F0ED2" w:rsidRDefault="00090536" w:rsidP="002F0ED2">
      <w:pPr>
        <w:pStyle w:val="SingleTxtG"/>
        <w:numPr>
          <w:ilvl w:val="0"/>
          <w:numId w:val="7"/>
        </w:numPr>
        <w:tabs>
          <w:tab w:val="clear" w:pos="1701"/>
          <w:tab w:val="clear" w:pos="2268"/>
          <w:tab w:val="clear" w:pos="2835"/>
        </w:tabs>
        <w:ind w:left="1134" w:firstLine="0"/>
        <w:rPr>
          <w:b/>
          <w:bCs/>
          <w:lang w:val="en-US"/>
        </w:rPr>
      </w:pPr>
      <w:r w:rsidRPr="002F0ED2">
        <w:rPr>
          <w:b/>
          <w:lang w:val="en-US"/>
        </w:rPr>
        <w:t>The Committee reiterates its recommendation</w:t>
      </w:r>
      <w:r w:rsidRPr="002F0ED2">
        <w:rPr>
          <w:rStyle w:val="FootnoteReference"/>
          <w:b/>
          <w:lang w:val="en-US"/>
        </w:rPr>
        <w:footnoteReference w:id="21"/>
      </w:r>
      <w:r w:rsidRPr="002F0ED2">
        <w:rPr>
          <w:b/>
          <w:lang w:val="en-US"/>
        </w:rPr>
        <w:t xml:space="preserve"> that the State party adopt a holistic approach in addressing the informal economy and</w:t>
      </w:r>
      <w:r w:rsidRPr="002F0ED2">
        <w:rPr>
          <w:b/>
          <w:bCs/>
          <w:lang w:val="en-US"/>
        </w:rPr>
        <w:t xml:space="preserve"> take all measures necessary to reduce the extent of the informal economy and to increase employment opportunities in the formal </w:t>
      </w:r>
      <w:proofErr w:type="spellStart"/>
      <w:r w:rsidRPr="002F0ED2">
        <w:rPr>
          <w:b/>
          <w:bCs/>
          <w:lang w:val="en-US"/>
        </w:rPr>
        <w:t>labour</w:t>
      </w:r>
      <w:proofErr w:type="spellEnd"/>
      <w:r w:rsidRPr="002F0ED2">
        <w:rPr>
          <w:b/>
          <w:bCs/>
          <w:lang w:val="en-US"/>
        </w:rPr>
        <w:t xml:space="preserve"> market.</w:t>
      </w:r>
    </w:p>
    <w:p w14:paraId="78BB5BFE" w14:textId="77777777" w:rsidR="00532D7E" w:rsidRPr="00781CB9" w:rsidRDefault="00532D7E" w:rsidP="00781CB9">
      <w:pPr>
        <w:pStyle w:val="H23G"/>
        <w:ind w:firstLine="0"/>
      </w:pPr>
      <w:r w:rsidRPr="002F0ED2">
        <w:t>Working conditions</w:t>
      </w:r>
    </w:p>
    <w:p w14:paraId="46C525FF" w14:textId="77777777" w:rsidR="00090536" w:rsidRPr="002F0ED2" w:rsidRDefault="00090536" w:rsidP="002F0ED2">
      <w:pPr>
        <w:pStyle w:val="SingleTxtG"/>
        <w:numPr>
          <w:ilvl w:val="0"/>
          <w:numId w:val="7"/>
        </w:numPr>
        <w:tabs>
          <w:tab w:val="clear" w:pos="1701"/>
          <w:tab w:val="clear" w:pos="2268"/>
          <w:tab w:val="clear" w:pos="2835"/>
        </w:tabs>
        <w:ind w:left="1134" w:firstLine="0"/>
        <w:rPr>
          <w:b/>
          <w:bCs/>
          <w:lang w:val="en-US"/>
        </w:rPr>
      </w:pPr>
      <w:r w:rsidRPr="002F0ED2">
        <w:t>The Committee is</w:t>
      </w:r>
      <w:r w:rsidR="005F363C" w:rsidRPr="002F0ED2">
        <w:t xml:space="preserve"> </w:t>
      </w:r>
      <w:r w:rsidRPr="002F0ED2">
        <w:t xml:space="preserve">concerned about </w:t>
      </w:r>
      <w:r w:rsidR="005D3F76" w:rsidRPr="002F0ED2">
        <w:t>the abuse of human rights relating to business activities, including inhumane living and working conditions, occupational health hazards, exposure to pollution, and e</w:t>
      </w:r>
      <w:r w:rsidRPr="002F0ED2">
        <w:t>xploitative practices by employers, especially of migrant workers, in the agriculture, construction, and garment and textile industries (art. 7).</w:t>
      </w:r>
    </w:p>
    <w:p w14:paraId="144F71E5" w14:textId="62D6C5E2" w:rsidR="00090536" w:rsidRPr="002F0ED2" w:rsidRDefault="00BC1A1C" w:rsidP="002F0ED2">
      <w:pPr>
        <w:pStyle w:val="SingleTxtG"/>
        <w:numPr>
          <w:ilvl w:val="0"/>
          <w:numId w:val="7"/>
        </w:numPr>
        <w:tabs>
          <w:tab w:val="clear" w:pos="1701"/>
          <w:tab w:val="clear" w:pos="2268"/>
          <w:tab w:val="clear" w:pos="2835"/>
        </w:tabs>
        <w:ind w:left="1134" w:firstLine="0"/>
        <w:rPr>
          <w:b/>
          <w:bCs/>
        </w:rPr>
      </w:pPr>
      <w:r>
        <w:rPr>
          <w:b/>
          <w:bCs/>
        </w:rPr>
        <w:t>T</w:t>
      </w:r>
      <w:r w:rsidR="00090536" w:rsidRPr="002F0ED2">
        <w:rPr>
          <w:b/>
          <w:bCs/>
        </w:rPr>
        <w:t>he Committee recommends that the State party adequately monitors conditions in the above-mentioned ind</w:t>
      </w:r>
      <w:r w:rsidR="00DE0BBD" w:rsidRPr="002F0ED2">
        <w:rPr>
          <w:b/>
          <w:bCs/>
        </w:rPr>
        <w:t>ustries, including by raising</w:t>
      </w:r>
      <w:r w:rsidR="00090536" w:rsidRPr="002F0ED2">
        <w:rPr>
          <w:b/>
          <w:bCs/>
        </w:rPr>
        <w:t xml:space="preserve"> the level of fines to employers and </w:t>
      </w:r>
      <w:r w:rsidR="00DE0BBD" w:rsidRPr="002F0ED2">
        <w:rPr>
          <w:b/>
          <w:bCs/>
        </w:rPr>
        <w:t xml:space="preserve">increasing </w:t>
      </w:r>
      <w:r w:rsidR="00090536" w:rsidRPr="002F0ED2">
        <w:rPr>
          <w:b/>
          <w:bCs/>
        </w:rPr>
        <w:t>the number of unannounced inspections by the National Labour Inspectorate</w:t>
      </w:r>
      <w:r>
        <w:rPr>
          <w:b/>
          <w:bCs/>
        </w:rPr>
        <w:t>. In this regard, the Committee recalls</w:t>
      </w:r>
      <w:r w:rsidRPr="002F0ED2">
        <w:rPr>
          <w:b/>
          <w:bCs/>
        </w:rPr>
        <w:t xml:space="preserve"> its General comment No. 23 (2016) on the right to just and favourable conditions of work</w:t>
      </w:r>
      <w:r w:rsidR="008E66CF">
        <w:rPr>
          <w:b/>
          <w:bCs/>
        </w:rPr>
        <w:t>.</w:t>
      </w:r>
      <w:r w:rsidRPr="002F0ED2">
        <w:rPr>
          <w:rStyle w:val="FootnoteReference"/>
          <w:b/>
          <w:bCs/>
        </w:rPr>
        <w:footnoteReference w:id="22"/>
      </w:r>
    </w:p>
    <w:p w14:paraId="46D111E4" w14:textId="77777777" w:rsidR="00B16013" w:rsidRPr="002F0ED2" w:rsidRDefault="00B16013" w:rsidP="00781CB9">
      <w:pPr>
        <w:pStyle w:val="H23G"/>
        <w:ind w:firstLine="0"/>
      </w:pPr>
      <w:r w:rsidRPr="002F0ED2">
        <w:t>Old-age pensions</w:t>
      </w:r>
    </w:p>
    <w:p w14:paraId="5DA83E67" w14:textId="3CF82B9C" w:rsidR="00B16013" w:rsidRPr="002F0ED2" w:rsidRDefault="00B16013" w:rsidP="002F0ED2">
      <w:pPr>
        <w:pStyle w:val="SingleTxtG"/>
        <w:numPr>
          <w:ilvl w:val="0"/>
          <w:numId w:val="7"/>
        </w:numPr>
        <w:tabs>
          <w:tab w:val="clear" w:pos="1701"/>
          <w:tab w:val="clear" w:pos="2268"/>
          <w:tab w:val="clear" w:pos="2835"/>
        </w:tabs>
        <w:ind w:left="1134" w:firstLine="0"/>
        <w:rPr>
          <w:lang w:val="en-US"/>
        </w:rPr>
      </w:pPr>
      <w:r w:rsidRPr="002F0ED2">
        <w:rPr>
          <w:lang w:val="en-US"/>
        </w:rPr>
        <w:t xml:space="preserve">The Committee is concerned that the medium to long-term financial sustainability of the pension system is negatively affected by the lack of </w:t>
      </w:r>
      <w:r w:rsidR="001946E1" w:rsidRPr="002F0ED2">
        <w:rPr>
          <w:lang w:val="en-US"/>
        </w:rPr>
        <w:t xml:space="preserve">sufficient </w:t>
      </w:r>
      <w:r w:rsidRPr="002F0ED2">
        <w:rPr>
          <w:lang w:val="en-US"/>
        </w:rPr>
        <w:t xml:space="preserve">measures to adjust to the relatively rapidly </w:t>
      </w:r>
      <w:r w:rsidR="00F76621">
        <w:rPr>
          <w:lang w:val="en-US"/>
        </w:rPr>
        <w:t>ageing</w:t>
      </w:r>
      <w:r w:rsidR="00F76621" w:rsidRPr="002F0ED2">
        <w:rPr>
          <w:lang w:val="en-US"/>
        </w:rPr>
        <w:t xml:space="preserve"> </w:t>
      </w:r>
      <w:r w:rsidRPr="002F0ED2">
        <w:rPr>
          <w:lang w:val="en-US"/>
        </w:rPr>
        <w:t>population</w:t>
      </w:r>
      <w:r w:rsidR="003A586A" w:rsidRPr="002F0ED2">
        <w:rPr>
          <w:lang w:val="en-US"/>
        </w:rPr>
        <w:t>, and that</w:t>
      </w:r>
      <w:r w:rsidRPr="002F0ED2">
        <w:rPr>
          <w:lang w:val="en-US"/>
        </w:rPr>
        <w:t xml:space="preserve"> this may negatively affect retirees’ enjoyment of economic and social rights.</w:t>
      </w:r>
      <w:r w:rsidR="00532D7E" w:rsidRPr="002F0ED2">
        <w:rPr>
          <w:lang w:val="en-US"/>
        </w:rPr>
        <w:t xml:space="preserve"> The Committee is also concerned that the minimum requirements for obtaining the right to earlier retirement age for those working in particularly strenuous and heavy activities may not be adequately flexible to allow those in need of early retirement to benefit from such</w:t>
      </w:r>
      <w:r w:rsidR="00CD68FF" w:rsidRPr="002F0ED2">
        <w:rPr>
          <w:lang w:val="en-US"/>
        </w:rPr>
        <w:t xml:space="preserve"> (art</w:t>
      </w:r>
      <w:r w:rsidR="005A3202" w:rsidRPr="002F0ED2">
        <w:rPr>
          <w:lang w:val="en-US"/>
        </w:rPr>
        <w:t>.</w:t>
      </w:r>
      <w:r w:rsidR="00CD68FF" w:rsidRPr="002F0ED2">
        <w:rPr>
          <w:lang w:val="en-US"/>
        </w:rPr>
        <w:t xml:space="preserve"> 9)</w:t>
      </w:r>
      <w:r w:rsidR="00532D7E" w:rsidRPr="002F0ED2">
        <w:rPr>
          <w:lang w:val="en-US"/>
        </w:rPr>
        <w:t>.</w:t>
      </w:r>
    </w:p>
    <w:p w14:paraId="1A6EE8CF" w14:textId="77777777" w:rsidR="00B16013" w:rsidRPr="002F0ED2" w:rsidRDefault="00B16013" w:rsidP="002F0ED2">
      <w:pPr>
        <w:pStyle w:val="SingleTxtG"/>
        <w:numPr>
          <w:ilvl w:val="0"/>
          <w:numId w:val="7"/>
        </w:numPr>
        <w:tabs>
          <w:tab w:val="clear" w:pos="1701"/>
          <w:tab w:val="clear" w:pos="2268"/>
          <w:tab w:val="clear" w:pos="2835"/>
        </w:tabs>
        <w:ind w:left="1134" w:firstLine="0"/>
        <w:rPr>
          <w:b/>
          <w:lang w:val="en-US"/>
        </w:rPr>
      </w:pPr>
      <w:r w:rsidRPr="002F0ED2">
        <w:rPr>
          <w:b/>
          <w:lang w:val="en-US"/>
        </w:rPr>
        <w:lastRenderedPageBreak/>
        <w:t>The Committee recommends that the State party ensure the medium to long-term financial sustainability of the old-age pension system without negatively affecting</w:t>
      </w:r>
      <w:r w:rsidR="00B42DC9" w:rsidRPr="002F0ED2">
        <w:rPr>
          <w:b/>
          <w:lang w:val="en-US"/>
        </w:rPr>
        <w:t xml:space="preserve"> retirees’</w:t>
      </w:r>
      <w:r w:rsidRPr="002F0ED2">
        <w:rPr>
          <w:b/>
          <w:lang w:val="en-US"/>
        </w:rPr>
        <w:t xml:space="preserve"> enjoyment of economic and social rights. This could include, for example, </w:t>
      </w:r>
      <w:r w:rsidR="001946E1" w:rsidRPr="002F0ED2">
        <w:rPr>
          <w:b/>
          <w:lang w:val="en-US"/>
        </w:rPr>
        <w:t>reducing the number of exceptions to the raise of</w:t>
      </w:r>
      <w:r w:rsidRPr="002F0ED2">
        <w:rPr>
          <w:b/>
          <w:lang w:val="en-US"/>
        </w:rPr>
        <w:t xml:space="preserve"> the retirement age and letting it gradually rise</w:t>
      </w:r>
      <w:r w:rsidR="001946E1" w:rsidRPr="002F0ED2">
        <w:rPr>
          <w:b/>
          <w:lang w:val="en-US"/>
        </w:rPr>
        <w:t xml:space="preserve"> for all categories of persons</w:t>
      </w:r>
      <w:r w:rsidRPr="002F0ED2">
        <w:rPr>
          <w:b/>
          <w:lang w:val="en-US"/>
        </w:rPr>
        <w:t xml:space="preserve"> in tandem with the increase in the average lifespan. </w:t>
      </w:r>
      <w:r w:rsidR="0066787E" w:rsidRPr="002F0ED2">
        <w:rPr>
          <w:b/>
          <w:lang w:val="en-US"/>
        </w:rPr>
        <w:t>Simultaneously, t</w:t>
      </w:r>
      <w:r w:rsidRPr="002F0ED2">
        <w:rPr>
          <w:b/>
          <w:lang w:val="en-US"/>
        </w:rPr>
        <w:t>he Committee recommends that the State party adapt the requirements for an early retirement allowing</w:t>
      </w:r>
      <w:r w:rsidR="00E72532" w:rsidRPr="002F0ED2">
        <w:rPr>
          <w:b/>
          <w:lang w:val="en-US"/>
        </w:rPr>
        <w:t xml:space="preserve"> for a more flexible allocation</w:t>
      </w:r>
      <w:r w:rsidR="0066787E" w:rsidRPr="002F0ED2">
        <w:rPr>
          <w:b/>
          <w:lang w:val="en-US"/>
        </w:rPr>
        <w:t xml:space="preserve"> in individual cases</w:t>
      </w:r>
      <w:r w:rsidR="003663B1" w:rsidRPr="002F0ED2">
        <w:rPr>
          <w:b/>
          <w:lang w:val="en-US"/>
        </w:rPr>
        <w:t>.</w:t>
      </w:r>
    </w:p>
    <w:p w14:paraId="2BE61C8D" w14:textId="77777777" w:rsidR="001801A0" w:rsidRPr="00781CB9" w:rsidRDefault="001801A0" w:rsidP="001801A0">
      <w:pPr>
        <w:pStyle w:val="H23G"/>
        <w:ind w:firstLine="0"/>
      </w:pPr>
      <w:r w:rsidRPr="00781CB9">
        <w:t>Poverty</w:t>
      </w:r>
    </w:p>
    <w:p w14:paraId="35E20E69" w14:textId="17ADDC23" w:rsidR="001801A0" w:rsidRPr="002F0ED2" w:rsidRDefault="001801A0" w:rsidP="002F0ED2">
      <w:pPr>
        <w:pStyle w:val="SingleTxtG"/>
        <w:numPr>
          <w:ilvl w:val="0"/>
          <w:numId w:val="7"/>
        </w:numPr>
        <w:tabs>
          <w:tab w:val="clear" w:pos="1701"/>
          <w:tab w:val="clear" w:pos="2268"/>
          <w:tab w:val="clear" w:pos="2835"/>
        </w:tabs>
        <w:ind w:left="1134" w:firstLine="0"/>
        <w:rPr>
          <w:lang w:val="en-US"/>
        </w:rPr>
      </w:pPr>
      <w:r w:rsidRPr="002F0ED2">
        <w:rPr>
          <w:lang w:val="en-US"/>
        </w:rPr>
        <w:t>The Committee is concerned about the persistent high rates of poverty, which in some areas have increased in recent years, especially in light of the COVID-19 pandemic. It remains particularly concerned about the high rate of child poverty, the disproportionately high level of absolute poverty among non-nationals, and the regional disparities in poverty prevalence (art. 11).</w:t>
      </w:r>
    </w:p>
    <w:p w14:paraId="3C4FAD08" w14:textId="64724F15" w:rsidR="001801A0" w:rsidRPr="002F0ED2" w:rsidRDefault="00640F3F" w:rsidP="002F0ED2">
      <w:pPr>
        <w:pStyle w:val="SingleTxtG"/>
        <w:numPr>
          <w:ilvl w:val="0"/>
          <w:numId w:val="7"/>
        </w:numPr>
        <w:tabs>
          <w:tab w:val="clear" w:pos="1701"/>
          <w:tab w:val="clear" w:pos="2268"/>
          <w:tab w:val="clear" w:pos="2835"/>
        </w:tabs>
        <w:ind w:left="1134" w:firstLine="0"/>
        <w:rPr>
          <w:b/>
          <w:lang w:val="en-US"/>
        </w:rPr>
      </w:pPr>
      <w:r>
        <w:rPr>
          <w:b/>
          <w:lang w:val="en-US"/>
        </w:rPr>
        <w:t>T</w:t>
      </w:r>
      <w:r w:rsidR="001801A0" w:rsidRPr="002F0ED2">
        <w:rPr>
          <w:b/>
          <w:lang w:val="en-US"/>
        </w:rPr>
        <w:t xml:space="preserve">he Committee urges the State party to redouble its efforts to address poverty while paying particular attention to child poverty, poverty in the Southern provinces, and poverty among non-nationals not included in the citizen’s income </w:t>
      </w:r>
      <w:proofErr w:type="spellStart"/>
      <w:r w:rsidR="001801A0" w:rsidRPr="002F0ED2">
        <w:rPr>
          <w:b/>
          <w:lang w:val="en-US"/>
        </w:rPr>
        <w:t>programme</w:t>
      </w:r>
      <w:proofErr w:type="spellEnd"/>
      <w:r w:rsidR="001801A0" w:rsidRPr="002F0ED2">
        <w:rPr>
          <w:b/>
          <w:lang w:val="en-US"/>
        </w:rPr>
        <w:t xml:space="preserve"> (</w:t>
      </w:r>
      <w:proofErr w:type="spellStart"/>
      <w:r w:rsidR="001801A0" w:rsidRPr="002F0ED2">
        <w:rPr>
          <w:b/>
          <w:i/>
          <w:lang w:val="en-US"/>
        </w:rPr>
        <w:t>reddito</w:t>
      </w:r>
      <w:proofErr w:type="spellEnd"/>
      <w:r w:rsidR="001801A0" w:rsidRPr="002F0ED2">
        <w:rPr>
          <w:b/>
          <w:i/>
          <w:lang w:val="en-US"/>
        </w:rPr>
        <w:t xml:space="preserve"> di </w:t>
      </w:r>
      <w:proofErr w:type="spellStart"/>
      <w:r w:rsidR="001801A0" w:rsidRPr="002F0ED2">
        <w:rPr>
          <w:b/>
          <w:i/>
          <w:lang w:val="en-US"/>
        </w:rPr>
        <w:t>cittadinanza</w:t>
      </w:r>
      <w:proofErr w:type="spellEnd"/>
      <w:r w:rsidR="001801A0" w:rsidRPr="002F0ED2">
        <w:rPr>
          <w:b/>
          <w:i/>
          <w:lang w:val="en-US"/>
        </w:rPr>
        <w:t>)</w:t>
      </w:r>
      <w:r w:rsidR="001801A0" w:rsidRPr="002F0ED2">
        <w:rPr>
          <w:b/>
          <w:lang w:val="en-US"/>
        </w:rPr>
        <w:t>, including by considering increasing direct cash transfers to the most</w:t>
      </w:r>
      <w:r w:rsidR="00C42D9B" w:rsidRPr="002F0ED2">
        <w:rPr>
          <w:b/>
          <w:lang w:val="en-US"/>
        </w:rPr>
        <w:t xml:space="preserve"> </w:t>
      </w:r>
      <w:r w:rsidR="001801A0" w:rsidRPr="002F0ED2">
        <w:rPr>
          <w:b/>
          <w:lang w:val="en-US"/>
        </w:rPr>
        <w:t xml:space="preserve">disadvantaged and </w:t>
      </w:r>
      <w:proofErr w:type="spellStart"/>
      <w:r w:rsidR="001801A0" w:rsidRPr="002F0ED2">
        <w:rPr>
          <w:b/>
          <w:lang w:val="en-US"/>
        </w:rPr>
        <w:t>marginalised</w:t>
      </w:r>
      <w:proofErr w:type="spellEnd"/>
      <w:r w:rsidR="001801A0" w:rsidRPr="002F0ED2">
        <w:rPr>
          <w:b/>
          <w:lang w:val="en-US"/>
        </w:rPr>
        <w:t xml:space="preserve">. </w:t>
      </w:r>
      <w:r>
        <w:rPr>
          <w:b/>
          <w:lang w:val="en-US"/>
        </w:rPr>
        <w:t>In this regard, the Committee recalls</w:t>
      </w:r>
      <w:r w:rsidRPr="002F0ED2">
        <w:rPr>
          <w:b/>
          <w:lang w:val="en-US"/>
        </w:rPr>
        <w:t xml:space="preserve"> its recommendation</w:t>
      </w:r>
      <w:r w:rsidRPr="002F0ED2">
        <w:rPr>
          <w:rStyle w:val="FootnoteReference"/>
          <w:b/>
          <w:lang w:val="en-US"/>
        </w:rPr>
        <w:footnoteReference w:id="23"/>
      </w:r>
      <w:r w:rsidRPr="002F0ED2">
        <w:rPr>
          <w:b/>
          <w:lang w:val="en-US"/>
        </w:rPr>
        <w:t xml:space="preserve"> and refer</w:t>
      </w:r>
      <w:r w:rsidR="0034638B">
        <w:rPr>
          <w:b/>
          <w:lang w:val="en-US"/>
        </w:rPr>
        <w:t>s</w:t>
      </w:r>
      <w:r w:rsidRPr="002F0ED2">
        <w:rPr>
          <w:b/>
          <w:lang w:val="en-US"/>
        </w:rPr>
        <w:t xml:space="preserve"> to its statement on poverty and the International Covenant on Economic, Social and Cultural Rights</w:t>
      </w:r>
      <w:r w:rsidR="008E66CF">
        <w:rPr>
          <w:b/>
          <w:lang w:val="en-US"/>
        </w:rPr>
        <w:t>.</w:t>
      </w:r>
      <w:r w:rsidRPr="002F0ED2">
        <w:rPr>
          <w:rStyle w:val="FootnoteReference"/>
          <w:b/>
          <w:lang w:val="en-US"/>
        </w:rPr>
        <w:footnoteReference w:id="24"/>
      </w:r>
    </w:p>
    <w:p w14:paraId="57ADF268" w14:textId="276AA7F9" w:rsidR="001801A0" w:rsidRPr="00781CB9" w:rsidRDefault="001801A0" w:rsidP="00781CB9">
      <w:pPr>
        <w:pStyle w:val="H23G"/>
        <w:ind w:firstLine="0"/>
      </w:pPr>
      <w:r w:rsidRPr="002F0ED2">
        <w:t xml:space="preserve">Right to adequate housing  </w:t>
      </w:r>
    </w:p>
    <w:p w14:paraId="0C4AE5FF" w14:textId="6FB0DDE9" w:rsidR="001801A0" w:rsidRPr="002F0ED2" w:rsidRDefault="00113DB0" w:rsidP="00AA0911">
      <w:pPr>
        <w:pStyle w:val="SingleTxtG"/>
        <w:numPr>
          <w:ilvl w:val="0"/>
          <w:numId w:val="7"/>
        </w:numPr>
        <w:tabs>
          <w:tab w:val="clear" w:pos="1701"/>
          <w:tab w:val="clear" w:pos="2268"/>
          <w:tab w:val="clear" w:pos="2835"/>
        </w:tabs>
        <w:ind w:left="1134" w:firstLine="0"/>
      </w:pPr>
      <w:r>
        <w:t>The Committee</w:t>
      </w:r>
      <w:r w:rsidR="00322E38">
        <w:t xml:space="preserve"> is concerned that the </w:t>
      </w:r>
      <w:r w:rsidR="00322E38" w:rsidRPr="002F0ED2">
        <w:t>most disadvantaged and marginalized groups</w:t>
      </w:r>
      <w:r w:rsidR="00964646">
        <w:t xml:space="preserve">’ ability to afford </w:t>
      </w:r>
      <w:r w:rsidR="00E62F93">
        <w:t xml:space="preserve">adequate </w:t>
      </w:r>
      <w:r w:rsidR="00964646">
        <w:t xml:space="preserve">housing is threatened by rising prices. The Committee is also concerned that </w:t>
      </w:r>
      <w:r w:rsidR="001801A0" w:rsidRPr="002F0ED2">
        <w:t>Roma people continue to live in settlements where basic facilities are inadequate or lacking</w:t>
      </w:r>
      <w:r w:rsidR="00AB2DBC">
        <w:t>, that</w:t>
      </w:r>
      <w:r w:rsidR="0034638B">
        <w:t xml:space="preserve"> </w:t>
      </w:r>
      <w:r w:rsidR="00964646">
        <w:t>d</w:t>
      </w:r>
      <w:r w:rsidR="001801A0" w:rsidRPr="002F0ED2">
        <w:t xml:space="preserve">e-facto residential segregation of Roma communities persists; </w:t>
      </w:r>
      <w:r w:rsidR="00964646">
        <w:t xml:space="preserve">and that </w:t>
      </w:r>
      <w:r w:rsidR="001801A0" w:rsidRPr="002F0ED2">
        <w:t>Roma are subject to discrimination when seeking housing on the private rental market</w:t>
      </w:r>
      <w:r w:rsidR="00CD68FF" w:rsidRPr="002F0ED2">
        <w:t xml:space="preserve"> (art. 11).</w:t>
      </w:r>
    </w:p>
    <w:p w14:paraId="70C7B76F" w14:textId="03E2E3BD" w:rsidR="00964646" w:rsidRPr="0092348E" w:rsidRDefault="001801A0" w:rsidP="00AA0911">
      <w:pPr>
        <w:pStyle w:val="SingleTxtG"/>
        <w:numPr>
          <w:ilvl w:val="0"/>
          <w:numId w:val="7"/>
        </w:numPr>
        <w:tabs>
          <w:tab w:val="clear" w:pos="1701"/>
          <w:tab w:val="clear" w:pos="2268"/>
          <w:tab w:val="clear" w:pos="2835"/>
        </w:tabs>
        <w:ind w:left="1134" w:firstLine="0"/>
        <w:rPr>
          <w:b/>
          <w:lang w:val="en-US"/>
        </w:rPr>
      </w:pPr>
      <w:r w:rsidRPr="0092348E">
        <w:rPr>
          <w:b/>
          <w:lang w:val="en-US"/>
        </w:rPr>
        <w:t xml:space="preserve">The Committee recommends that the State party </w:t>
      </w:r>
      <w:r w:rsidR="00964646" w:rsidRPr="003E239C">
        <w:rPr>
          <w:b/>
          <w:lang w:val="en-US"/>
        </w:rPr>
        <w:t xml:space="preserve">increase housing subsidies for those unable </w:t>
      </w:r>
      <w:r w:rsidR="00E62F93">
        <w:rPr>
          <w:b/>
          <w:lang w:val="en-US"/>
        </w:rPr>
        <w:t>to obtain affordable housing and</w:t>
      </w:r>
      <w:r w:rsidR="00964646" w:rsidRPr="003E239C">
        <w:rPr>
          <w:b/>
          <w:lang w:val="en-US"/>
        </w:rPr>
        <w:t xml:space="preserve"> </w:t>
      </w:r>
      <w:r w:rsidR="00964646" w:rsidRPr="00CB07B7">
        <w:rPr>
          <w:b/>
          <w:lang w:val="en-US"/>
        </w:rPr>
        <w:t xml:space="preserve">ensure </w:t>
      </w:r>
      <w:r w:rsidR="00964646" w:rsidRPr="00AA0911">
        <w:rPr>
          <w:b/>
        </w:rPr>
        <w:t xml:space="preserve">sustainable access to </w:t>
      </w:r>
      <w:r w:rsidR="00B06FD0">
        <w:rPr>
          <w:b/>
        </w:rPr>
        <w:t>basic facilities necessary for adequate housing.</w:t>
      </w:r>
      <w:r w:rsidR="000548D5">
        <w:rPr>
          <w:b/>
        </w:rPr>
        <w:t xml:space="preserve"> The Committee also recommends that the State party</w:t>
      </w:r>
      <w:r w:rsidR="00964646" w:rsidRPr="00AA0911">
        <w:rPr>
          <w:b/>
        </w:rPr>
        <w:t xml:space="preserve"> adopt targeted housing measures for Roma to prevent any direct and indirect discrimination </w:t>
      </w:r>
      <w:r w:rsidR="0087180C">
        <w:rPr>
          <w:b/>
        </w:rPr>
        <w:t>against</w:t>
      </w:r>
      <w:r w:rsidR="00964646" w:rsidRPr="00AA0911">
        <w:rPr>
          <w:b/>
        </w:rPr>
        <w:t xml:space="preserve"> Roma.</w:t>
      </w:r>
      <w:r w:rsidR="00A60C12">
        <w:rPr>
          <w:b/>
        </w:rPr>
        <w:t xml:space="preserve"> </w:t>
      </w:r>
      <w:r w:rsidR="00B06FD0">
        <w:rPr>
          <w:b/>
        </w:rPr>
        <w:t>I</w:t>
      </w:r>
      <w:r w:rsidR="0062766F">
        <w:rPr>
          <w:b/>
        </w:rPr>
        <w:t>n these</w:t>
      </w:r>
      <w:r w:rsidR="00B06FD0">
        <w:rPr>
          <w:b/>
        </w:rPr>
        <w:t xml:space="preserve"> regards</w:t>
      </w:r>
      <w:r w:rsidR="00DB3350">
        <w:rPr>
          <w:b/>
        </w:rPr>
        <w:t>, t</w:t>
      </w:r>
      <w:r w:rsidR="00A60C12">
        <w:rPr>
          <w:b/>
        </w:rPr>
        <w:t>he Committee recalls its General comment No. 4 on t</w:t>
      </w:r>
      <w:r w:rsidR="00A60C12" w:rsidRPr="00A60C12">
        <w:rPr>
          <w:b/>
        </w:rPr>
        <w:t>he right to adequate housing</w:t>
      </w:r>
      <w:r w:rsidR="008E66CF">
        <w:rPr>
          <w:b/>
        </w:rPr>
        <w:t>.</w:t>
      </w:r>
      <w:r w:rsidR="00A87CEC">
        <w:rPr>
          <w:rStyle w:val="FootnoteReference"/>
          <w:b/>
        </w:rPr>
        <w:footnoteReference w:id="25"/>
      </w:r>
    </w:p>
    <w:p w14:paraId="591F4E37" w14:textId="77777777" w:rsidR="001801A0" w:rsidRPr="00781CB9" w:rsidRDefault="001801A0" w:rsidP="00781CB9">
      <w:pPr>
        <w:pStyle w:val="H23G"/>
        <w:ind w:firstLine="0"/>
      </w:pPr>
      <w:r w:rsidRPr="002F0ED2">
        <w:tab/>
        <w:t xml:space="preserve">Food security </w:t>
      </w:r>
    </w:p>
    <w:p w14:paraId="2108685A" w14:textId="4ABA83BA" w:rsidR="001801A0" w:rsidRPr="002F0ED2" w:rsidRDefault="001801A0" w:rsidP="002F0ED2">
      <w:pPr>
        <w:pStyle w:val="SingleTxtG"/>
        <w:numPr>
          <w:ilvl w:val="0"/>
          <w:numId w:val="7"/>
        </w:numPr>
        <w:tabs>
          <w:tab w:val="clear" w:pos="1701"/>
          <w:tab w:val="clear" w:pos="2268"/>
          <w:tab w:val="clear" w:pos="2835"/>
        </w:tabs>
        <w:ind w:left="1134" w:firstLine="0"/>
        <w:rPr>
          <w:lang w:val="en-US"/>
        </w:rPr>
      </w:pPr>
      <w:r w:rsidRPr="002F0ED2">
        <w:t>The Committee is concerned about the impact of the rising cost of food on the most disadvantaged and marginalized groups, including migrants, persons and families with low income, and persons living in the Southern regions (art. 11).</w:t>
      </w:r>
    </w:p>
    <w:p w14:paraId="5A980C67" w14:textId="77777777" w:rsidR="001801A0" w:rsidRPr="002F0ED2" w:rsidRDefault="001801A0" w:rsidP="002F0ED2">
      <w:pPr>
        <w:pStyle w:val="SingleTxtG"/>
        <w:numPr>
          <w:ilvl w:val="0"/>
          <w:numId w:val="7"/>
        </w:numPr>
        <w:tabs>
          <w:tab w:val="clear" w:pos="1701"/>
          <w:tab w:val="clear" w:pos="2268"/>
          <w:tab w:val="clear" w:pos="2835"/>
        </w:tabs>
        <w:ind w:left="1134" w:firstLine="0"/>
        <w:rPr>
          <w:b/>
          <w:lang w:val="en-US"/>
        </w:rPr>
      </w:pPr>
      <w:r w:rsidRPr="002F0ED2">
        <w:rPr>
          <w:b/>
          <w:lang w:val="en-US"/>
        </w:rPr>
        <w:t>The Committee urges the State party to take immediate action to address the rising food costs, including by adopting emergency action plans incorporating clear-cut targets for ensuring adequate access to food for all persons in the State party, and enact and/or increase subsidies to food banks and other charitable organizations that provide food aid.</w:t>
      </w:r>
    </w:p>
    <w:p w14:paraId="16209EBE" w14:textId="77777777" w:rsidR="001801A0" w:rsidRPr="00781CB9" w:rsidRDefault="001801A0" w:rsidP="00781CB9">
      <w:pPr>
        <w:pStyle w:val="H23G"/>
        <w:ind w:firstLine="0"/>
      </w:pPr>
      <w:r w:rsidRPr="00781CB9">
        <w:t>Agricultural policy</w:t>
      </w:r>
    </w:p>
    <w:p w14:paraId="7C7691E5" w14:textId="7CE8CA41" w:rsidR="001801A0" w:rsidRPr="002F0ED2" w:rsidRDefault="001801A0" w:rsidP="002F0ED2">
      <w:pPr>
        <w:pStyle w:val="SingleTxtG"/>
        <w:numPr>
          <w:ilvl w:val="0"/>
          <w:numId w:val="7"/>
        </w:numPr>
        <w:tabs>
          <w:tab w:val="clear" w:pos="1701"/>
          <w:tab w:val="clear" w:pos="2268"/>
          <w:tab w:val="clear" w:pos="2835"/>
        </w:tabs>
        <w:ind w:left="1134" w:firstLine="0"/>
      </w:pPr>
      <w:r w:rsidRPr="002F0ED2">
        <w:t xml:space="preserve">The Committee is concerned that the increasing severity and occurrence of droughts in recent years has made small-scale farmers increasingly vulnerable to aggressive land </w:t>
      </w:r>
      <w:r w:rsidR="00A2346E">
        <w:t>purchases</w:t>
      </w:r>
      <w:r w:rsidR="00A2346E" w:rsidRPr="002F0ED2">
        <w:t xml:space="preserve"> </w:t>
      </w:r>
      <w:r w:rsidRPr="002F0ED2">
        <w:t xml:space="preserve">by large farming businesses or developers. Furthermore, the Committee is </w:t>
      </w:r>
      <w:r w:rsidRPr="002F0ED2">
        <w:lastRenderedPageBreak/>
        <w:t xml:space="preserve">concerned that the imbalanced power-structure of the food economy forces producers to take shortcuts that either increase production, such as </w:t>
      </w:r>
      <w:r w:rsidR="00A2346E">
        <w:t xml:space="preserve">the </w:t>
      </w:r>
      <w:r w:rsidRPr="002F0ED2">
        <w:t xml:space="preserve">aggressive use of pesticides, or cut production costs, such as lowering salaries for farm workers </w:t>
      </w:r>
      <w:r w:rsidR="00E34F3A" w:rsidRPr="002F0ED2">
        <w:t xml:space="preserve">and </w:t>
      </w:r>
      <w:r w:rsidRPr="002F0ED2">
        <w:t xml:space="preserve">offering far less than </w:t>
      </w:r>
      <w:r w:rsidR="00E34F3A" w:rsidRPr="002F0ED2">
        <w:t xml:space="preserve">the </w:t>
      </w:r>
      <w:r w:rsidRPr="002F0ED2">
        <w:t xml:space="preserve">minimum </w:t>
      </w:r>
      <w:r w:rsidR="00E34F3A" w:rsidRPr="002F0ED2">
        <w:t>wage</w:t>
      </w:r>
      <w:r w:rsidRPr="002F0ED2">
        <w:t xml:space="preserve"> or compromising safety measures (art</w:t>
      </w:r>
      <w:r w:rsidR="005A3202" w:rsidRPr="002F0ED2">
        <w:t>.</w:t>
      </w:r>
      <w:r w:rsidRPr="002F0ED2">
        <w:t xml:space="preserve"> 11). </w:t>
      </w:r>
    </w:p>
    <w:p w14:paraId="6BC80B34" w14:textId="09A40991" w:rsidR="001801A0" w:rsidRPr="002F0ED2" w:rsidRDefault="00B46BB7" w:rsidP="002F0ED2">
      <w:pPr>
        <w:pStyle w:val="SingleTxtG"/>
        <w:numPr>
          <w:ilvl w:val="0"/>
          <w:numId w:val="7"/>
        </w:numPr>
        <w:tabs>
          <w:tab w:val="clear" w:pos="1701"/>
          <w:tab w:val="clear" w:pos="2268"/>
          <w:tab w:val="clear" w:pos="2835"/>
        </w:tabs>
        <w:ind w:left="1134" w:firstLine="0"/>
        <w:rPr>
          <w:b/>
          <w:lang w:val="en-US"/>
        </w:rPr>
      </w:pPr>
      <w:r w:rsidRPr="002F0ED2">
        <w:rPr>
          <w:b/>
          <w:lang w:val="en-US"/>
        </w:rPr>
        <w:t>T</w:t>
      </w:r>
      <w:r w:rsidR="001801A0" w:rsidRPr="002F0ED2">
        <w:rPr>
          <w:b/>
          <w:lang w:val="en-US"/>
        </w:rPr>
        <w:t>he Committee recommends that the State party support the income of smallholders in order to reduce their production costs, further increase the monitoring of the use of banned pesticides</w:t>
      </w:r>
      <w:r w:rsidR="00A2346E">
        <w:rPr>
          <w:b/>
          <w:lang w:val="en-US"/>
        </w:rPr>
        <w:t>,</w:t>
      </w:r>
      <w:r w:rsidR="001801A0" w:rsidRPr="002F0ED2">
        <w:rPr>
          <w:b/>
          <w:lang w:val="en-US"/>
        </w:rPr>
        <w:t xml:space="preserve"> and establish positive incentives and assistance for organic and biodynamic farming and natural wine production. </w:t>
      </w:r>
      <w:r w:rsidRPr="002F0ED2">
        <w:rPr>
          <w:b/>
          <w:lang w:val="en-US"/>
        </w:rPr>
        <w:t>In this regard, the Committee recalls</w:t>
      </w:r>
      <w:r w:rsidR="001801A0" w:rsidRPr="002F0ED2">
        <w:rPr>
          <w:b/>
          <w:lang w:val="en-US"/>
        </w:rPr>
        <w:t xml:space="preserve"> the recommendations of the Special Rapporteur on the Right to Food</w:t>
      </w:r>
      <w:r w:rsidR="008E66CF">
        <w:rPr>
          <w:b/>
          <w:lang w:val="en-US"/>
        </w:rPr>
        <w:t>.</w:t>
      </w:r>
      <w:r w:rsidR="001801A0" w:rsidRPr="002F0ED2">
        <w:rPr>
          <w:rStyle w:val="FootnoteReference"/>
          <w:b/>
          <w:lang w:val="en-US"/>
        </w:rPr>
        <w:footnoteReference w:id="26"/>
      </w:r>
    </w:p>
    <w:p w14:paraId="7462C465" w14:textId="77777777" w:rsidR="00CF2EE2" w:rsidRPr="00781CB9" w:rsidRDefault="001707AE" w:rsidP="00781CB9">
      <w:pPr>
        <w:pStyle w:val="H23G"/>
        <w:ind w:firstLine="0"/>
      </w:pPr>
      <w:r w:rsidRPr="002F0ED2">
        <w:t>Climate change adaptation</w:t>
      </w:r>
      <w:r w:rsidR="001801A0" w:rsidRPr="002F0ED2">
        <w:t xml:space="preserve"> </w:t>
      </w:r>
    </w:p>
    <w:p w14:paraId="0C15564C" w14:textId="77777777" w:rsidR="00592E41" w:rsidRPr="002F0ED2" w:rsidRDefault="00592E41" w:rsidP="002F0ED2">
      <w:pPr>
        <w:pStyle w:val="SingleTxtG"/>
        <w:numPr>
          <w:ilvl w:val="0"/>
          <w:numId w:val="7"/>
        </w:numPr>
        <w:tabs>
          <w:tab w:val="clear" w:pos="1701"/>
          <w:tab w:val="clear" w:pos="2268"/>
          <w:tab w:val="clear" w:pos="2835"/>
        </w:tabs>
        <w:ind w:left="1134" w:firstLine="0"/>
      </w:pPr>
      <w:r w:rsidRPr="002F0ED2">
        <w:t>The Committee is concerned that the environmental consequences of climate change have a considerable impact on the enjoyment of economic, social and cultural rights in the State party, including an increase in and severity of heatwaves that have disproportionally impacted the health of older persons, sea-level rises,</w:t>
      </w:r>
      <w:r w:rsidRPr="002F0ED2">
        <w:rPr>
          <w:b/>
        </w:rPr>
        <w:t xml:space="preserve"> </w:t>
      </w:r>
      <w:r w:rsidRPr="002F0ED2">
        <w:t>degradation of arable land, droughts, storms, and lack of freshwater resources</w:t>
      </w:r>
      <w:r w:rsidR="00CD68FF" w:rsidRPr="002F0ED2">
        <w:t xml:space="preserve"> (art. 11).</w:t>
      </w:r>
    </w:p>
    <w:p w14:paraId="299C61F9" w14:textId="6B509225" w:rsidR="00592E41" w:rsidRPr="002F0ED2" w:rsidRDefault="00592E41" w:rsidP="002F0ED2">
      <w:pPr>
        <w:pStyle w:val="SingleTxtG"/>
        <w:numPr>
          <w:ilvl w:val="0"/>
          <w:numId w:val="7"/>
        </w:numPr>
        <w:tabs>
          <w:tab w:val="clear" w:pos="1701"/>
          <w:tab w:val="clear" w:pos="2268"/>
          <w:tab w:val="clear" w:pos="2835"/>
        </w:tabs>
        <w:ind w:left="1134" w:firstLine="0"/>
        <w:rPr>
          <w:b/>
        </w:rPr>
      </w:pPr>
      <w:r w:rsidRPr="002F0ED2">
        <w:rPr>
          <w:b/>
        </w:rPr>
        <w:t>The Committee recommends that the State party take all adaption measures necessary to protect the environment and address environmental degradation, taking into account its effects on economic, social and cultural rights. This could, for example, take the form of concrete, detailed and locally-oriented contingency planning for heatwaves including action plans for homes for older persons, water rationing, expansion of drip-irrigation techniques, dike-building, and storm-proofing of public and private buildings.</w:t>
      </w:r>
    </w:p>
    <w:p w14:paraId="6F67686B" w14:textId="77777777" w:rsidR="00C42D9B" w:rsidRPr="002F0ED2" w:rsidRDefault="00C42D9B" w:rsidP="00781CB9">
      <w:pPr>
        <w:pStyle w:val="H23G"/>
        <w:ind w:firstLine="0"/>
      </w:pPr>
      <w:r w:rsidRPr="002F0ED2">
        <w:tab/>
        <w:t xml:space="preserve">Right to health </w:t>
      </w:r>
    </w:p>
    <w:p w14:paraId="6D1DBE57" w14:textId="7572BB2F" w:rsidR="00C42D9B" w:rsidRPr="002F0ED2" w:rsidRDefault="00C42D9B" w:rsidP="002F0ED2">
      <w:pPr>
        <w:pStyle w:val="SingleTxtG"/>
        <w:numPr>
          <w:ilvl w:val="0"/>
          <w:numId w:val="7"/>
        </w:numPr>
        <w:tabs>
          <w:tab w:val="clear" w:pos="1701"/>
          <w:tab w:val="clear" w:pos="2268"/>
          <w:tab w:val="clear" w:pos="2835"/>
        </w:tabs>
        <w:ind w:left="1134" w:firstLine="0"/>
        <w:rPr>
          <w:b/>
        </w:rPr>
      </w:pPr>
      <w:r w:rsidRPr="002F0ED2">
        <w:rPr>
          <w:lang w:val="en-US"/>
        </w:rPr>
        <w:t>The Committee remains concerned about lack of access to basic health-care services adversely affecting populations living in the Southern provinces. The Committee is also concerned about the broader health care system’s viability due to the built-up backlog from operations, procedures</w:t>
      </w:r>
      <w:r w:rsidR="008F651A">
        <w:rPr>
          <w:lang w:val="en-US"/>
        </w:rPr>
        <w:t xml:space="preserve"> and</w:t>
      </w:r>
      <w:r w:rsidRPr="002F0ED2">
        <w:rPr>
          <w:lang w:val="en-US"/>
        </w:rPr>
        <w:t xml:space="preserve"> medical examinations being postponed during the COVID-19 pandemic</w:t>
      </w:r>
      <w:r w:rsidR="00CD68FF" w:rsidRPr="002F0ED2">
        <w:rPr>
          <w:lang w:val="en-US"/>
        </w:rPr>
        <w:t xml:space="preserve"> </w:t>
      </w:r>
      <w:r w:rsidR="00CD68FF" w:rsidRPr="002F0ED2">
        <w:t>(art. 12)</w:t>
      </w:r>
      <w:r w:rsidRPr="002F0ED2">
        <w:rPr>
          <w:lang w:val="en-US"/>
        </w:rPr>
        <w:t>.</w:t>
      </w:r>
    </w:p>
    <w:p w14:paraId="291BF7FB" w14:textId="6B1FCEB5" w:rsidR="00C42D9B" w:rsidRPr="002F0ED2" w:rsidRDefault="00C42D9B" w:rsidP="005A2C69">
      <w:pPr>
        <w:pStyle w:val="SingleTxtG"/>
        <w:numPr>
          <w:ilvl w:val="0"/>
          <w:numId w:val="7"/>
        </w:numPr>
        <w:tabs>
          <w:tab w:val="clear" w:pos="1701"/>
          <w:tab w:val="clear" w:pos="2268"/>
          <w:tab w:val="clear" w:pos="2835"/>
        </w:tabs>
        <w:ind w:left="1134" w:firstLine="0"/>
        <w:rPr>
          <w:b/>
          <w:lang w:val="en-US"/>
        </w:rPr>
      </w:pPr>
      <w:r w:rsidRPr="002F0ED2">
        <w:rPr>
          <w:b/>
          <w:lang w:val="en-US"/>
        </w:rPr>
        <w:t>Recalling its recommendation</w:t>
      </w:r>
      <w:r w:rsidR="008E66CF">
        <w:rPr>
          <w:b/>
          <w:lang w:val="en-US"/>
        </w:rPr>
        <w:t>,</w:t>
      </w:r>
      <w:r w:rsidRPr="002F0ED2">
        <w:rPr>
          <w:rStyle w:val="FootnoteReference"/>
          <w:b/>
          <w:lang w:val="en-US"/>
        </w:rPr>
        <w:footnoteReference w:id="27"/>
      </w:r>
      <w:r w:rsidRPr="002F0ED2">
        <w:rPr>
          <w:b/>
          <w:lang w:val="en-US"/>
        </w:rPr>
        <w:t xml:space="preserve"> the Committee recommends that the State party increase health-care funding to poorer regions’ basic health-care services with a view to bridging the north/south gap and ensuring equal access to health care. It also recommends that the State party earmark additional funding to specifically reduce the health care system’s backlog from the COVID-19 pandemic.</w:t>
      </w:r>
      <w:r w:rsidR="005A2C69">
        <w:rPr>
          <w:b/>
          <w:lang w:val="en-US"/>
        </w:rPr>
        <w:t xml:space="preserve"> In this regard, the C</w:t>
      </w:r>
      <w:r w:rsidR="00B44A19">
        <w:rPr>
          <w:b/>
          <w:lang w:val="en-US"/>
        </w:rPr>
        <w:t>ommittee recalls</w:t>
      </w:r>
      <w:r w:rsidR="005A2C69">
        <w:rPr>
          <w:b/>
          <w:lang w:val="en-US"/>
        </w:rPr>
        <w:t xml:space="preserve"> its General comment No. 14 on</w:t>
      </w:r>
      <w:r w:rsidR="005A2C69" w:rsidRPr="005A2C69">
        <w:rPr>
          <w:b/>
          <w:lang w:val="en-US"/>
        </w:rPr>
        <w:t xml:space="preserve"> </w:t>
      </w:r>
      <w:r w:rsidR="005A2C69">
        <w:rPr>
          <w:b/>
          <w:lang w:val="en-US"/>
        </w:rPr>
        <w:t>t</w:t>
      </w:r>
      <w:r w:rsidR="005A2C69" w:rsidRPr="005A2C69">
        <w:rPr>
          <w:b/>
          <w:lang w:val="en-US"/>
        </w:rPr>
        <w:t>he right to the highest attainable standard of health</w:t>
      </w:r>
      <w:r w:rsidR="008E66CF">
        <w:rPr>
          <w:b/>
          <w:lang w:val="en-US"/>
        </w:rPr>
        <w:t>.</w:t>
      </w:r>
      <w:r w:rsidR="005A2C69">
        <w:rPr>
          <w:rStyle w:val="FootnoteReference"/>
          <w:b/>
        </w:rPr>
        <w:footnoteReference w:id="28"/>
      </w:r>
    </w:p>
    <w:p w14:paraId="31053313" w14:textId="77777777" w:rsidR="00C42D9B" w:rsidRPr="002F0ED2" w:rsidRDefault="00C42D9B" w:rsidP="00781CB9">
      <w:pPr>
        <w:pStyle w:val="H23G"/>
        <w:ind w:firstLine="0"/>
      </w:pPr>
      <w:r w:rsidRPr="002F0ED2">
        <w:t xml:space="preserve">Obesity </w:t>
      </w:r>
    </w:p>
    <w:p w14:paraId="2F85200B" w14:textId="77777777" w:rsidR="00B46BB7" w:rsidRPr="002F0ED2" w:rsidRDefault="00B46BB7" w:rsidP="002F0ED2">
      <w:pPr>
        <w:pStyle w:val="SingleTxtG"/>
        <w:numPr>
          <w:ilvl w:val="0"/>
          <w:numId w:val="7"/>
        </w:numPr>
        <w:tabs>
          <w:tab w:val="clear" w:pos="1701"/>
          <w:tab w:val="clear" w:pos="2268"/>
          <w:tab w:val="clear" w:pos="2835"/>
        </w:tabs>
        <w:ind w:left="1134" w:firstLine="0"/>
      </w:pPr>
      <w:r w:rsidRPr="002F0ED2">
        <w:t xml:space="preserve">The Committee is concerned about the persistent high levels of child obesity, </w:t>
      </w:r>
      <w:r w:rsidR="00466619" w:rsidRPr="002F0ED2">
        <w:t>particularly</w:t>
      </w:r>
      <w:r w:rsidRPr="002F0ED2">
        <w:t xml:space="preserve"> in the Southern regions</w:t>
      </w:r>
      <w:r w:rsidR="00CD68FF" w:rsidRPr="002F0ED2">
        <w:t xml:space="preserve"> (art. 12)</w:t>
      </w:r>
      <w:r w:rsidRPr="002F0ED2">
        <w:t xml:space="preserve">. </w:t>
      </w:r>
    </w:p>
    <w:p w14:paraId="212B0C0E" w14:textId="77777777" w:rsidR="00B46BB7" w:rsidRPr="002F0ED2" w:rsidRDefault="00B46BB7" w:rsidP="002F0ED2">
      <w:pPr>
        <w:pStyle w:val="SingleTxtG"/>
        <w:numPr>
          <w:ilvl w:val="0"/>
          <w:numId w:val="7"/>
        </w:numPr>
        <w:tabs>
          <w:tab w:val="clear" w:pos="1701"/>
          <w:tab w:val="clear" w:pos="2268"/>
          <w:tab w:val="clear" w:pos="2835"/>
        </w:tabs>
        <w:ind w:left="1134" w:firstLine="0"/>
        <w:rPr>
          <w:b/>
          <w:lang w:val="en-US"/>
        </w:rPr>
      </w:pPr>
      <w:r w:rsidRPr="002F0ED2">
        <w:rPr>
          <w:b/>
          <w:lang w:val="en-US"/>
        </w:rPr>
        <w:t>The Committee reiterates its recommendation</w:t>
      </w:r>
      <w:r w:rsidRPr="002F0ED2">
        <w:rPr>
          <w:rStyle w:val="FootnoteReference"/>
          <w:b/>
          <w:lang w:val="en-US"/>
        </w:rPr>
        <w:footnoteReference w:id="29"/>
      </w:r>
      <w:r w:rsidRPr="002F0ED2">
        <w:rPr>
          <w:b/>
          <w:lang w:val="en-US"/>
        </w:rPr>
        <w:t xml:space="preserve"> that the State party </w:t>
      </w:r>
      <w:r w:rsidR="009D46F0" w:rsidRPr="002F0ED2">
        <w:rPr>
          <w:b/>
          <w:lang w:val="en-US"/>
        </w:rPr>
        <w:t>introduce</w:t>
      </w:r>
      <w:r w:rsidRPr="002F0ED2">
        <w:rPr>
          <w:b/>
          <w:lang w:val="en-US"/>
        </w:rPr>
        <w:t xml:space="preserve"> higher taxes on junk foods and sweet beverages</w:t>
      </w:r>
      <w:r w:rsidR="007A59A6" w:rsidRPr="002F0ED2">
        <w:rPr>
          <w:b/>
          <w:lang w:val="en-US"/>
        </w:rPr>
        <w:t xml:space="preserve">, </w:t>
      </w:r>
      <w:r w:rsidRPr="002F0ED2">
        <w:rPr>
          <w:b/>
          <w:lang w:val="en-US"/>
        </w:rPr>
        <w:t>lower taxes on healthy food products</w:t>
      </w:r>
      <w:r w:rsidR="009D46F0" w:rsidRPr="002F0ED2">
        <w:rPr>
          <w:b/>
          <w:lang w:val="en-US"/>
        </w:rPr>
        <w:t xml:space="preserve">, </w:t>
      </w:r>
      <w:r w:rsidRPr="002F0ED2">
        <w:rPr>
          <w:b/>
          <w:lang w:val="en-US"/>
        </w:rPr>
        <w:t xml:space="preserve">ensure mandatory physical exercise in the primary school system, and increase earmarked funding to Southern regions’ anti-obesity </w:t>
      </w:r>
      <w:proofErr w:type="spellStart"/>
      <w:r w:rsidRPr="002F0ED2">
        <w:rPr>
          <w:b/>
          <w:lang w:val="en-US"/>
        </w:rPr>
        <w:t>programmes</w:t>
      </w:r>
      <w:proofErr w:type="spellEnd"/>
      <w:r w:rsidRPr="002F0ED2">
        <w:rPr>
          <w:b/>
          <w:lang w:val="en-US"/>
        </w:rPr>
        <w:t xml:space="preserve"> for children. </w:t>
      </w:r>
    </w:p>
    <w:p w14:paraId="0B7A488F" w14:textId="77777777" w:rsidR="0067690F" w:rsidRPr="00781CB9" w:rsidRDefault="0067690F" w:rsidP="00781CB9">
      <w:pPr>
        <w:pStyle w:val="H23G"/>
        <w:ind w:firstLine="0"/>
      </w:pPr>
      <w:r w:rsidRPr="00781CB9">
        <w:lastRenderedPageBreak/>
        <w:t>S</w:t>
      </w:r>
      <w:r w:rsidR="00CD68FF" w:rsidRPr="00781CB9">
        <w:t>exual and reproductive rights</w:t>
      </w:r>
    </w:p>
    <w:p w14:paraId="6D3E56C2" w14:textId="77777777" w:rsidR="0067690F" w:rsidRPr="002F0ED2" w:rsidRDefault="0067690F" w:rsidP="002F0ED2">
      <w:pPr>
        <w:pStyle w:val="SingleTxtG"/>
        <w:numPr>
          <w:ilvl w:val="0"/>
          <w:numId w:val="7"/>
        </w:numPr>
        <w:tabs>
          <w:tab w:val="clear" w:pos="1701"/>
          <w:tab w:val="clear" w:pos="2268"/>
          <w:tab w:val="clear" w:pos="2835"/>
        </w:tabs>
        <w:ind w:left="1134" w:firstLine="0"/>
        <w:rPr>
          <w:lang w:val="en-US"/>
        </w:rPr>
      </w:pPr>
      <w:r w:rsidRPr="002F0ED2">
        <w:rPr>
          <w:lang w:val="en-US"/>
        </w:rPr>
        <w:t>The Committee remains concerned about the continued limited availability of, and accessibility to, abortion services, exacerbated by health personnel conscientiously objecting to carrying out such operations, leading pregnant women to undergo unsafe abortions (art. 12).</w:t>
      </w:r>
    </w:p>
    <w:p w14:paraId="0B935541" w14:textId="341A8472" w:rsidR="0067690F" w:rsidRPr="002F0ED2" w:rsidRDefault="00640F3F" w:rsidP="002F0ED2">
      <w:pPr>
        <w:pStyle w:val="SingleTxtG"/>
        <w:numPr>
          <w:ilvl w:val="0"/>
          <w:numId w:val="7"/>
        </w:numPr>
        <w:tabs>
          <w:tab w:val="clear" w:pos="1701"/>
          <w:tab w:val="clear" w:pos="2268"/>
          <w:tab w:val="clear" w:pos="2835"/>
        </w:tabs>
        <w:ind w:left="1134" w:firstLine="0"/>
        <w:rPr>
          <w:b/>
          <w:lang w:val="en-US"/>
        </w:rPr>
      </w:pPr>
      <w:r>
        <w:rPr>
          <w:b/>
          <w:shd w:val="clear" w:color="auto" w:fill="FFFFFF"/>
        </w:rPr>
        <w:t>T</w:t>
      </w:r>
      <w:r w:rsidR="0067690F" w:rsidRPr="002F0ED2">
        <w:rPr>
          <w:b/>
          <w:bCs/>
          <w:lang w:val="en-US" w:eastAsia="en-GB"/>
        </w:rPr>
        <w:t>he Committee reiterates its recommendation</w:t>
      </w:r>
      <w:r w:rsidR="0067690F" w:rsidRPr="002F0ED2">
        <w:rPr>
          <w:rStyle w:val="FootnoteReference"/>
          <w:b/>
          <w:bCs/>
          <w:sz w:val="20"/>
          <w:lang w:val="en-US" w:eastAsia="en-GB"/>
        </w:rPr>
        <w:footnoteReference w:id="30"/>
      </w:r>
      <w:r w:rsidR="0067690F" w:rsidRPr="002F0ED2">
        <w:rPr>
          <w:b/>
          <w:lang w:val="en-US"/>
        </w:rPr>
        <w:t xml:space="preserve"> </w:t>
      </w:r>
      <w:r w:rsidR="0067690F" w:rsidRPr="002F0ED2">
        <w:rPr>
          <w:b/>
          <w:bCs/>
          <w:lang w:val="en-US" w:eastAsia="en-GB"/>
        </w:rPr>
        <w:t xml:space="preserve">that the State party guarantee access to abortion services and appropriate referral services and ensure that the exercise of conscientious objection by </w:t>
      </w:r>
      <w:r w:rsidR="0067690F" w:rsidRPr="002F0ED2">
        <w:rPr>
          <w:b/>
          <w:lang w:val="en-US"/>
        </w:rPr>
        <w:t>health-care personnel</w:t>
      </w:r>
      <w:r w:rsidR="0067690F" w:rsidRPr="002F0ED2">
        <w:rPr>
          <w:b/>
          <w:bCs/>
          <w:lang w:val="en-US" w:eastAsia="en-GB"/>
        </w:rPr>
        <w:t xml:space="preserve"> does not pose an obstacle for women who wish to</w:t>
      </w:r>
      <w:r w:rsidR="0067690F" w:rsidRPr="002F0ED2">
        <w:rPr>
          <w:b/>
          <w:lang w:val="en-US"/>
        </w:rPr>
        <w:t xml:space="preserve"> </w:t>
      </w:r>
      <w:r w:rsidR="0067690F" w:rsidRPr="002F0ED2">
        <w:rPr>
          <w:b/>
          <w:bCs/>
          <w:lang w:val="en-US" w:eastAsia="en-GB"/>
        </w:rPr>
        <w:t>terminate a pregnancy</w:t>
      </w:r>
      <w:r w:rsidR="0067690F" w:rsidRPr="002F0ED2">
        <w:rPr>
          <w:b/>
          <w:lang w:val="en-US"/>
        </w:rPr>
        <w:t>.</w:t>
      </w:r>
      <w:r>
        <w:rPr>
          <w:b/>
          <w:lang w:val="en-US"/>
        </w:rPr>
        <w:t xml:space="preserve"> In this regard, the Committee r</w:t>
      </w:r>
      <w:r w:rsidRPr="002F0ED2">
        <w:rPr>
          <w:b/>
          <w:lang w:val="en-US"/>
        </w:rPr>
        <w:t>ecall</w:t>
      </w:r>
      <w:r>
        <w:rPr>
          <w:b/>
          <w:lang w:val="en-US"/>
        </w:rPr>
        <w:t>s</w:t>
      </w:r>
      <w:r w:rsidRPr="002F0ED2">
        <w:rPr>
          <w:b/>
          <w:lang w:val="en-US"/>
        </w:rPr>
        <w:t xml:space="preserve"> its General Comment </w:t>
      </w:r>
      <w:r w:rsidRPr="002F0ED2">
        <w:rPr>
          <w:b/>
          <w:shd w:val="clear" w:color="auto" w:fill="FFFFFF"/>
        </w:rPr>
        <w:t>No. 22 (2016) on the right to sexual and reproductive health</w:t>
      </w:r>
      <w:r w:rsidR="008E66CF">
        <w:rPr>
          <w:b/>
          <w:shd w:val="clear" w:color="auto" w:fill="FFFFFF"/>
        </w:rPr>
        <w:t>.</w:t>
      </w:r>
      <w:r w:rsidRPr="002F0ED2">
        <w:rPr>
          <w:rStyle w:val="FootnoteReference"/>
          <w:b/>
          <w:sz w:val="20"/>
        </w:rPr>
        <w:footnoteReference w:id="31"/>
      </w:r>
    </w:p>
    <w:p w14:paraId="2E3A4CFF" w14:textId="77777777" w:rsidR="0067690F" w:rsidRPr="00781CB9" w:rsidRDefault="0067690F" w:rsidP="00781CB9">
      <w:pPr>
        <w:pStyle w:val="H23G"/>
        <w:ind w:firstLine="0"/>
      </w:pPr>
      <w:r w:rsidRPr="00781CB9">
        <w:t>Drug use</w:t>
      </w:r>
      <w:r w:rsidR="002F3BAB" w:rsidRPr="00781CB9">
        <w:t xml:space="preserve"> </w:t>
      </w:r>
    </w:p>
    <w:p w14:paraId="0DA896D3" w14:textId="77777777" w:rsidR="0067690F" w:rsidRPr="002F0ED2" w:rsidRDefault="0067690F" w:rsidP="002F0ED2">
      <w:pPr>
        <w:pStyle w:val="SingleTxtG"/>
        <w:numPr>
          <w:ilvl w:val="0"/>
          <w:numId w:val="7"/>
        </w:numPr>
        <w:tabs>
          <w:tab w:val="clear" w:pos="1701"/>
          <w:tab w:val="clear" w:pos="2268"/>
          <w:tab w:val="clear" w:pos="2835"/>
        </w:tabs>
        <w:ind w:left="1134" w:firstLine="0"/>
        <w:rPr>
          <w:bCs/>
        </w:rPr>
      </w:pPr>
      <w:r w:rsidRPr="002F0ED2">
        <w:rPr>
          <w:bCs/>
        </w:rPr>
        <w:t>The Committee is concerned about the punitive approach to drug use and the insufficient availability of harm reduction programmes (art. 12).</w:t>
      </w:r>
    </w:p>
    <w:p w14:paraId="17AEDB5F" w14:textId="7B6B1FC2" w:rsidR="0067690F" w:rsidRPr="002F0ED2" w:rsidRDefault="0067690F" w:rsidP="002F0ED2">
      <w:pPr>
        <w:pStyle w:val="SingleTxtG"/>
        <w:numPr>
          <w:ilvl w:val="0"/>
          <w:numId w:val="7"/>
        </w:numPr>
        <w:tabs>
          <w:tab w:val="clear" w:pos="1701"/>
          <w:tab w:val="clear" w:pos="2268"/>
          <w:tab w:val="clear" w:pos="2835"/>
        </w:tabs>
        <w:ind w:left="1134" w:firstLine="0"/>
        <w:rPr>
          <w:b/>
          <w:lang w:val="en-US"/>
        </w:rPr>
      </w:pPr>
      <w:r w:rsidRPr="002F0ED2">
        <w:rPr>
          <w:b/>
          <w:bCs/>
        </w:rPr>
        <w:t>The Committee recommends that the State party review its drug policy and legislation to bring them into line with international human rights norms and best practice</w:t>
      </w:r>
      <w:r w:rsidR="008F651A">
        <w:rPr>
          <w:b/>
          <w:bCs/>
        </w:rPr>
        <w:t>s</w:t>
      </w:r>
      <w:r w:rsidRPr="002F0ED2">
        <w:rPr>
          <w:b/>
          <w:bCs/>
        </w:rPr>
        <w:t>, and improve the availability, accessibility and quality of harm reduction programmes.</w:t>
      </w:r>
    </w:p>
    <w:p w14:paraId="2A228043" w14:textId="77777777" w:rsidR="002F3BAB" w:rsidRPr="00781CB9" w:rsidRDefault="002F3BAB" w:rsidP="00781CB9">
      <w:pPr>
        <w:pStyle w:val="H23G"/>
        <w:ind w:firstLine="0"/>
      </w:pPr>
      <w:r w:rsidRPr="002F0ED2">
        <w:t xml:space="preserve">Right to education </w:t>
      </w:r>
    </w:p>
    <w:p w14:paraId="089F5F63" w14:textId="77777777" w:rsidR="002F3BAB" w:rsidRPr="002F0ED2" w:rsidRDefault="002F3BAB" w:rsidP="002F0ED2">
      <w:pPr>
        <w:pStyle w:val="SingleTxtG"/>
        <w:numPr>
          <w:ilvl w:val="0"/>
          <w:numId w:val="7"/>
        </w:numPr>
        <w:tabs>
          <w:tab w:val="clear" w:pos="1701"/>
          <w:tab w:val="clear" w:pos="2268"/>
          <w:tab w:val="clear" w:pos="2835"/>
        </w:tabs>
        <w:ind w:left="1134" w:firstLine="0"/>
        <w:rPr>
          <w:lang w:val="en-US"/>
        </w:rPr>
      </w:pPr>
      <w:r w:rsidRPr="002F0ED2">
        <w:rPr>
          <w:lang w:val="en-US"/>
        </w:rPr>
        <w:t xml:space="preserve">The Committee is concerned that Italy's school dropout rate </w:t>
      </w:r>
      <w:r w:rsidR="00C84B2F" w:rsidRPr="002F0ED2">
        <w:rPr>
          <w:lang w:val="en-US"/>
        </w:rPr>
        <w:t xml:space="preserve">remains </w:t>
      </w:r>
      <w:r w:rsidRPr="002F0ED2">
        <w:rPr>
          <w:lang w:val="en-US"/>
        </w:rPr>
        <w:t>among the highest in the E</w:t>
      </w:r>
      <w:r w:rsidR="00FC1940" w:rsidRPr="002F0ED2">
        <w:rPr>
          <w:lang w:val="en-US"/>
        </w:rPr>
        <w:t>uropean Union, especially in the</w:t>
      </w:r>
      <w:r w:rsidRPr="002F0ED2">
        <w:rPr>
          <w:lang w:val="en-US"/>
        </w:rPr>
        <w:t xml:space="preserve"> Southern regions and among foreign-born children</w:t>
      </w:r>
      <w:r w:rsidR="00441F83" w:rsidRPr="002F0ED2">
        <w:rPr>
          <w:lang w:val="en-US"/>
        </w:rPr>
        <w:t xml:space="preserve">, and about the </w:t>
      </w:r>
      <w:r w:rsidRPr="002F0ED2">
        <w:rPr>
          <w:lang w:val="en-US"/>
        </w:rPr>
        <w:t>disproportionate negative effect on Southern, Roma and foreign-born children</w:t>
      </w:r>
      <w:r w:rsidR="00EE4C37" w:rsidRPr="002F0ED2">
        <w:rPr>
          <w:lang w:val="en-US"/>
        </w:rPr>
        <w:t>’s</w:t>
      </w:r>
      <w:r w:rsidRPr="002F0ED2">
        <w:rPr>
          <w:lang w:val="en-US"/>
        </w:rPr>
        <w:t xml:space="preserve"> learning during the COVID-19</w:t>
      </w:r>
      <w:r w:rsidR="00441F83" w:rsidRPr="002F0ED2">
        <w:rPr>
          <w:lang w:val="en-US"/>
        </w:rPr>
        <w:t xml:space="preserve"> pandemic</w:t>
      </w:r>
      <w:r w:rsidRPr="002F0ED2">
        <w:rPr>
          <w:lang w:val="en-US"/>
        </w:rPr>
        <w:t xml:space="preserve"> </w:t>
      </w:r>
      <w:r w:rsidR="00CD68FF" w:rsidRPr="002F0ED2">
        <w:t>(art. 13)</w:t>
      </w:r>
      <w:r w:rsidRPr="002F0ED2">
        <w:rPr>
          <w:lang w:val="en-US"/>
        </w:rPr>
        <w:t xml:space="preserve">. </w:t>
      </w:r>
    </w:p>
    <w:p w14:paraId="651B12A8" w14:textId="7D558F3D" w:rsidR="002F3BAB" w:rsidRPr="002F0ED2" w:rsidRDefault="002F3BAB" w:rsidP="002F0ED2">
      <w:pPr>
        <w:pStyle w:val="SingleTxtG"/>
        <w:numPr>
          <w:ilvl w:val="0"/>
          <w:numId w:val="7"/>
        </w:numPr>
        <w:tabs>
          <w:tab w:val="clear" w:pos="1701"/>
          <w:tab w:val="clear" w:pos="2268"/>
          <w:tab w:val="clear" w:pos="2835"/>
        </w:tabs>
        <w:ind w:left="1134" w:firstLine="0"/>
        <w:rPr>
          <w:b/>
          <w:bCs/>
          <w:lang w:val="en-US" w:eastAsia="en-GB"/>
        </w:rPr>
      </w:pPr>
      <w:r w:rsidRPr="002F0ED2">
        <w:rPr>
          <w:b/>
          <w:bCs/>
          <w:lang w:val="en-US" w:eastAsia="en-GB"/>
        </w:rPr>
        <w:t>The Committee reiterates its recommendation</w:t>
      </w:r>
      <w:r w:rsidRPr="002F0ED2">
        <w:rPr>
          <w:rStyle w:val="FootnoteReference"/>
          <w:b/>
          <w:bCs/>
          <w:lang w:val="en-US" w:eastAsia="en-GB"/>
        </w:rPr>
        <w:footnoteReference w:id="32"/>
      </w:r>
      <w:r w:rsidRPr="002F0ED2">
        <w:rPr>
          <w:b/>
          <w:bCs/>
          <w:lang w:val="en-US" w:eastAsia="en-GB"/>
        </w:rPr>
        <w:t xml:space="preserve"> that the State party redouble its efforts to reduce the school dropout rate, pay particular attention to the tendency in </w:t>
      </w:r>
      <w:r w:rsidR="00FC1940" w:rsidRPr="002F0ED2">
        <w:rPr>
          <w:b/>
          <w:bCs/>
          <w:lang w:val="en-US" w:eastAsia="en-GB"/>
        </w:rPr>
        <w:t>the</w:t>
      </w:r>
      <w:r w:rsidRPr="002F0ED2">
        <w:rPr>
          <w:b/>
          <w:bCs/>
          <w:lang w:val="en-US" w:eastAsia="en-GB"/>
        </w:rPr>
        <w:t xml:space="preserve"> Southern</w:t>
      </w:r>
      <w:r w:rsidR="00FC1940" w:rsidRPr="002F0ED2">
        <w:rPr>
          <w:b/>
          <w:bCs/>
          <w:lang w:val="en-US" w:eastAsia="en-GB"/>
        </w:rPr>
        <w:t xml:space="preserve"> regions</w:t>
      </w:r>
      <w:r w:rsidR="00441F83" w:rsidRPr="002F0ED2">
        <w:rPr>
          <w:b/>
          <w:bCs/>
          <w:lang w:val="en-US" w:eastAsia="en-GB"/>
        </w:rPr>
        <w:t xml:space="preserve"> and</w:t>
      </w:r>
      <w:r w:rsidRPr="002F0ED2">
        <w:rPr>
          <w:b/>
          <w:bCs/>
          <w:lang w:val="en-US" w:eastAsia="en-GB"/>
        </w:rPr>
        <w:t xml:space="preserve"> </w:t>
      </w:r>
      <w:r w:rsidRPr="002F0ED2">
        <w:rPr>
          <w:b/>
          <w:bCs/>
        </w:rPr>
        <w:t>intensify its efforts to ensure that foreign-born and Roma children enjoy equal opportunities in access to quality primary education</w:t>
      </w:r>
      <w:r w:rsidR="007A3E1C" w:rsidRPr="002F0ED2">
        <w:rPr>
          <w:b/>
          <w:bCs/>
        </w:rPr>
        <w:t>.</w:t>
      </w:r>
      <w:r w:rsidRPr="002F0ED2">
        <w:rPr>
          <w:b/>
          <w:bCs/>
        </w:rPr>
        <w:t xml:space="preserve"> </w:t>
      </w:r>
    </w:p>
    <w:p w14:paraId="5AA7B1FD" w14:textId="77777777" w:rsidR="002F3BAB" w:rsidRPr="00781CB9" w:rsidRDefault="002F3BAB" w:rsidP="00781CB9">
      <w:pPr>
        <w:pStyle w:val="H23G"/>
        <w:ind w:firstLine="0"/>
      </w:pPr>
      <w:r w:rsidRPr="00781CB9">
        <w:t xml:space="preserve">Cultural rights </w:t>
      </w:r>
    </w:p>
    <w:p w14:paraId="6E641385" w14:textId="77777777" w:rsidR="002F3BAB" w:rsidRPr="002F0ED2" w:rsidRDefault="002F3BAB" w:rsidP="002F0ED2">
      <w:pPr>
        <w:pStyle w:val="SingleTxtG"/>
        <w:numPr>
          <w:ilvl w:val="0"/>
          <w:numId w:val="7"/>
        </w:numPr>
        <w:tabs>
          <w:tab w:val="clear" w:pos="1701"/>
          <w:tab w:val="clear" w:pos="2268"/>
          <w:tab w:val="clear" w:pos="2835"/>
        </w:tabs>
        <w:ind w:left="1134" w:firstLine="0"/>
        <w:rPr>
          <w:lang w:val="en-US"/>
        </w:rPr>
      </w:pPr>
      <w:r w:rsidRPr="002F0ED2">
        <w:rPr>
          <w:lang w:val="en-US"/>
        </w:rPr>
        <w:t>The Committee is concerned that the sociocultural diversity of the State party is not adequately reflected in mainstream media, including state-controlled media, in a context of increasing domestic political focus on strengthening tra</w:t>
      </w:r>
      <w:r w:rsidR="005A2B46" w:rsidRPr="002F0ED2">
        <w:rPr>
          <w:lang w:val="en-US"/>
        </w:rPr>
        <w:t>ditional cultural values at the</w:t>
      </w:r>
      <w:r w:rsidRPr="002F0ED2">
        <w:rPr>
          <w:lang w:val="en-US"/>
        </w:rPr>
        <w:t xml:space="preserve"> expense of diversity and minorities’ culture</w:t>
      </w:r>
      <w:r w:rsidR="00CD68FF" w:rsidRPr="002F0ED2">
        <w:rPr>
          <w:lang w:val="en-US"/>
        </w:rPr>
        <w:t xml:space="preserve"> (art. 15)</w:t>
      </w:r>
      <w:r w:rsidRPr="002F0ED2">
        <w:rPr>
          <w:lang w:val="en-US"/>
        </w:rPr>
        <w:t>.</w:t>
      </w:r>
    </w:p>
    <w:p w14:paraId="104DC2A4" w14:textId="77777777" w:rsidR="002F3BAB" w:rsidRPr="002F0ED2" w:rsidRDefault="002F3BAB" w:rsidP="002F0ED2">
      <w:pPr>
        <w:pStyle w:val="SingleTxtG"/>
        <w:numPr>
          <w:ilvl w:val="0"/>
          <w:numId w:val="7"/>
        </w:numPr>
        <w:tabs>
          <w:tab w:val="clear" w:pos="1701"/>
          <w:tab w:val="clear" w:pos="2268"/>
          <w:tab w:val="clear" w:pos="2835"/>
        </w:tabs>
        <w:ind w:left="1134" w:firstLine="0"/>
        <w:rPr>
          <w:b/>
          <w:bCs/>
        </w:rPr>
      </w:pPr>
      <w:r w:rsidRPr="002F0ED2">
        <w:rPr>
          <w:b/>
          <w:bCs/>
          <w:lang w:val="en-US"/>
        </w:rPr>
        <w:t xml:space="preserve">The Committee recommends that the State party </w:t>
      </w:r>
      <w:r w:rsidRPr="002F0ED2">
        <w:rPr>
          <w:b/>
          <w:bCs/>
        </w:rPr>
        <w:t xml:space="preserve">provide increased financial and </w:t>
      </w:r>
      <w:r w:rsidRPr="002F0ED2">
        <w:rPr>
          <w:b/>
          <w:lang w:val="en-US"/>
        </w:rPr>
        <w:t>administrative</w:t>
      </w:r>
      <w:r w:rsidRPr="002F0ED2">
        <w:rPr>
          <w:b/>
          <w:bCs/>
        </w:rPr>
        <w:t xml:space="preserve"> support to programmes aimed at preserving, promoting and developing the culture, language, religion and traditions of minorities, including through mainstream and/or state-owned media.</w:t>
      </w:r>
    </w:p>
    <w:p w14:paraId="359FDF75" w14:textId="1D9CB267" w:rsidR="00E86492" w:rsidRDefault="00E86492" w:rsidP="00781CB9">
      <w:pPr>
        <w:pStyle w:val="H23G"/>
        <w:ind w:firstLine="0"/>
      </w:pPr>
      <w:r>
        <w:t>Right to science</w:t>
      </w:r>
    </w:p>
    <w:p w14:paraId="1F74DE81" w14:textId="51AE1B8D" w:rsidR="00E86492" w:rsidRDefault="00E86492" w:rsidP="00AA0911">
      <w:pPr>
        <w:pStyle w:val="SingleTxtG"/>
        <w:numPr>
          <w:ilvl w:val="0"/>
          <w:numId w:val="7"/>
        </w:numPr>
        <w:tabs>
          <w:tab w:val="clear" w:pos="1701"/>
          <w:tab w:val="clear" w:pos="2268"/>
          <w:tab w:val="clear" w:pos="2835"/>
        </w:tabs>
        <w:ind w:left="1134" w:firstLine="0"/>
        <w:rPr>
          <w:lang w:val="en-US"/>
        </w:rPr>
      </w:pPr>
      <w:r w:rsidRPr="00AA0911">
        <w:rPr>
          <w:lang w:val="en-US"/>
        </w:rPr>
        <w:t xml:space="preserve">The </w:t>
      </w:r>
      <w:r w:rsidR="00A32CCA" w:rsidRPr="00A32CCA">
        <w:rPr>
          <w:lang w:val="en-US"/>
        </w:rPr>
        <w:t>Committee is concerned that</w:t>
      </w:r>
      <w:r w:rsidRPr="00AA0911">
        <w:rPr>
          <w:lang w:val="en-US"/>
        </w:rPr>
        <w:t xml:space="preserve"> </w:t>
      </w:r>
      <w:r w:rsidR="00D3583A">
        <w:rPr>
          <w:lang w:val="en-US"/>
        </w:rPr>
        <w:t xml:space="preserve">some unreasonable </w:t>
      </w:r>
      <w:r w:rsidRPr="00AA0911">
        <w:rPr>
          <w:lang w:val="en-US"/>
        </w:rPr>
        <w:t>restrictions and limitations</w:t>
      </w:r>
      <w:r w:rsidR="00A32CCA" w:rsidRPr="00A32CCA">
        <w:rPr>
          <w:lang w:val="en-US"/>
        </w:rPr>
        <w:t xml:space="preserve"> imposed by Law No 40/2004</w:t>
      </w:r>
      <w:r w:rsidRPr="00B13A45">
        <w:rPr>
          <w:lang w:val="en-US"/>
        </w:rPr>
        <w:t xml:space="preserve"> </w:t>
      </w:r>
      <w:r w:rsidR="00D3583A">
        <w:rPr>
          <w:lang w:val="en-US"/>
        </w:rPr>
        <w:t xml:space="preserve">might </w:t>
      </w:r>
      <w:r w:rsidRPr="00B13A45">
        <w:rPr>
          <w:lang w:val="en-US"/>
        </w:rPr>
        <w:t xml:space="preserve">effectively </w:t>
      </w:r>
      <w:r w:rsidR="00D3583A">
        <w:rPr>
          <w:lang w:val="en-US"/>
        </w:rPr>
        <w:t xml:space="preserve">hinder </w:t>
      </w:r>
      <w:r w:rsidR="00D34667" w:rsidRPr="00D34667">
        <w:rPr>
          <w:lang w:val="en-US"/>
        </w:rPr>
        <w:t xml:space="preserve">scientific research, as </w:t>
      </w:r>
      <w:r w:rsidR="00D34667">
        <w:rPr>
          <w:lang w:val="en-US"/>
        </w:rPr>
        <w:t>s</w:t>
      </w:r>
      <w:r w:rsidRPr="00B13A45">
        <w:rPr>
          <w:lang w:val="en-US"/>
        </w:rPr>
        <w:t>uch restrictions are not compatible with the right to benefit from scientific progress and the obligation of the State party to respect the freedom indispensable for scientific research</w:t>
      </w:r>
      <w:r w:rsidR="00D34667" w:rsidRPr="00D34667">
        <w:rPr>
          <w:lang w:val="en-US"/>
        </w:rPr>
        <w:t xml:space="preserve"> </w:t>
      </w:r>
      <w:r w:rsidR="00D34667">
        <w:rPr>
          <w:lang w:val="en-US"/>
        </w:rPr>
        <w:t>(art. 15)</w:t>
      </w:r>
      <w:r w:rsidR="007365CA">
        <w:rPr>
          <w:lang w:val="en-US"/>
        </w:rPr>
        <w:t>.</w:t>
      </w:r>
    </w:p>
    <w:p w14:paraId="3364F037" w14:textId="4D83EA64" w:rsidR="00AD4803" w:rsidRPr="00B13A45" w:rsidRDefault="00AD4803" w:rsidP="00AA0911">
      <w:pPr>
        <w:pStyle w:val="SingleTxtG"/>
        <w:numPr>
          <w:ilvl w:val="0"/>
          <w:numId w:val="7"/>
        </w:numPr>
        <w:tabs>
          <w:tab w:val="clear" w:pos="1701"/>
          <w:tab w:val="clear" w:pos="2268"/>
          <w:tab w:val="clear" w:pos="2835"/>
        </w:tabs>
        <w:ind w:left="1134" w:firstLine="0"/>
        <w:rPr>
          <w:lang w:val="en-US"/>
        </w:rPr>
      </w:pPr>
      <w:r w:rsidRPr="00AD4803">
        <w:rPr>
          <w:rFonts w:eastAsia="Times New Roman"/>
          <w:b/>
        </w:rPr>
        <w:t>The Committee recommends that the State party review Law 40/2004 in or</w:t>
      </w:r>
      <w:r w:rsidR="00FF25B8">
        <w:rPr>
          <w:rFonts w:eastAsia="Times New Roman"/>
          <w:b/>
        </w:rPr>
        <w:t xml:space="preserve">der to remove </w:t>
      </w:r>
      <w:r w:rsidR="00D3583A">
        <w:rPr>
          <w:rFonts w:eastAsia="Times New Roman"/>
          <w:b/>
        </w:rPr>
        <w:t xml:space="preserve">such unreasonable </w:t>
      </w:r>
      <w:r w:rsidR="00FF25B8">
        <w:rPr>
          <w:rFonts w:eastAsia="Times New Roman"/>
          <w:b/>
        </w:rPr>
        <w:t>restrictions</w:t>
      </w:r>
      <w:r w:rsidR="00D3583A">
        <w:rPr>
          <w:rFonts w:eastAsia="Times New Roman"/>
          <w:b/>
        </w:rPr>
        <w:t>.</w:t>
      </w:r>
      <w:r w:rsidR="00FF25B8">
        <w:rPr>
          <w:rFonts w:eastAsia="Times New Roman"/>
          <w:b/>
        </w:rPr>
        <w:t xml:space="preserve"> </w:t>
      </w:r>
    </w:p>
    <w:p w14:paraId="1230C1A8" w14:textId="4C8F6EF1" w:rsidR="002F3BAB" w:rsidRPr="00781CB9" w:rsidRDefault="002F3BAB" w:rsidP="00781CB9">
      <w:pPr>
        <w:pStyle w:val="H23G"/>
        <w:ind w:firstLine="0"/>
      </w:pPr>
      <w:r w:rsidRPr="00781CB9">
        <w:lastRenderedPageBreak/>
        <w:t>Digital divide</w:t>
      </w:r>
    </w:p>
    <w:p w14:paraId="738206B8" w14:textId="65AD96A8" w:rsidR="002F3BAB" w:rsidRPr="002F0ED2" w:rsidRDefault="002F3BAB" w:rsidP="00AA0911">
      <w:pPr>
        <w:pStyle w:val="SingleTxtG"/>
        <w:numPr>
          <w:ilvl w:val="0"/>
          <w:numId w:val="7"/>
        </w:numPr>
        <w:tabs>
          <w:tab w:val="clear" w:pos="1701"/>
          <w:tab w:val="clear" w:pos="2268"/>
          <w:tab w:val="clear" w:pos="2835"/>
        </w:tabs>
        <w:ind w:left="1134" w:firstLine="0"/>
      </w:pPr>
      <w:r w:rsidRPr="002F0ED2">
        <w:t>The Committee is concerned about the persistence of the digital divide which is relatively high</w:t>
      </w:r>
      <w:r w:rsidR="00FF25B8">
        <w:t>,</w:t>
      </w:r>
      <w:r w:rsidRPr="002F0ED2">
        <w:t xml:space="preserve"> disproportionately affecting poor people in rural areas, in the Southern regions and on the islands (art. 15).</w:t>
      </w:r>
    </w:p>
    <w:p w14:paraId="5E48C5FD" w14:textId="3D300FCA" w:rsidR="002F3BAB" w:rsidRPr="002F0ED2" w:rsidRDefault="002F3BAB" w:rsidP="00AA0911">
      <w:pPr>
        <w:pStyle w:val="SingleTxtG"/>
        <w:numPr>
          <w:ilvl w:val="0"/>
          <w:numId w:val="7"/>
        </w:numPr>
        <w:tabs>
          <w:tab w:val="clear" w:pos="1701"/>
          <w:tab w:val="clear" w:pos="2268"/>
          <w:tab w:val="clear" w:pos="2835"/>
        </w:tabs>
        <w:ind w:left="1134" w:firstLine="0"/>
        <w:rPr>
          <w:b/>
          <w:bCs/>
        </w:rPr>
      </w:pPr>
      <w:r w:rsidRPr="002F0ED2">
        <w:rPr>
          <w:b/>
          <w:bCs/>
        </w:rPr>
        <w:t xml:space="preserve">The Committee recommends that the State party take appropriate measures to narrow the digital divide for the benefit of the poor, </w:t>
      </w:r>
      <w:r w:rsidR="00640F3F">
        <w:rPr>
          <w:b/>
          <w:bCs/>
        </w:rPr>
        <w:t xml:space="preserve">older persons, </w:t>
      </w:r>
      <w:r w:rsidR="00D83E2E">
        <w:rPr>
          <w:b/>
          <w:bCs/>
        </w:rPr>
        <w:t xml:space="preserve">and </w:t>
      </w:r>
      <w:r w:rsidRPr="002F0ED2">
        <w:rPr>
          <w:b/>
          <w:bCs/>
        </w:rPr>
        <w:t>rural populations</w:t>
      </w:r>
      <w:r w:rsidR="00C736EA">
        <w:rPr>
          <w:b/>
          <w:bCs/>
        </w:rPr>
        <w:t>,</w:t>
      </w:r>
      <w:r w:rsidRPr="002F0ED2">
        <w:rPr>
          <w:b/>
          <w:bCs/>
        </w:rPr>
        <w:t xml:space="preserve"> in the Southern regions and on the islands, including by providing financing to local governments to install fibre optic cables to provide </w:t>
      </w:r>
      <w:r w:rsidR="00864779" w:rsidRPr="002F0ED2">
        <w:rPr>
          <w:b/>
          <w:bCs/>
        </w:rPr>
        <w:t xml:space="preserve">internet </w:t>
      </w:r>
      <w:r w:rsidR="00864779" w:rsidRPr="002F0ED2">
        <w:rPr>
          <w:b/>
        </w:rPr>
        <w:t>in</w:t>
      </w:r>
      <w:r w:rsidR="00165091" w:rsidRPr="002F0ED2">
        <w:rPr>
          <w:b/>
        </w:rPr>
        <w:t xml:space="preserve"> these</w:t>
      </w:r>
      <w:r w:rsidR="00864779" w:rsidRPr="002F0ED2">
        <w:rPr>
          <w:b/>
        </w:rPr>
        <w:t xml:space="preserve"> areas</w:t>
      </w:r>
      <w:r w:rsidR="00165091" w:rsidRPr="002F0ED2">
        <w:rPr>
          <w:b/>
        </w:rPr>
        <w:t xml:space="preserve">. </w:t>
      </w:r>
    </w:p>
    <w:p w14:paraId="28E07293" w14:textId="77777777" w:rsidR="00CF2EE2" w:rsidRPr="002F0ED2" w:rsidRDefault="00CF2EE2" w:rsidP="00CF2EE2">
      <w:pPr>
        <w:pStyle w:val="H1G"/>
        <w:rPr>
          <w:b w:val="0"/>
          <w:bCs/>
          <w:i/>
          <w:iCs/>
        </w:rPr>
      </w:pPr>
      <w:r w:rsidRPr="002F0ED2">
        <w:tab/>
        <w:t>D.</w:t>
      </w:r>
      <w:r w:rsidRPr="002F0ED2">
        <w:tab/>
        <w:t xml:space="preserve">Other recommendations </w:t>
      </w:r>
    </w:p>
    <w:p w14:paraId="459827F3" w14:textId="77777777" w:rsidR="00166E1E" w:rsidRPr="002F0ED2" w:rsidRDefault="00166E1E" w:rsidP="00AA0911">
      <w:pPr>
        <w:pStyle w:val="SingleTxtG"/>
        <w:numPr>
          <w:ilvl w:val="0"/>
          <w:numId w:val="7"/>
        </w:numPr>
        <w:tabs>
          <w:tab w:val="clear" w:pos="1701"/>
          <w:tab w:val="clear" w:pos="2268"/>
          <w:tab w:val="clear" w:pos="2835"/>
        </w:tabs>
        <w:ind w:left="1134" w:firstLine="0"/>
        <w:rPr>
          <w:b/>
          <w:bCs/>
        </w:rPr>
      </w:pPr>
      <w:r w:rsidRPr="002F0ED2">
        <w:rPr>
          <w:b/>
          <w:bCs/>
        </w:rPr>
        <w:t>The Committee recommends that the State party consider ratifying the International Convention on the Protection of the Rights of All Migrant Workers and Members of Their Families.</w:t>
      </w:r>
    </w:p>
    <w:p w14:paraId="7941781B" w14:textId="77777777" w:rsidR="00C72002" w:rsidRPr="002F0ED2" w:rsidRDefault="00C72002" w:rsidP="00AA0911">
      <w:pPr>
        <w:pStyle w:val="SingleTxtG"/>
        <w:numPr>
          <w:ilvl w:val="0"/>
          <w:numId w:val="7"/>
        </w:numPr>
        <w:tabs>
          <w:tab w:val="clear" w:pos="1701"/>
          <w:tab w:val="clear" w:pos="2268"/>
          <w:tab w:val="clear" w:pos="2835"/>
        </w:tabs>
        <w:ind w:left="1134" w:firstLine="0"/>
        <w:rPr>
          <w:b/>
          <w:bCs/>
        </w:rPr>
      </w:pPr>
      <w:r w:rsidRPr="002F0ED2">
        <w:rPr>
          <w:b/>
          <w:bCs/>
        </w:rPr>
        <w:t>The Committee recommends that the State party coordinate with the Committee’s Working Group on Communications to address concerns of Covenant violations received through individual communications by the Committee.</w:t>
      </w:r>
    </w:p>
    <w:p w14:paraId="5FA9940D" w14:textId="77777777" w:rsidR="00166E1E" w:rsidRPr="002F0ED2" w:rsidRDefault="00166E1E" w:rsidP="00AA0911">
      <w:pPr>
        <w:pStyle w:val="SingleTxtG"/>
        <w:numPr>
          <w:ilvl w:val="0"/>
          <w:numId w:val="7"/>
        </w:numPr>
        <w:tabs>
          <w:tab w:val="clear" w:pos="1701"/>
          <w:tab w:val="clear" w:pos="2268"/>
          <w:tab w:val="clear" w:pos="2835"/>
        </w:tabs>
        <w:ind w:left="1134" w:firstLine="0"/>
        <w:rPr>
          <w:b/>
          <w:bCs/>
        </w:rPr>
      </w:pPr>
      <w:r w:rsidRPr="002F0ED2">
        <w:rPr>
          <w:b/>
          <w:bCs/>
        </w:rPr>
        <w:t>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of the decade of action to achieve the Sustainable Development Goals. Implementing the Goals on the basis of the principles of participation, accountability and non-discrimination would ensure that no one is left behind. In this regard, the Committee draws the State party’s attention to its statement on the pledge to leave no one behind.</w:t>
      </w:r>
    </w:p>
    <w:p w14:paraId="7ED6705F" w14:textId="58C3E2F5" w:rsidR="004953CB" w:rsidRDefault="00166E1E" w:rsidP="008777BE">
      <w:pPr>
        <w:pStyle w:val="SingleTxtG"/>
        <w:numPr>
          <w:ilvl w:val="0"/>
          <w:numId w:val="7"/>
        </w:numPr>
        <w:tabs>
          <w:tab w:val="clear" w:pos="1701"/>
          <w:tab w:val="clear" w:pos="2268"/>
          <w:tab w:val="clear" w:pos="2835"/>
        </w:tabs>
        <w:ind w:left="1134" w:firstLine="0"/>
        <w:rPr>
          <w:b/>
          <w:bCs/>
        </w:rPr>
      </w:pPr>
      <w:r w:rsidRPr="002F0ED2">
        <w:rPr>
          <w:b/>
          <w:bCs/>
        </w:rPr>
        <w:t xml:space="preserve">The Committee requests that the State party disseminate the present concluding observations widely at all levels of society, including at the national and municipal levels, in particular among parliamentarians, public officials and judicial authorities, and that it inform the Committee in its next periodic report about the steps taken to implement them. </w:t>
      </w:r>
      <w:r w:rsidR="000B1D0A">
        <w:rPr>
          <w:b/>
          <w:bCs/>
        </w:rPr>
        <w:t xml:space="preserve">The Committee </w:t>
      </w:r>
      <w:r w:rsidR="000B1D0A" w:rsidRPr="00B2615F">
        <w:rPr>
          <w:b/>
        </w:rPr>
        <w:t>emphasizes the</w:t>
      </w:r>
      <w:r w:rsidR="000B1D0A">
        <w:rPr>
          <w:b/>
        </w:rPr>
        <w:t xml:space="preserve"> crucial role </w:t>
      </w:r>
      <w:r w:rsidR="000F4CFA">
        <w:rPr>
          <w:b/>
        </w:rPr>
        <w:t xml:space="preserve">that </w:t>
      </w:r>
      <w:r w:rsidR="000B1D0A">
        <w:rPr>
          <w:b/>
        </w:rPr>
        <w:t xml:space="preserve">Parliament plays in implementing the present concluding observations and encourages the State party to </w:t>
      </w:r>
      <w:r w:rsidR="00BF1122">
        <w:rPr>
          <w:b/>
        </w:rPr>
        <w:t>ensure its involvement</w:t>
      </w:r>
      <w:r w:rsidR="000B1D0A">
        <w:rPr>
          <w:b/>
        </w:rPr>
        <w:t xml:space="preserve"> </w:t>
      </w:r>
      <w:r w:rsidR="000F4CFA">
        <w:rPr>
          <w:b/>
        </w:rPr>
        <w:t>in future</w:t>
      </w:r>
      <w:r w:rsidR="000B1D0A">
        <w:rPr>
          <w:b/>
        </w:rPr>
        <w:t xml:space="preserve"> </w:t>
      </w:r>
      <w:r w:rsidR="003840E8">
        <w:rPr>
          <w:b/>
        </w:rPr>
        <w:t xml:space="preserve">reporting and </w:t>
      </w:r>
      <w:r w:rsidR="00D83E2E">
        <w:rPr>
          <w:b/>
        </w:rPr>
        <w:t>follow-up</w:t>
      </w:r>
      <w:r w:rsidR="003840E8">
        <w:rPr>
          <w:b/>
        </w:rPr>
        <w:t xml:space="preserve"> procedures. </w:t>
      </w:r>
      <w:r w:rsidR="004953CB" w:rsidRPr="002F0ED2">
        <w:rPr>
          <w:b/>
          <w:bCs/>
        </w:rPr>
        <w:t>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r w:rsidR="004953CB">
        <w:rPr>
          <w:b/>
          <w:bCs/>
        </w:rPr>
        <w:t xml:space="preserve"> </w:t>
      </w:r>
    </w:p>
    <w:p w14:paraId="5CC92F42" w14:textId="31286372" w:rsidR="00166E1E" w:rsidRPr="002F0ED2" w:rsidRDefault="00166E1E" w:rsidP="00AA0911">
      <w:pPr>
        <w:pStyle w:val="SingleTxtG"/>
        <w:numPr>
          <w:ilvl w:val="0"/>
          <w:numId w:val="7"/>
        </w:numPr>
        <w:tabs>
          <w:tab w:val="clear" w:pos="1701"/>
          <w:tab w:val="clear" w:pos="2268"/>
          <w:tab w:val="clear" w:pos="2835"/>
        </w:tabs>
        <w:ind w:left="1134" w:firstLine="0"/>
        <w:rPr>
          <w:b/>
          <w:bCs/>
        </w:rPr>
      </w:pPr>
      <w:r w:rsidRPr="002F0ED2">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w:t>
      </w:r>
      <w:r w:rsidR="005F19DD">
        <w:rPr>
          <w:b/>
          <w:bCs/>
        </w:rPr>
        <w:t>15</w:t>
      </w:r>
      <w:r w:rsidRPr="002F0ED2">
        <w:rPr>
          <w:b/>
          <w:bCs/>
        </w:rPr>
        <w:t xml:space="preserve"> (</w:t>
      </w:r>
      <w:r w:rsidR="00FD4D70" w:rsidRPr="002F0ED2">
        <w:rPr>
          <w:b/>
          <w:bCs/>
        </w:rPr>
        <w:t>business and human rights)</w:t>
      </w:r>
      <w:r w:rsidR="00E64F6B" w:rsidRPr="002F0ED2">
        <w:rPr>
          <w:b/>
          <w:bCs/>
        </w:rPr>
        <w:t xml:space="preserve">, </w:t>
      </w:r>
      <w:r w:rsidR="005F19DD">
        <w:rPr>
          <w:b/>
          <w:bCs/>
        </w:rPr>
        <w:t>19</w:t>
      </w:r>
      <w:r w:rsidRPr="002F0ED2">
        <w:rPr>
          <w:b/>
          <w:bCs/>
        </w:rPr>
        <w:t xml:space="preserve"> (</w:t>
      </w:r>
      <w:r w:rsidR="00FD4D70" w:rsidRPr="002F0ED2">
        <w:rPr>
          <w:b/>
          <w:bCs/>
        </w:rPr>
        <w:t>climate change</w:t>
      </w:r>
      <w:r w:rsidRPr="002F0ED2">
        <w:rPr>
          <w:b/>
          <w:bCs/>
        </w:rPr>
        <w:t xml:space="preserve">) and </w:t>
      </w:r>
      <w:r w:rsidR="00F2288D">
        <w:rPr>
          <w:b/>
          <w:bCs/>
        </w:rPr>
        <w:t>29</w:t>
      </w:r>
      <w:r w:rsidRPr="002F0ED2">
        <w:rPr>
          <w:b/>
          <w:bCs/>
        </w:rPr>
        <w:t xml:space="preserve"> (</w:t>
      </w:r>
      <w:r w:rsidR="00FD4D70" w:rsidRPr="002F0ED2">
        <w:rPr>
          <w:b/>
          <w:bCs/>
        </w:rPr>
        <w:t>discrimination</w:t>
      </w:r>
      <w:r w:rsidRPr="002F0ED2">
        <w:rPr>
          <w:b/>
          <w:bCs/>
        </w:rPr>
        <w:t>) above.</w:t>
      </w:r>
    </w:p>
    <w:p w14:paraId="2D26E041" w14:textId="7E0F1650" w:rsidR="00A62333" w:rsidRPr="002F0ED2" w:rsidRDefault="00166E1E" w:rsidP="00AA0911">
      <w:pPr>
        <w:pStyle w:val="SingleTxtG"/>
        <w:numPr>
          <w:ilvl w:val="0"/>
          <w:numId w:val="7"/>
        </w:numPr>
        <w:tabs>
          <w:tab w:val="clear" w:pos="1701"/>
          <w:tab w:val="clear" w:pos="2268"/>
          <w:tab w:val="clear" w:pos="2835"/>
        </w:tabs>
        <w:ind w:left="1134" w:firstLine="0"/>
        <w:rPr>
          <w:b/>
          <w:bCs/>
        </w:rPr>
      </w:pPr>
      <w:r w:rsidRPr="002F0ED2">
        <w:rPr>
          <w:b/>
          <w:bCs/>
        </w:rPr>
        <w:t>The Committee requests the State party to submit its seventh periodic report in accordance with article 16 of the Covenant by 3</w:t>
      </w:r>
      <w:r w:rsidR="00124522">
        <w:rPr>
          <w:b/>
          <w:bCs/>
        </w:rPr>
        <w:t>1</w:t>
      </w:r>
      <w:bookmarkStart w:id="0" w:name="_GoBack"/>
      <w:bookmarkEnd w:id="0"/>
      <w:r w:rsidRPr="002F0ED2">
        <w:rPr>
          <w:b/>
          <w:bCs/>
        </w:rPr>
        <w:t xml:space="preserve"> October 2027, unless otherwise notified as a result of a change in the review cycle. In accordance with General Assembly resolution 68/268, the word limit for the report is 21,200 words.</w:t>
      </w:r>
    </w:p>
    <w:p w14:paraId="4775D8F5" w14:textId="77777777" w:rsidR="006A4374" w:rsidRPr="00781CB9" w:rsidRDefault="00781CB9" w:rsidP="00781CB9">
      <w:pPr>
        <w:pStyle w:val="SingleTxtG"/>
        <w:tabs>
          <w:tab w:val="clear" w:pos="1701"/>
          <w:tab w:val="clear" w:pos="2268"/>
          <w:tab w:val="clear" w:pos="2835"/>
        </w:tabs>
        <w:spacing w:before="240" w:after="0"/>
        <w:jc w:val="center"/>
        <w:rPr>
          <w:u w:val="single"/>
        </w:rPr>
      </w:pPr>
      <w:r>
        <w:rPr>
          <w:u w:val="single"/>
        </w:rPr>
        <w:tab/>
      </w:r>
      <w:r>
        <w:rPr>
          <w:u w:val="single"/>
        </w:rPr>
        <w:tab/>
      </w:r>
      <w:r>
        <w:rPr>
          <w:u w:val="single"/>
        </w:rPr>
        <w:tab/>
      </w:r>
    </w:p>
    <w:sectPr w:rsidR="006A4374" w:rsidRPr="00781CB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F47D" w14:textId="77777777" w:rsidR="00713842" w:rsidRDefault="00713842"/>
  </w:endnote>
  <w:endnote w:type="continuationSeparator" w:id="0">
    <w:p w14:paraId="67D62451" w14:textId="77777777" w:rsidR="00713842" w:rsidRDefault="00713842">
      <w:pPr>
        <w:pStyle w:val="Footer"/>
      </w:pPr>
    </w:p>
  </w:endnote>
  <w:endnote w:type="continuationNotice" w:id="1">
    <w:p w14:paraId="25ED952E" w14:textId="77777777" w:rsidR="00713842" w:rsidRDefault="0071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2037" w14:textId="0E9C23AF" w:rsidR="006A4374" w:rsidRDefault="004B2B0E">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D3A1B">
      <w:rPr>
        <w:b/>
        <w:noProof/>
        <w:sz w:val="18"/>
      </w:rPr>
      <w:t>10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F3A2" w14:textId="7A8FFAE5" w:rsidR="006A4374" w:rsidRDefault="003309C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D3A1B">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5FE2" w14:textId="77777777" w:rsidR="006A4374" w:rsidRDefault="004B2B0E">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7DC132E4" wp14:editId="77CA56C0">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84617E" w14:paraId="5D0AD88D" w14:textId="77777777">
      <w:tc>
        <w:tcPr>
          <w:tcW w:w="1848" w:type="dxa"/>
          <w:vAlign w:val="bottom"/>
        </w:tcPr>
        <w:p w14:paraId="70FF3073" w14:textId="77777777" w:rsidR="006A4374" w:rsidRDefault="004B2B0E">
          <w:pPr>
            <w:pStyle w:val="Footer"/>
            <w:spacing w:before="120" w:after="120"/>
            <w:jc w:val="right"/>
          </w:pPr>
          <w:r>
            <w:rPr>
              <w:noProof/>
              <w:sz w:val="20"/>
              <w:lang w:eastAsia="en-GB"/>
            </w:rPr>
            <w:drawing>
              <wp:inline distT="0" distB="0" distL="0" distR="0" wp14:anchorId="286F02C1" wp14:editId="45C97B75">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08F29355" w14:textId="77777777" w:rsidR="006A4374" w:rsidRDefault="006A4374">
          <w:pPr>
            <w:pStyle w:val="Footer"/>
            <w:jc w:val="right"/>
          </w:pPr>
        </w:p>
      </w:tc>
    </w:tr>
  </w:tbl>
  <w:p w14:paraId="04228DAA" w14:textId="77777777" w:rsidR="006A4374" w:rsidRDefault="006A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D16B" w14:textId="77777777" w:rsidR="00713842" w:rsidRDefault="00713842">
      <w:pPr>
        <w:pStyle w:val="Footer"/>
        <w:tabs>
          <w:tab w:val="right" w:pos="2155"/>
        </w:tabs>
        <w:spacing w:after="80" w:line="240" w:lineRule="atLeast"/>
        <w:ind w:left="680"/>
        <w:rPr>
          <w:u w:val="single"/>
        </w:rPr>
      </w:pPr>
      <w:r>
        <w:rPr>
          <w:u w:val="single"/>
        </w:rPr>
        <w:tab/>
      </w:r>
    </w:p>
  </w:footnote>
  <w:footnote w:type="continuationSeparator" w:id="0">
    <w:p w14:paraId="7484D8B2" w14:textId="77777777" w:rsidR="00713842" w:rsidRDefault="00713842">
      <w:pPr>
        <w:pStyle w:val="Footer"/>
        <w:tabs>
          <w:tab w:val="right" w:pos="2155"/>
        </w:tabs>
        <w:spacing w:after="80" w:line="240" w:lineRule="atLeast"/>
        <w:ind w:left="680"/>
        <w:rPr>
          <w:u w:val="single"/>
        </w:rPr>
      </w:pPr>
      <w:r>
        <w:rPr>
          <w:u w:val="single"/>
        </w:rPr>
        <w:tab/>
      </w:r>
    </w:p>
  </w:footnote>
  <w:footnote w:type="continuationNotice" w:id="1">
    <w:p w14:paraId="149A4253" w14:textId="77777777" w:rsidR="00713842" w:rsidRDefault="00713842">
      <w:pPr>
        <w:rPr>
          <w:sz w:val="2"/>
          <w:szCs w:val="2"/>
        </w:rPr>
      </w:pPr>
    </w:p>
  </w:footnote>
  <w:footnote w:id="2">
    <w:p w14:paraId="7235D315" w14:textId="77777777" w:rsidR="000A7FE6" w:rsidRPr="007B24B4" w:rsidRDefault="000A7FE6" w:rsidP="000A7FE6">
      <w:pPr>
        <w:pStyle w:val="FootnoteText"/>
      </w:pPr>
      <w:r w:rsidRPr="007B24B4">
        <w:rPr>
          <w:rStyle w:val="FootnoteReference"/>
        </w:rPr>
        <w:tab/>
      </w:r>
      <w:r w:rsidRPr="007B24B4">
        <w:rPr>
          <w:rStyle w:val="FootnoteReference"/>
          <w:sz w:val="20"/>
        </w:rPr>
        <w:t>*</w:t>
      </w:r>
      <w:r w:rsidRPr="007B24B4">
        <w:rPr>
          <w:rStyle w:val="FootnoteReference"/>
          <w:sz w:val="20"/>
        </w:rPr>
        <w:tab/>
      </w:r>
      <w:r w:rsidRPr="000A7FE6">
        <w:t>Adopted by the Committee at its seventy-</w:t>
      </w:r>
      <w:r>
        <w:t>second</w:t>
      </w:r>
      <w:r w:rsidRPr="000A7FE6">
        <w:t xml:space="preserve"> session (</w:t>
      </w:r>
      <w:r>
        <w:t xml:space="preserve">26 September -14 October </w:t>
      </w:r>
      <w:r w:rsidRPr="000A7FE6">
        <w:t>2022).</w:t>
      </w:r>
    </w:p>
  </w:footnote>
  <w:footnote w:id="3">
    <w:p w14:paraId="470C5603" w14:textId="4B9B1877" w:rsidR="004D61C6" w:rsidRPr="00757A19" w:rsidRDefault="00781CB9" w:rsidP="004D61C6">
      <w:pPr>
        <w:pStyle w:val="FootnoteText"/>
        <w:rPr>
          <w:lang w:val="es-MX"/>
        </w:rPr>
      </w:pPr>
      <w:r w:rsidRPr="007B24B4">
        <w:tab/>
      </w:r>
      <w:r w:rsidR="004D61C6" w:rsidRPr="00286E7F">
        <w:rPr>
          <w:rStyle w:val="FootnoteReference"/>
        </w:rPr>
        <w:footnoteRef/>
      </w:r>
      <w:r w:rsidR="004D61C6">
        <w:rPr>
          <w:lang w:val="es-MX"/>
        </w:rPr>
        <w:t xml:space="preserve"> </w:t>
      </w:r>
      <w:r>
        <w:rPr>
          <w:lang w:val="es-MX"/>
        </w:rPr>
        <w:tab/>
      </w:r>
      <w:hyperlink r:id="rId1" w:history="1">
        <w:r w:rsidR="004D61C6" w:rsidRPr="00FB1594">
          <w:rPr>
            <w:rStyle w:val="Hyperlink"/>
            <w:lang w:val="es-ES"/>
          </w:rPr>
          <w:t>E/C.12/ITA/6</w:t>
        </w:r>
      </w:hyperlink>
      <w:r w:rsidR="004D61C6" w:rsidRPr="00FB1594">
        <w:rPr>
          <w:lang w:val="es-ES"/>
        </w:rPr>
        <w:t xml:space="preserve"> </w:t>
      </w:r>
    </w:p>
  </w:footnote>
  <w:footnote w:id="4">
    <w:p w14:paraId="529CDED8" w14:textId="125EC80F" w:rsidR="00EE3AA2" w:rsidRPr="00583688" w:rsidRDefault="00EE3AA2" w:rsidP="00583688">
      <w:pPr>
        <w:pStyle w:val="FootnoteText"/>
        <w:ind w:left="0" w:firstLine="0"/>
        <w:rPr>
          <w:lang w:val="es-ES"/>
        </w:rPr>
      </w:pPr>
      <w:r w:rsidRPr="00583688">
        <w:rPr>
          <w:lang w:val="es-ES"/>
        </w:rPr>
        <w:tab/>
        <w:t xml:space="preserve">                     </w:t>
      </w:r>
      <w:r>
        <w:rPr>
          <w:rStyle w:val="FootnoteReference"/>
        </w:rPr>
        <w:footnoteRef/>
      </w:r>
      <w:r w:rsidRPr="00583688">
        <w:rPr>
          <w:lang w:val="es-ES"/>
        </w:rPr>
        <w:t xml:space="preserve">   </w:t>
      </w:r>
      <w:hyperlink r:id="rId2" w:history="1">
        <w:r w:rsidRPr="00583688">
          <w:rPr>
            <w:rStyle w:val="Hyperlink"/>
            <w:szCs w:val="18"/>
            <w:lang w:val="es-ES"/>
          </w:rPr>
          <w:t>E/C.12/2022/SR.38</w:t>
        </w:r>
      </w:hyperlink>
      <w:r w:rsidRPr="00583688">
        <w:rPr>
          <w:color w:val="000000"/>
          <w:szCs w:val="18"/>
          <w:lang w:val="es-ES"/>
        </w:rPr>
        <w:t xml:space="preserve"> </w:t>
      </w:r>
      <w:hyperlink r:id="rId3" w:history="1">
        <w:r w:rsidRPr="00583688">
          <w:rPr>
            <w:rStyle w:val="Hyperlink"/>
            <w:szCs w:val="18"/>
            <w:lang w:val="es-ES"/>
          </w:rPr>
          <w:t>and E/C.12/2022/SR.39</w:t>
        </w:r>
      </w:hyperlink>
    </w:p>
  </w:footnote>
  <w:footnote w:id="5">
    <w:p w14:paraId="3F4C8F33" w14:textId="77777777" w:rsidR="004D61C6" w:rsidRPr="00FB1594" w:rsidRDefault="00781CB9" w:rsidP="004D61C6">
      <w:pPr>
        <w:pStyle w:val="FootnoteText"/>
        <w:rPr>
          <w:lang w:val="es-ES"/>
        </w:rPr>
      </w:pPr>
      <w:r>
        <w:rPr>
          <w:lang w:val="es-MX"/>
        </w:rPr>
        <w:tab/>
      </w:r>
      <w:r w:rsidR="004D61C6" w:rsidRPr="00286E7F">
        <w:rPr>
          <w:rStyle w:val="FootnoteReference"/>
        </w:rPr>
        <w:footnoteRef/>
      </w:r>
      <w:r w:rsidR="004D61C6">
        <w:rPr>
          <w:lang w:val="es-MX"/>
        </w:rPr>
        <w:t xml:space="preserve"> </w:t>
      </w:r>
      <w:r>
        <w:rPr>
          <w:lang w:val="es-MX"/>
        </w:rPr>
        <w:tab/>
      </w:r>
      <w:hyperlink r:id="rId4" w:history="1">
        <w:r w:rsidR="004D61C6" w:rsidRPr="005761A9">
          <w:rPr>
            <w:rStyle w:val="Hyperlink"/>
            <w:lang w:val="es-MX"/>
          </w:rPr>
          <w:t>E/C.12/ITA/QPR/6</w:t>
        </w:r>
      </w:hyperlink>
    </w:p>
  </w:footnote>
  <w:footnote w:id="6">
    <w:p w14:paraId="7A2CF63D" w14:textId="77777777" w:rsidR="00422B61" w:rsidRPr="00FB1594" w:rsidRDefault="00422B61" w:rsidP="00422B61">
      <w:pPr>
        <w:pStyle w:val="FootnoteText"/>
        <w:rPr>
          <w:lang w:val="es-ES"/>
        </w:rPr>
      </w:pPr>
      <w:r w:rsidRPr="00781CB9">
        <w:rPr>
          <w:lang w:val="es-ES"/>
        </w:rPr>
        <w:tab/>
      </w:r>
      <w:hyperlink r:id="rId5" w:history="1">
        <w:r w:rsidRPr="005D4B7B">
          <w:rPr>
            <w:rStyle w:val="Hyperlink"/>
            <w:vertAlign w:val="superscript"/>
          </w:rPr>
          <w:footnoteRef/>
        </w:r>
        <w:r w:rsidRPr="00FB1594">
          <w:rPr>
            <w:rStyle w:val="Hyperlink"/>
            <w:lang w:val="es-ES"/>
          </w:rPr>
          <w:t xml:space="preserve"> </w:t>
        </w:r>
        <w:r>
          <w:rPr>
            <w:rStyle w:val="Hyperlink"/>
            <w:lang w:val="es-ES"/>
          </w:rPr>
          <w:tab/>
        </w:r>
        <w:r w:rsidRPr="00FB1594">
          <w:rPr>
            <w:rStyle w:val="Hyperlink"/>
            <w:lang w:val="es-ES"/>
          </w:rPr>
          <w:t>E/C.12/1998/24</w:t>
        </w:r>
      </w:hyperlink>
    </w:p>
  </w:footnote>
  <w:footnote w:id="7">
    <w:p w14:paraId="455DBDF5" w14:textId="77777777" w:rsidR="00C570AD" w:rsidRPr="00FB1594" w:rsidRDefault="00A62333">
      <w:pPr>
        <w:pStyle w:val="FootnoteText"/>
        <w:rPr>
          <w:lang w:val="es-ES"/>
        </w:rPr>
      </w:pPr>
      <w:r w:rsidRPr="00A62333">
        <w:rPr>
          <w:lang w:val="es-ES"/>
        </w:rPr>
        <w:tab/>
      </w:r>
      <w:hyperlink r:id="rId6" w:history="1">
        <w:r w:rsidR="00C570AD" w:rsidRPr="00C570AD">
          <w:rPr>
            <w:rStyle w:val="Hyperlink"/>
            <w:vertAlign w:val="superscript"/>
          </w:rPr>
          <w:footnoteRef/>
        </w:r>
        <w:r w:rsidR="00C570AD" w:rsidRPr="00FB1594">
          <w:rPr>
            <w:rStyle w:val="Hyperlink"/>
            <w:lang w:val="es-ES"/>
          </w:rPr>
          <w:t xml:space="preserve"> </w:t>
        </w:r>
        <w:r>
          <w:rPr>
            <w:rStyle w:val="Hyperlink"/>
            <w:lang w:val="es-ES"/>
          </w:rPr>
          <w:tab/>
        </w:r>
        <w:r w:rsidR="00C570AD" w:rsidRPr="00FB1594">
          <w:rPr>
            <w:rStyle w:val="Hyperlink"/>
            <w:lang w:val="es-ES"/>
          </w:rPr>
          <w:t>A/RES/48/134</w:t>
        </w:r>
      </w:hyperlink>
      <w:r w:rsidR="00C570AD" w:rsidRPr="00FB1594">
        <w:rPr>
          <w:lang w:val="es-ES"/>
        </w:rPr>
        <w:t xml:space="preserve"> </w:t>
      </w:r>
    </w:p>
  </w:footnote>
  <w:footnote w:id="8">
    <w:p w14:paraId="646A9507" w14:textId="77777777" w:rsidR="00422B61" w:rsidRPr="00FB1594" w:rsidRDefault="00422B61" w:rsidP="00422B61">
      <w:pPr>
        <w:pStyle w:val="FootnoteText"/>
        <w:rPr>
          <w:lang w:val="es-ES"/>
        </w:rPr>
      </w:pPr>
      <w:r w:rsidRPr="00A62333">
        <w:rPr>
          <w:lang w:val="es-ES"/>
        </w:rPr>
        <w:tab/>
      </w:r>
      <w:hyperlink r:id="rId7" w:history="1">
        <w:r w:rsidRPr="005D4B7B">
          <w:rPr>
            <w:rStyle w:val="Hyperlink"/>
            <w:vertAlign w:val="superscript"/>
          </w:rPr>
          <w:footnoteRef/>
        </w:r>
        <w:r w:rsidRPr="00FB1594">
          <w:rPr>
            <w:rStyle w:val="Hyperlink"/>
            <w:lang w:val="es-ES"/>
          </w:rPr>
          <w:t xml:space="preserve"> </w:t>
        </w:r>
        <w:r>
          <w:rPr>
            <w:rStyle w:val="Hyperlink"/>
            <w:lang w:val="es-ES"/>
          </w:rPr>
          <w:tab/>
        </w:r>
        <w:r w:rsidRPr="00FB1594">
          <w:rPr>
            <w:rStyle w:val="Hyperlink"/>
            <w:lang w:val="es-ES"/>
          </w:rPr>
          <w:t>E/C.12/1998/25</w:t>
        </w:r>
      </w:hyperlink>
    </w:p>
  </w:footnote>
  <w:footnote w:id="9">
    <w:p w14:paraId="1A2A53BC" w14:textId="264852D3" w:rsidR="00800A8D" w:rsidRPr="00453412" w:rsidRDefault="008E66CF">
      <w:pPr>
        <w:pStyle w:val="FootnoteText"/>
        <w:rPr>
          <w:lang w:val="es-ES"/>
        </w:rPr>
      </w:pPr>
      <w:r>
        <w:rPr>
          <w:lang w:val="es-ES"/>
        </w:rPr>
        <w:tab/>
      </w:r>
      <w:r w:rsidR="00800A8D">
        <w:rPr>
          <w:rStyle w:val="FootnoteReference"/>
        </w:rPr>
        <w:footnoteRef/>
      </w:r>
      <w:r w:rsidR="00800A8D" w:rsidRPr="00453412">
        <w:rPr>
          <w:lang w:val="es-ES"/>
        </w:rPr>
        <w:t xml:space="preserve"> </w:t>
      </w:r>
      <w:r>
        <w:rPr>
          <w:lang w:val="es-ES"/>
        </w:rPr>
        <w:tab/>
      </w:r>
      <w:hyperlink r:id="rId8" w:history="1">
        <w:r w:rsidR="00800A8D" w:rsidRPr="00453412">
          <w:rPr>
            <w:rStyle w:val="Hyperlink"/>
            <w:lang w:val="es-ES"/>
          </w:rPr>
          <w:t>E/C.12/GC/24</w:t>
        </w:r>
      </w:hyperlink>
    </w:p>
  </w:footnote>
  <w:footnote w:id="10">
    <w:p w14:paraId="0C5E0B67" w14:textId="77777777" w:rsidR="00612040" w:rsidRPr="00FB1594" w:rsidRDefault="00612040" w:rsidP="00612040">
      <w:pPr>
        <w:pStyle w:val="FootnoteText"/>
        <w:rPr>
          <w:lang w:val="es-ES"/>
        </w:rPr>
      </w:pPr>
      <w:r w:rsidRPr="00FB1594">
        <w:rPr>
          <w:lang w:val="es-ES"/>
        </w:rPr>
        <w:tab/>
      </w:r>
      <w:r w:rsidRPr="0063370B">
        <w:rPr>
          <w:rStyle w:val="FootnoteReference"/>
        </w:rPr>
        <w:footnoteRef/>
      </w:r>
      <w:r>
        <w:rPr>
          <w:lang w:val="es-ES"/>
        </w:rPr>
        <w:tab/>
      </w:r>
      <w:hyperlink r:id="rId9" w:history="1">
        <w:r w:rsidRPr="00FB1594">
          <w:rPr>
            <w:rStyle w:val="Hyperlink"/>
            <w:lang w:val="es-ES"/>
          </w:rPr>
          <w:t>E/C.12/2018/1</w:t>
        </w:r>
      </w:hyperlink>
    </w:p>
  </w:footnote>
  <w:footnote w:id="11">
    <w:p w14:paraId="045514CB" w14:textId="77777777" w:rsidR="006C406D" w:rsidRPr="00FB1594" w:rsidRDefault="006C406D" w:rsidP="006C406D">
      <w:pPr>
        <w:pStyle w:val="FootnoteText"/>
        <w:rPr>
          <w:lang w:val="es-ES"/>
        </w:rPr>
      </w:pPr>
      <w:r w:rsidRPr="00FB1594">
        <w:rPr>
          <w:lang w:val="es-ES"/>
        </w:rPr>
        <w:tab/>
      </w:r>
      <w:r w:rsidRPr="0063370B">
        <w:rPr>
          <w:rStyle w:val="FootnoteReference"/>
        </w:rPr>
        <w:footnoteRef/>
      </w:r>
      <w:r w:rsidRPr="00FB1594">
        <w:rPr>
          <w:lang w:val="es-ES"/>
        </w:rPr>
        <w:t xml:space="preserve"> </w:t>
      </w:r>
      <w:r w:rsidR="00A62333">
        <w:rPr>
          <w:lang w:val="es-ES"/>
        </w:rPr>
        <w:tab/>
      </w:r>
      <w:hyperlink r:id="rId10" w:history="1">
        <w:r w:rsidRPr="00FB1594">
          <w:rPr>
            <w:rStyle w:val="Hyperlink"/>
            <w:lang w:val="es-ES"/>
          </w:rPr>
          <w:t>E/C.12/ITA/CO/5 para 11</w:t>
        </w:r>
      </w:hyperlink>
    </w:p>
  </w:footnote>
  <w:footnote w:id="12">
    <w:p w14:paraId="4F0B62B2" w14:textId="77777777" w:rsidR="000E19F5" w:rsidRPr="00FB1594" w:rsidRDefault="00A62333" w:rsidP="000E19F5">
      <w:pPr>
        <w:pStyle w:val="FootnoteText"/>
        <w:rPr>
          <w:lang w:val="es-ES"/>
        </w:rPr>
      </w:pPr>
      <w:r>
        <w:rPr>
          <w:lang w:val="es-ES"/>
        </w:rPr>
        <w:tab/>
      </w:r>
      <w:r w:rsidR="000E19F5">
        <w:rPr>
          <w:rStyle w:val="FootnoteReference"/>
        </w:rPr>
        <w:footnoteRef/>
      </w:r>
      <w:r w:rsidR="000E19F5" w:rsidRPr="00FB1594">
        <w:rPr>
          <w:lang w:val="es-ES"/>
        </w:rPr>
        <w:t xml:space="preserve"> </w:t>
      </w:r>
      <w:r>
        <w:rPr>
          <w:lang w:val="es-ES"/>
        </w:rPr>
        <w:tab/>
      </w:r>
      <w:hyperlink r:id="rId11" w:history="1">
        <w:r w:rsidR="003054BE" w:rsidRPr="00FB1594">
          <w:rPr>
            <w:rStyle w:val="Hyperlink"/>
            <w:lang w:val="es-ES"/>
          </w:rPr>
          <w:t>E/C.12/2016/1</w:t>
        </w:r>
      </w:hyperlink>
    </w:p>
  </w:footnote>
  <w:footnote w:id="13">
    <w:p w14:paraId="1E56B513" w14:textId="77777777" w:rsidR="00D6440A" w:rsidRPr="00FB1594" w:rsidRDefault="00D6440A" w:rsidP="00D6440A">
      <w:pPr>
        <w:pStyle w:val="FootnoteText"/>
        <w:rPr>
          <w:lang w:val="es-ES"/>
        </w:rPr>
      </w:pPr>
      <w:r>
        <w:rPr>
          <w:lang w:val="es-ES"/>
        </w:rPr>
        <w:tab/>
      </w:r>
      <w:r>
        <w:rPr>
          <w:rStyle w:val="FootnoteReference"/>
        </w:rPr>
        <w:footnoteRef/>
      </w:r>
      <w:r w:rsidRPr="00FB1594">
        <w:rPr>
          <w:lang w:val="es-ES"/>
        </w:rPr>
        <w:t xml:space="preserve"> </w:t>
      </w:r>
      <w:r>
        <w:rPr>
          <w:lang w:val="es-ES"/>
        </w:rPr>
        <w:tab/>
      </w:r>
      <w:hyperlink r:id="rId12" w:history="1">
        <w:r w:rsidRPr="00FB1594">
          <w:rPr>
            <w:rStyle w:val="Hyperlink"/>
            <w:lang w:val="es-ES"/>
          </w:rPr>
          <w:t>E/C.12/GC/20</w:t>
        </w:r>
      </w:hyperlink>
    </w:p>
  </w:footnote>
  <w:footnote w:id="14">
    <w:p w14:paraId="6EA0A464" w14:textId="77777777" w:rsidR="00DE288B" w:rsidRPr="00FB1594" w:rsidRDefault="00DE288B" w:rsidP="00DE288B">
      <w:pPr>
        <w:pStyle w:val="FootnoteText"/>
        <w:rPr>
          <w:lang w:val="es-ES"/>
        </w:rPr>
      </w:pPr>
      <w:r w:rsidRPr="00FB1594">
        <w:rPr>
          <w:lang w:val="es-ES"/>
        </w:rPr>
        <w:tab/>
      </w:r>
      <w:r>
        <w:rPr>
          <w:rStyle w:val="FootnoteReference"/>
        </w:rPr>
        <w:footnoteRef/>
      </w:r>
      <w:r w:rsidRPr="00FB1594">
        <w:rPr>
          <w:lang w:val="es-ES"/>
        </w:rPr>
        <w:t xml:space="preserve"> </w:t>
      </w:r>
      <w:r w:rsidR="00A62333">
        <w:rPr>
          <w:lang w:val="es-ES"/>
        </w:rPr>
        <w:tab/>
      </w:r>
      <w:hyperlink r:id="rId13" w:history="1">
        <w:r w:rsidRPr="00FB1594">
          <w:rPr>
            <w:rStyle w:val="Hyperlink"/>
            <w:rFonts w:eastAsia="Malgun Gothic"/>
            <w:lang w:val="es-ES"/>
          </w:rPr>
          <w:t>CRPD/C/ITA/CO1 para 9</w:t>
        </w:r>
      </w:hyperlink>
    </w:p>
  </w:footnote>
  <w:footnote w:id="15">
    <w:p w14:paraId="23CF824C" w14:textId="77777777" w:rsidR="00DE288B" w:rsidRPr="00FB1594" w:rsidRDefault="00DE288B" w:rsidP="00DE288B">
      <w:pPr>
        <w:pStyle w:val="FootnoteText"/>
        <w:rPr>
          <w:lang w:val="es-ES"/>
        </w:rPr>
      </w:pPr>
      <w:r w:rsidRPr="00FB1594">
        <w:rPr>
          <w:lang w:val="es-ES"/>
        </w:rPr>
        <w:tab/>
      </w:r>
      <w:r>
        <w:rPr>
          <w:rStyle w:val="FootnoteReference"/>
        </w:rPr>
        <w:footnoteRef/>
      </w:r>
      <w:r w:rsidRPr="00FB1594">
        <w:rPr>
          <w:lang w:val="es-ES"/>
        </w:rPr>
        <w:t xml:space="preserve"> </w:t>
      </w:r>
      <w:r w:rsidR="00A62333">
        <w:rPr>
          <w:lang w:val="es-ES"/>
        </w:rPr>
        <w:tab/>
      </w:r>
      <w:hyperlink r:id="rId14" w:history="1">
        <w:r w:rsidRPr="00FB1594">
          <w:rPr>
            <w:rStyle w:val="Hyperlink"/>
            <w:rFonts w:eastAsia="Malgun Gothic"/>
            <w:lang w:val="es-ES"/>
          </w:rPr>
          <w:t>CRPD/C/ITA/CO/1 para 9</w:t>
        </w:r>
      </w:hyperlink>
    </w:p>
  </w:footnote>
  <w:footnote w:id="16">
    <w:p w14:paraId="6AC672A7" w14:textId="77777777" w:rsidR="00DE288B" w:rsidRPr="00FB1594" w:rsidRDefault="00DE288B" w:rsidP="00DE288B">
      <w:pPr>
        <w:pStyle w:val="FootnoteText"/>
        <w:rPr>
          <w:lang w:val="es-ES"/>
        </w:rPr>
      </w:pPr>
      <w:r w:rsidRPr="00FB1594">
        <w:rPr>
          <w:lang w:val="es-ES"/>
        </w:rPr>
        <w:tab/>
      </w:r>
      <w:r w:rsidRPr="00AD0B0D">
        <w:rPr>
          <w:rStyle w:val="FootnoteReference"/>
        </w:rPr>
        <w:footnoteRef/>
      </w:r>
      <w:r w:rsidRPr="00FB1594">
        <w:rPr>
          <w:lang w:val="es-ES"/>
        </w:rPr>
        <w:t xml:space="preserve"> </w:t>
      </w:r>
      <w:r w:rsidR="00A62333">
        <w:rPr>
          <w:lang w:val="es-ES"/>
        </w:rPr>
        <w:tab/>
      </w:r>
      <w:hyperlink r:id="rId15" w:history="1">
        <w:r w:rsidRPr="00FB1594">
          <w:rPr>
            <w:rStyle w:val="Hyperlink"/>
            <w:rFonts w:eastAsia="Malgun Gothic"/>
            <w:lang w:val="es-ES"/>
          </w:rPr>
          <w:t>CRPD/C/ITA/CO/1 para 6 and 10</w:t>
        </w:r>
      </w:hyperlink>
      <w:r w:rsidRPr="00FB1594">
        <w:rPr>
          <w:rFonts w:eastAsia="Malgun Gothic"/>
          <w:lang w:val="es-ES"/>
        </w:rPr>
        <w:t xml:space="preserve"> </w:t>
      </w:r>
    </w:p>
  </w:footnote>
  <w:footnote w:id="17">
    <w:p w14:paraId="5A2950BA" w14:textId="77777777" w:rsidR="000A0C8E" w:rsidRPr="00FB1594" w:rsidRDefault="00781CB9">
      <w:pPr>
        <w:pStyle w:val="FootnoteText"/>
        <w:rPr>
          <w:lang w:val="es-ES"/>
        </w:rPr>
      </w:pPr>
      <w:r>
        <w:rPr>
          <w:lang w:val="es-ES"/>
        </w:rPr>
        <w:tab/>
      </w:r>
      <w:r w:rsidR="000A0C8E">
        <w:rPr>
          <w:rStyle w:val="FootnoteReference"/>
        </w:rPr>
        <w:footnoteRef/>
      </w:r>
      <w:r w:rsidR="000A0C8E" w:rsidRPr="00FB1594">
        <w:rPr>
          <w:lang w:val="es-ES"/>
        </w:rPr>
        <w:t xml:space="preserve"> </w:t>
      </w:r>
      <w:r w:rsidR="00A62333">
        <w:rPr>
          <w:lang w:val="es-ES"/>
        </w:rPr>
        <w:tab/>
      </w:r>
      <w:hyperlink r:id="rId16" w:history="1">
        <w:r w:rsidR="000A0C8E" w:rsidRPr="00FB1594">
          <w:rPr>
            <w:rStyle w:val="Hyperlink"/>
            <w:lang w:val="es-ES"/>
          </w:rPr>
          <w:t>CRPD/C/27/ D/51/2018 para 8 (b) (i)</w:t>
        </w:r>
      </w:hyperlink>
    </w:p>
  </w:footnote>
  <w:footnote w:id="18">
    <w:p w14:paraId="1F443A15" w14:textId="77777777" w:rsidR="00A640EC" w:rsidRPr="00FB1594" w:rsidRDefault="00A640EC" w:rsidP="00A640EC">
      <w:pPr>
        <w:pStyle w:val="FootnoteText"/>
        <w:rPr>
          <w:lang w:val="es-ES"/>
        </w:rPr>
      </w:pPr>
      <w:r>
        <w:rPr>
          <w:lang w:val="es-ES"/>
        </w:rPr>
        <w:tab/>
      </w:r>
      <w:r>
        <w:rPr>
          <w:rStyle w:val="FootnoteReference"/>
        </w:rPr>
        <w:footnoteRef/>
      </w:r>
      <w:r w:rsidRPr="00FB1594">
        <w:rPr>
          <w:lang w:val="es-ES"/>
        </w:rPr>
        <w:t xml:space="preserve"> </w:t>
      </w:r>
      <w:r>
        <w:rPr>
          <w:lang w:val="es-ES"/>
        </w:rPr>
        <w:tab/>
      </w:r>
      <w:hyperlink r:id="rId17" w:history="1">
        <w:r w:rsidRPr="00FB1594">
          <w:rPr>
            <w:rStyle w:val="Hyperlink"/>
            <w:lang w:val="es-ES"/>
          </w:rPr>
          <w:t>E/C.12/2005/4</w:t>
        </w:r>
      </w:hyperlink>
    </w:p>
  </w:footnote>
  <w:footnote w:id="19">
    <w:p w14:paraId="1774F838" w14:textId="77777777" w:rsidR="00A640EC" w:rsidRPr="00FB1594" w:rsidRDefault="00A640EC" w:rsidP="00A640EC">
      <w:pPr>
        <w:pStyle w:val="FootnoteText"/>
        <w:rPr>
          <w:lang w:val="es-ES"/>
        </w:rPr>
      </w:pPr>
      <w:r>
        <w:rPr>
          <w:lang w:val="es-ES"/>
        </w:rPr>
        <w:tab/>
      </w:r>
      <w:r w:rsidRPr="005847B7">
        <w:rPr>
          <w:rStyle w:val="FootnoteReference"/>
        </w:rPr>
        <w:footnoteRef/>
      </w:r>
      <w:r w:rsidRPr="00FB1594">
        <w:rPr>
          <w:lang w:val="es-ES"/>
        </w:rPr>
        <w:t xml:space="preserve"> </w:t>
      </w:r>
      <w:r>
        <w:rPr>
          <w:lang w:val="es-ES"/>
        </w:rPr>
        <w:tab/>
      </w:r>
      <w:hyperlink r:id="rId18" w:history="1">
        <w:r w:rsidRPr="00FB1594">
          <w:rPr>
            <w:rStyle w:val="Hyperlink"/>
            <w:lang w:val="es-ES" w:eastAsia="en-GB"/>
          </w:rPr>
          <w:t>E/C.12/ITA/CO/5 para 23</w:t>
        </w:r>
      </w:hyperlink>
    </w:p>
  </w:footnote>
  <w:footnote w:id="20">
    <w:p w14:paraId="4AA214E6" w14:textId="77777777" w:rsidR="00D6244B" w:rsidRPr="00FB1594" w:rsidRDefault="00A62333" w:rsidP="00D6244B">
      <w:pPr>
        <w:pStyle w:val="FootnoteText"/>
        <w:rPr>
          <w:lang w:val="es-ES"/>
        </w:rPr>
      </w:pPr>
      <w:r>
        <w:rPr>
          <w:lang w:val="es-ES"/>
        </w:rPr>
        <w:tab/>
      </w:r>
      <w:r w:rsidR="00D6244B" w:rsidRPr="005847B7">
        <w:rPr>
          <w:rStyle w:val="FootnoteReference"/>
        </w:rPr>
        <w:footnoteRef/>
      </w:r>
      <w:r w:rsidR="00D6244B" w:rsidRPr="00FB1594">
        <w:rPr>
          <w:lang w:val="es-ES"/>
        </w:rPr>
        <w:t xml:space="preserve"> </w:t>
      </w:r>
      <w:r>
        <w:rPr>
          <w:lang w:val="es-ES"/>
        </w:rPr>
        <w:tab/>
      </w:r>
      <w:hyperlink r:id="rId19" w:history="1">
        <w:r w:rsidR="00D6244B" w:rsidRPr="00FB1594">
          <w:rPr>
            <w:rStyle w:val="Hyperlink"/>
            <w:lang w:val="es-ES"/>
          </w:rPr>
          <w:t>E/C.12/ITA/CO/5 para 25</w:t>
        </w:r>
      </w:hyperlink>
    </w:p>
  </w:footnote>
  <w:footnote w:id="21">
    <w:p w14:paraId="4708A4AE" w14:textId="77777777" w:rsidR="00090536" w:rsidRPr="00FB1594" w:rsidRDefault="00A62333" w:rsidP="00090536">
      <w:pPr>
        <w:pStyle w:val="FootnoteText"/>
        <w:rPr>
          <w:lang w:val="es-ES"/>
        </w:rPr>
      </w:pPr>
      <w:r>
        <w:rPr>
          <w:lang w:val="es-ES"/>
        </w:rPr>
        <w:tab/>
      </w:r>
      <w:r w:rsidR="00090536" w:rsidRPr="005847B7">
        <w:rPr>
          <w:rStyle w:val="FootnoteReference"/>
        </w:rPr>
        <w:footnoteRef/>
      </w:r>
      <w:r w:rsidR="00090536" w:rsidRPr="00FB1594">
        <w:rPr>
          <w:lang w:val="es-ES"/>
        </w:rPr>
        <w:t xml:space="preserve"> </w:t>
      </w:r>
      <w:r>
        <w:rPr>
          <w:lang w:val="es-ES"/>
        </w:rPr>
        <w:tab/>
      </w:r>
      <w:hyperlink r:id="rId20" w:history="1">
        <w:r w:rsidR="00090536" w:rsidRPr="00FB1594">
          <w:rPr>
            <w:rStyle w:val="Hyperlink"/>
            <w:lang w:val="es-ES" w:eastAsia="en-GB"/>
          </w:rPr>
          <w:t>E/C.12/ITA/CO/5 para 29</w:t>
        </w:r>
      </w:hyperlink>
    </w:p>
  </w:footnote>
  <w:footnote w:id="22">
    <w:p w14:paraId="784622F5" w14:textId="77777777" w:rsidR="00BC1A1C" w:rsidRPr="00FB1594" w:rsidRDefault="00BC1A1C" w:rsidP="00BC1A1C">
      <w:pPr>
        <w:pStyle w:val="FootnoteText"/>
        <w:rPr>
          <w:lang w:val="es-ES"/>
        </w:rPr>
      </w:pPr>
      <w:r>
        <w:rPr>
          <w:lang w:val="es-ES"/>
        </w:rPr>
        <w:tab/>
      </w:r>
      <w:r>
        <w:rPr>
          <w:rStyle w:val="FootnoteReference"/>
        </w:rPr>
        <w:footnoteRef/>
      </w:r>
      <w:r w:rsidRPr="00FB1594">
        <w:rPr>
          <w:lang w:val="es-ES"/>
        </w:rPr>
        <w:t xml:space="preserve"> </w:t>
      </w:r>
      <w:r>
        <w:rPr>
          <w:lang w:val="es-ES"/>
        </w:rPr>
        <w:tab/>
      </w:r>
      <w:hyperlink r:id="rId21" w:history="1">
        <w:r w:rsidRPr="00FB1594">
          <w:rPr>
            <w:rStyle w:val="Hyperlink"/>
            <w:lang w:val="es-ES"/>
          </w:rPr>
          <w:t>E/C.12/GC/23</w:t>
        </w:r>
      </w:hyperlink>
    </w:p>
  </w:footnote>
  <w:footnote w:id="23">
    <w:p w14:paraId="78356005" w14:textId="77777777" w:rsidR="00640F3F" w:rsidRPr="00FB1594" w:rsidRDefault="00640F3F" w:rsidP="00640F3F">
      <w:pPr>
        <w:pStyle w:val="FootnoteText"/>
        <w:rPr>
          <w:lang w:val="es-ES"/>
        </w:rPr>
      </w:pPr>
      <w:r>
        <w:rPr>
          <w:lang w:val="es-ES"/>
        </w:rPr>
        <w:tab/>
      </w:r>
      <w:r w:rsidRPr="005847B7">
        <w:rPr>
          <w:rStyle w:val="FootnoteReference"/>
        </w:rPr>
        <w:footnoteRef/>
      </w:r>
      <w:r w:rsidRPr="00FB1594">
        <w:rPr>
          <w:lang w:val="es-ES"/>
        </w:rPr>
        <w:t xml:space="preserve"> </w:t>
      </w:r>
      <w:r>
        <w:rPr>
          <w:lang w:val="es-ES"/>
        </w:rPr>
        <w:tab/>
      </w:r>
      <w:hyperlink r:id="rId22" w:history="1">
        <w:r w:rsidRPr="00FB1594">
          <w:rPr>
            <w:rStyle w:val="Hyperlink"/>
            <w:lang w:val="es-ES"/>
          </w:rPr>
          <w:t>E/C.12/ITA/CO/5 para 39</w:t>
        </w:r>
      </w:hyperlink>
    </w:p>
  </w:footnote>
  <w:footnote w:id="24">
    <w:p w14:paraId="32B196F4" w14:textId="77777777" w:rsidR="00640F3F" w:rsidRPr="00872F85" w:rsidRDefault="00640F3F" w:rsidP="00640F3F">
      <w:pPr>
        <w:pStyle w:val="FootnoteText"/>
      </w:pPr>
      <w:r>
        <w:rPr>
          <w:lang w:val="es-ES"/>
        </w:rPr>
        <w:tab/>
      </w:r>
      <w:r w:rsidRPr="005847B7">
        <w:rPr>
          <w:rStyle w:val="FootnoteReference"/>
        </w:rPr>
        <w:footnoteRef/>
      </w:r>
      <w:r w:rsidRPr="00872F85">
        <w:t xml:space="preserve"> </w:t>
      </w:r>
      <w:r w:rsidRPr="00872F85">
        <w:tab/>
      </w:r>
      <w:hyperlink r:id="rId23" w:history="1">
        <w:r w:rsidRPr="00872F85">
          <w:rPr>
            <w:rStyle w:val="Hyperlink"/>
          </w:rPr>
          <w:t>E/C.12/2001/10</w:t>
        </w:r>
      </w:hyperlink>
    </w:p>
  </w:footnote>
  <w:footnote w:id="25">
    <w:p w14:paraId="3216751F" w14:textId="35B4D589" w:rsidR="00A87CEC" w:rsidRDefault="00B77F59" w:rsidP="00F96333">
      <w:pPr>
        <w:pStyle w:val="FootnoteText"/>
      </w:pPr>
      <w:r w:rsidRPr="00872F85">
        <w:tab/>
        <w:t xml:space="preserve">                    </w:t>
      </w:r>
      <w:r w:rsidR="00A87CEC">
        <w:rPr>
          <w:rStyle w:val="FootnoteReference"/>
        </w:rPr>
        <w:footnoteRef/>
      </w:r>
      <w:r w:rsidR="00AA0911">
        <w:t xml:space="preserve"> </w:t>
      </w:r>
      <w:r w:rsidR="00A87CEC">
        <w:t xml:space="preserve"> </w:t>
      </w:r>
      <w:hyperlink r:id="rId24" w:history="1">
        <w:r w:rsidR="00A87CEC" w:rsidRPr="00A87CEC">
          <w:rPr>
            <w:rStyle w:val="Hyperlink"/>
          </w:rPr>
          <w:t xml:space="preserve">General </w:t>
        </w:r>
        <w:r w:rsidR="00A87CEC" w:rsidRPr="00872F85">
          <w:rPr>
            <w:rStyle w:val="Hyperlink"/>
          </w:rPr>
          <w:t>comment</w:t>
        </w:r>
        <w:r w:rsidR="00A87CEC" w:rsidRPr="00A87CEC">
          <w:rPr>
            <w:rStyle w:val="Hyperlink"/>
          </w:rPr>
          <w:t xml:space="preserve"> No. 4:  The right to adequate housing (art. 11 (1) of the Covenant)</w:t>
        </w:r>
      </w:hyperlink>
    </w:p>
  </w:footnote>
  <w:footnote w:id="26">
    <w:p w14:paraId="31BD886E" w14:textId="16FFA5BE" w:rsidR="001801A0" w:rsidRPr="00872F85" w:rsidRDefault="00AA0911" w:rsidP="001801A0">
      <w:pPr>
        <w:pStyle w:val="FootnoteText"/>
      </w:pPr>
      <w:r w:rsidRPr="00872F85">
        <w:tab/>
      </w:r>
      <w:r w:rsidR="001801A0" w:rsidRPr="005847B7">
        <w:rPr>
          <w:rStyle w:val="FootnoteReference"/>
        </w:rPr>
        <w:footnoteRef/>
      </w:r>
      <w:r w:rsidR="001801A0" w:rsidRPr="00872F85">
        <w:t xml:space="preserve"> </w:t>
      </w:r>
      <w:r w:rsidR="00A62333" w:rsidRPr="00872F85">
        <w:tab/>
      </w:r>
      <w:hyperlink r:id="rId25" w:history="1">
        <w:r w:rsidR="001801A0" w:rsidRPr="00872F85">
          <w:rPr>
            <w:rStyle w:val="Hyperlink"/>
          </w:rPr>
          <w:t>A/HRC/43/44/Add.5 para 115 h) and m)</w:t>
        </w:r>
      </w:hyperlink>
    </w:p>
  </w:footnote>
  <w:footnote w:id="27">
    <w:p w14:paraId="4F27C07F" w14:textId="77777777" w:rsidR="00C42D9B" w:rsidRPr="00FB1594" w:rsidRDefault="00A62333" w:rsidP="00C42D9B">
      <w:pPr>
        <w:pStyle w:val="FootnoteText"/>
        <w:rPr>
          <w:lang w:val="es-ES"/>
        </w:rPr>
      </w:pPr>
      <w:r w:rsidRPr="00872F85">
        <w:tab/>
      </w:r>
      <w:r w:rsidR="00C42D9B" w:rsidRPr="005847B7">
        <w:rPr>
          <w:rStyle w:val="FootnoteReference"/>
        </w:rPr>
        <w:footnoteRef/>
      </w:r>
      <w:r w:rsidR="00C42D9B" w:rsidRPr="00FB1594">
        <w:rPr>
          <w:lang w:val="es-ES"/>
        </w:rPr>
        <w:t xml:space="preserve"> </w:t>
      </w:r>
      <w:r>
        <w:rPr>
          <w:lang w:val="es-ES"/>
        </w:rPr>
        <w:tab/>
      </w:r>
      <w:hyperlink r:id="rId26" w:history="1">
        <w:r w:rsidR="00C42D9B" w:rsidRPr="00FB1594">
          <w:rPr>
            <w:rStyle w:val="Hyperlink"/>
            <w:lang w:val="es-ES" w:eastAsia="en-GB"/>
          </w:rPr>
          <w:t>E/C.12/ITA/CO/5 para</w:t>
        </w:r>
        <w:r w:rsidR="00C42D9B" w:rsidRPr="00FB1594">
          <w:rPr>
            <w:rStyle w:val="Hyperlink"/>
            <w:lang w:val="es-ES"/>
          </w:rPr>
          <w:t xml:space="preserve"> 47 a)</w:t>
        </w:r>
      </w:hyperlink>
    </w:p>
  </w:footnote>
  <w:footnote w:id="28">
    <w:p w14:paraId="08F7B15E" w14:textId="6363B44A" w:rsidR="005A2C69" w:rsidRPr="00872F85" w:rsidRDefault="00B77F59">
      <w:pPr>
        <w:pStyle w:val="FootnoteText"/>
        <w:rPr>
          <w:lang w:val="es-ES"/>
        </w:rPr>
      </w:pPr>
      <w:r w:rsidRPr="00872F85">
        <w:rPr>
          <w:lang w:val="es-ES"/>
        </w:rPr>
        <w:tab/>
        <w:t xml:space="preserve">                    </w:t>
      </w:r>
      <w:hyperlink r:id="rId27" w:history="1">
        <w:r w:rsidR="005A2C69" w:rsidRPr="005A2C69">
          <w:rPr>
            <w:rStyle w:val="Hyperlink"/>
            <w:color w:val="auto"/>
            <w:vertAlign w:val="superscript"/>
          </w:rPr>
          <w:footnoteRef/>
        </w:r>
        <w:r w:rsidR="005A2C69" w:rsidRPr="00872F85">
          <w:rPr>
            <w:rStyle w:val="Hyperlink"/>
            <w:color w:val="auto"/>
            <w:lang w:val="es-ES"/>
          </w:rPr>
          <w:t xml:space="preserve"> </w:t>
        </w:r>
        <w:r w:rsidRPr="00872F85">
          <w:rPr>
            <w:rStyle w:val="Hyperlink"/>
            <w:color w:val="auto"/>
            <w:lang w:val="es-ES"/>
          </w:rPr>
          <w:t xml:space="preserve"> </w:t>
        </w:r>
        <w:r w:rsidR="005A2C69" w:rsidRPr="00872F85">
          <w:rPr>
            <w:rStyle w:val="Hyperlink"/>
            <w:lang w:val="es-ES"/>
          </w:rPr>
          <w:t>E/C.12/2000/4</w:t>
        </w:r>
      </w:hyperlink>
    </w:p>
  </w:footnote>
  <w:footnote w:id="29">
    <w:p w14:paraId="4310AE7D" w14:textId="77777777" w:rsidR="00B46BB7" w:rsidRPr="00FB1594" w:rsidRDefault="00A62333" w:rsidP="00B46BB7">
      <w:pPr>
        <w:pStyle w:val="FootnoteText"/>
        <w:rPr>
          <w:lang w:val="es-ES"/>
        </w:rPr>
      </w:pPr>
      <w:r>
        <w:rPr>
          <w:lang w:val="es-ES"/>
        </w:rPr>
        <w:tab/>
      </w:r>
      <w:r w:rsidR="00B46BB7" w:rsidRPr="005847B7">
        <w:rPr>
          <w:rStyle w:val="FootnoteReference"/>
        </w:rPr>
        <w:footnoteRef/>
      </w:r>
      <w:r w:rsidR="00B46BB7" w:rsidRPr="00FB1594">
        <w:rPr>
          <w:lang w:val="es-ES"/>
        </w:rPr>
        <w:t xml:space="preserve"> </w:t>
      </w:r>
      <w:r>
        <w:rPr>
          <w:lang w:val="es-ES"/>
        </w:rPr>
        <w:tab/>
      </w:r>
      <w:hyperlink r:id="rId28" w:history="1">
        <w:r w:rsidR="00B46BB7" w:rsidRPr="00FB1594">
          <w:rPr>
            <w:rStyle w:val="Hyperlink"/>
            <w:lang w:val="es-ES" w:eastAsia="en-GB"/>
          </w:rPr>
          <w:t>E/C.12/ITA/CO/5 para</w:t>
        </w:r>
        <w:r w:rsidR="00B46BB7" w:rsidRPr="00FB1594">
          <w:rPr>
            <w:rStyle w:val="Hyperlink"/>
            <w:lang w:val="es-ES"/>
          </w:rPr>
          <w:t xml:space="preserve"> 51</w:t>
        </w:r>
      </w:hyperlink>
    </w:p>
  </w:footnote>
  <w:footnote w:id="30">
    <w:p w14:paraId="70EE5FE7" w14:textId="77777777" w:rsidR="0067690F" w:rsidRPr="00FB1594" w:rsidRDefault="00A62333" w:rsidP="0067690F">
      <w:pPr>
        <w:pStyle w:val="FootnoteText"/>
        <w:rPr>
          <w:lang w:val="es-ES"/>
        </w:rPr>
      </w:pPr>
      <w:r>
        <w:rPr>
          <w:lang w:val="es-ES"/>
        </w:rPr>
        <w:tab/>
      </w:r>
      <w:r w:rsidR="0067690F" w:rsidRPr="005847B7">
        <w:rPr>
          <w:rStyle w:val="FootnoteReference"/>
        </w:rPr>
        <w:footnoteRef/>
      </w:r>
      <w:r w:rsidR="0067690F" w:rsidRPr="00FB1594">
        <w:rPr>
          <w:lang w:val="es-ES"/>
        </w:rPr>
        <w:t xml:space="preserve"> </w:t>
      </w:r>
      <w:r>
        <w:rPr>
          <w:lang w:val="es-ES"/>
        </w:rPr>
        <w:tab/>
      </w:r>
      <w:hyperlink r:id="rId29" w:history="1">
        <w:r w:rsidR="0067690F" w:rsidRPr="00FB1594">
          <w:rPr>
            <w:rStyle w:val="Hyperlink"/>
            <w:lang w:val="es-ES" w:eastAsia="en-GB"/>
          </w:rPr>
          <w:t>E/C.12/ITA/CO/5 para</w:t>
        </w:r>
        <w:r w:rsidR="0067690F" w:rsidRPr="00FB1594">
          <w:rPr>
            <w:rStyle w:val="Hyperlink"/>
            <w:lang w:val="es-ES"/>
          </w:rPr>
          <w:t xml:space="preserve"> 49</w:t>
        </w:r>
      </w:hyperlink>
    </w:p>
  </w:footnote>
  <w:footnote w:id="31">
    <w:p w14:paraId="2CB00E78" w14:textId="77777777" w:rsidR="00640F3F" w:rsidRPr="00FB1594" w:rsidRDefault="00640F3F" w:rsidP="00640F3F">
      <w:pPr>
        <w:pStyle w:val="FootnoteText"/>
        <w:rPr>
          <w:lang w:val="es-ES"/>
        </w:rPr>
      </w:pPr>
      <w:r w:rsidRPr="00872F85">
        <w:rPr>
          <w:lang w:val="es-ES"/>
        </w:rPr>
        <w:tab/>
      </w:r>
      <w:hyperlink r:id="rId30" w:history="1">
        <w:r w:rsidRPr="00AA0911">
          <w:rPr>
            <w:rStyle w:val="Hyperlink"/>
            <w:color w:val="auto"/>
            <w:vertAlign w:val="superscript"/>
          </w:rPr>
          <w:footnoteRef/>
        </w:r>
        <w:r w:rsidRPr="00FB1594">
          <w:rPr>
            <w:rStyle w:val="Hyperlink"/>
            <w:lang w:val="es-ES"/>
          </w:rPr>
          <w:t xml:space="preserve"> </w:t>
        </w:r>
        <w:r>
          <w:rPr>
            <w:rStyle w:val="Hyperlink"/>
            <w:lang w:val="es-ES"/>
          </w:rPr>
          <w:tab/>
        </w:r>
        <w:r w:rsidRPr="00FB1594">
          <w:rPr>
            <w:rStyle w:val="Hyperlink"/>
            <w:szCs w:val="18"/>
            <w:shd w:val="clear" w:color="auto" w:fill="FFFFFF"/>
            <w:lang w:val="es-ES"/>
          </w:rPr>
          <w:t>E/C.12/GC/22</w:t>
        </w:r>
      </w:hyperlink>
    </w:p>
  </w:footnote>
  <w:footnote w:id="32">
    <w:p w14:paraId="03E20759" w14:textId="77777777" w:rsidR="002F3BAB" w:rsidRPr="00A62333" w:rsidRDefault="00A62333" w:rsidP="002F3BAB">
      <w:pPr>
        <w:pStyle w:val="FootnoteText"/>
        <w:rPr>
          <w:lang w:val="es-ES"/>
        </w:rPr>
      </w:pPr>
      <w:r>
        <w:rPr>
          <w:lang w:val="es-ES"/>
        </w:rPr>
        <w:tab/>
      </w:r>
      <w:r w:rsidR="002F3BAB" w:rsidRPr="005847B7">
        <w:rPr>
          <w:rStyle w:val="FootnoteReference"/>
        </w:rPr>
        <w:footnoteRef/>
      </w:r>
      <w:r w:rsidR="002F3BAB" w:rsidRPr="00A62333">
        <w:rPr>
          <w:lang w:val="es-ES"/>
        </w:rPr>
        <w:t xml:space="preserve"> </w:t>
      </w:r>
      <w:r>
        <w:rPr>
          <w:lang w:val="es-ES"/>
        </w:rPr>
        <w:tab/>
      </w:r>
      <w:hyperlink r:id="rId31" w:history="1">
        <w:r w:rsidR="002F3BAB" w:rsidRPr="00A62333">
          <w:rPr>
            <w:rStyle w:val="Hyperlink"/>
            <w:lang w:val="es-ES" w:eastAsia="en-GB"/>
          </w:rPr>
          <w:t>E/C.12/ITA/CO/5 para</w:t>
        </w:r>
        <w:r w:rsidR="002F3BAB" w:rsidRPr="00A62333">
          <w:rPr>
            <w:rStyle w:val="Hyperlink"/>
            <w:lang w:val="es-ES"/>
          </w:rPr>
          <w:t xml:space="preserve"> 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6F59" w14:textId="44E195E4" w:rsidR="006A4374" w:rsidRDefault="003309C9">
    <w:pPr>
      <w:pStyle w:val="Header"/>
    </w:pPr>
    <w:r>
      <w:t>E/C.12/</w:t>
    </w:r>
    <w:r w:rsidR="007A2CD2">
      <w:t>ITA</w:t>
    </w:r>
    <w:r>
      <w:t>/CO/</w:t>
    </w:r>
    <w:r w:rsidR="00BF08CB">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8A99" w14:textId="418D1BCF" w:rsidR="006A4374" w:rsidRDefault="003309C9">
    <w:pPr>
      <w:pStyle w:val="Header"/>
      <w:jc w:val="right"/>
    </w:pPr>
    <w:r>
      <w:t>E/C.12/</w:t>
    </w:r>
    <w:r w:rsidR="007A2CD2">
      <w:t>ITA</w:t>
    </w:r>
    <w:r>
      <w:t>/CO/</w:t>
    </w:r>
    <w:r w:rsidR="00BF08CB">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DDDF" w14:textId="77777777" w:rsidR="006A4374" w:rsidRDefault="006A4374" w:rsidP="00BF08CB">
    <w:pPr>
      <w:pStyle w:val="Header"/>
      <w:pBdr>
        <w:bottom w:val="none" w:sz="0" w:space="0" w:color="auto"/>
      </w:pBdr>
      <w:jc w:val="cent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01D"/>
    <w:multiLevelType w:val="hybridMultilevel"/>
    <w:tmpl w:val="A0F68824"/>
    <w:lvl w:ilvl="0" w:tplc="AE324B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D954887"/>
    <w:multiLevelType w:val="hybridMultilevel"/>
    <w:tmpl w:val="2B362816"/>
    <w:lvl w:ilvl="0" w:tplc="FDE856C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0365BF4" w:tentative="1">
      <w:start w:val="1"/>
      <w:numFmt w:val="lowerLetter"/>
      <w:lvlText w:val="%2."/>
      <w:lvlJc w:val="left"/>
      <w:pPr>
        <w:tabs>
          <w:tab w:val="num" w:pos="1440"/>
        </w:tabs>
        <w:ind w:left="1440" w:hanging="360"/>
      </w:pPr>
    </w:lvl>
    <w:lvl w:ilvl="2" w:tplc="F72AB2EE" w:tentative="1">
      <w:start w:val="1"/>
      <w:numFmt w:val="lowerRoman"/>
      <w:lvlText w:val="%3."/>
      <w:lvlJc w:val="right"/>
      <w:pPr>
        <w:tabs>
          <w:tab w:val="num" w:pos="2160"/>
        </w:tabs>
        <w:ind w:left="2160" w:hanging="180"/>
      </w:pPr>
    </w:lvl>
    <w:lvl w:ilvl="3" w:tplc="F500B6A4" w:tentative="1">
      <w:start w:val="1"/>
      <w:numFmt w:val="decimal"/>
      <w:lvlText w:val="%4."/>
      <w:lvlJc w:val="left"/>
      <w:pPr>
        <w:tabs>
          <w:tab w:val="num" w:pos="2880"/>
        </w:tabs>
        <w:ind w:left="2880" w:hanging="360"/>
      </w:pPr>
    </w:lvl>
    <w:lvl w:ilvl="4" w:tplc="23CA802C" w:tentative="1">
      <w:start w:val="1"/>
      <w:numFmt w:val="lowerLetter"/>
      <w:lvlText w:val="%5."/>
      <w:lvlJc w:val="left"/>
      <w:pPr>
        <w:tabs>
          <w:tab w:val="num" w:pos="3600"/>
        </w:tabs>
        <w:ind w:left="3600" w:hanging="360"/>
      </w:pPr>
    </w:lvl>
    <w:lvl w:ilvl="5" w:tplc="78D60492" w:tentative="1">
      <w:start w:val="1"/>
      <w:numFmt w:val="lowerRoman"/>
      <w:lvlText w:val="%6."/>
      <w:lvlJc w:val="right"/>
      <w:pPr>
        <w:tabs>
          <w:tab w:val="num" w:pos="4320"/>
        </w:tabs>
        <w:ind w:left="4320" w:hanging="180"/>
      </w:pPr>
    </w:lvl>
    <w:lvl w:ilvl="6" w:tplc="A914E034" w:tentative="1">
      <w:start w:val="1"/>
      <w:numFmt w:val="decimal"/>
      <w:lvlText w:val="%7."/>
      <w:lvlJc w:val="left"/>
      <w:pPr>
        <w:tabs>
          <w:tab w:val="num" w:pos="5040"/>
        </w:tabs>
        <w:ind w:left="5040" w:hanging="360"/>
      </w:pPr>
    </w:lvl>
    <w:lvl w:ilvl="7" w:tplc="AFD61E80" w:tentative="1">
      <w:start w:val="1"/>
      <w:numFmt w:val="lowerLetter"/>
      <w:lvlText w:val="%8."/>
      <w:lvlJc w:val="left"/>
      <w:pPr>
        <w:tabs>
          <w:tab w:val="num" w:pos="5760"/>
        </w:tabs>
        <w:ind w:left="5760" w:hanging="360"/>
      </w:pPr>
    </w:lvl>
    <w:lvl w:ilvl="8" w:tplc="81ECAA4A"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CB6C816A"/>
    <w:lvl w:ilvl="0" w:tplc="A0988FB0">
      <w:start w:val="1"/>
      <w:numFmt w:val="bullet"/>
      <w:pStyle w:val="Bullet2G"/>
      <w:lvlText w:val="•"/>
      <w:lvlJc w:val="left"/>
      <w:pPr>
        <w:tabs>
          <w:tab w:val="num" w:pos="2268"/>
        </w:tabs>
        <w:ind w:left="2268" w:hanging="170"/>
      </w:pPr>
      <w:rPr>
        <w:rFonts w:ascii="Times New Roman" w:hAnsi="Times New Roman" w:cs="Times New Roman" w:hint="default"/>
      </w:rPr>
    </w:lvl>
    <w:lvl w:ilvl="1" w:tplc="CDE8ED98" w:tentative="1">
      <w:start w:val="1"/>
      <w:numFmt w:val="bullet"/>
      <w:lvlText w:val="o"/>
      <w:lvlJc w:val="left"/>
      <w:pPr>
        <w:tabs>
          <w:tab w:val="num" w:pos="3708"/>
        </w:tabs>
        <w:ind w:left="3708" w:hanging="360"/>
      </w:pPr>
      <w:rPr>
        <w:rFonts w:ascii="Courier New" w:hAnsi="Courier New" w:hint="default"/>
      </w:rPr>
    </w:lvl>
    <w:lvl w:ilvl="2" w:tplc="99E0ABC6" w:tentative="1">
      <w:start w:val="1"/>
      <w:numFmt w:val="bullet"/>
      <w:lvlText w:val=""/>
      <w:lvlJc w:val="left"/>
      <w:pPr>
        <w:tabs>
          <w:tab w:val="num" w:pos="4428"/>
        </w:tabs>
        <w:ind w:left="4428" w:hanging="360"/>
      </w:pPr>
      <w:rPr>
        <w:rFonts w:ascii="Wingdings" w:hAnsi="Wingdings" w:hint="default"/>
      </w:rPr>
    </w:lvl>
    <w:lvl w:ilvl="3" w:tplc="5122F1CC" w:tentative="1">
      <w:start w:val="1"/>
      <w:numFmt w:val="bullet"/>
      <w:lvlText w:val=""/>
      <w:lvlJc w:val="left"/>
      <w:pPr>
        <w:tabs>
          <w:tab w:val="num" w:pos="5148"/>
        </w:tabs>
        <w:ind w:left="5148" w:hanging="360"/>
      </w:pPr>
      <w:rPr>
        <w:rFonts w:ascii="Symbol" w:hAnsi="Symbol" w:hint="default"/>
      </w:rPr>
    </w:lvl>
    <w:lvl w:ilvl="4" w:tplc="AC4EB922" w:tentative="1">
      <w:start w:val="1"/>
      <w:numFmt w:val="bullet"/>
      <w:lvlText w:val="o"/>
      <w:lvlJc w:val="left"/>
      <w:pPr>
        <w:tabs>
          <w:tab w:val="num" w:pos="5868"/>
        </w:tabs>
        <w:ind w:left="5868" w:hanging="360"/>
      </w:pPr>
      <w:rPr>
        <w:rFonts w:ascii="Courier New" w:hAnsi="Courier New" w:hint="default"/>
      </w:rPr>
    </w:lvl>
    <w:lvl w:ilvl="5" w:tplc="EE421D3E" w:tentative="1">
      <w:start w:val="1"/>
      <w:numFmt w:val="bullet"/>
      <w:lvlText w:val=""/>
      <w:lvlJc w:val="left"/>
      <w:pPr>
        <w:tabs>
          <w:tab w:val="num" w:pos="6588"/>
        </w:tabs>
        <w:ind w:left="6588" w:hanging="360"/>
      </w:pPr>
      <w:rPr>
        <w:rFonts w:ascii="Wingdings" w:hAnsi="Wingdings" w:hint="default"/>
      </w:rPr>
    </w:lvl>
    <w:lvl w:ilvl="6" w:tplc="54D4B1E6" w:tentative="1">
      <w:start w:val="1"/>
      <w:numFmt w:val="bullet"/>
      <w:lvlText w:val=""/>
      <w:lvlJc w:val="left"/>
      <w:pPr>
        <w:tabs>
          <w:tab w:val="num" w:pos="7308"/>
        </w:tabs>
        <w:ind w:left="7308" w:hanging="360"/>
      </w:pPr>
      <w:rPr>
        <w:rFonts w:ascii="Symbol" w:hAnsi="Symbol" w:hint="default"/>
      </w:rPr>
    </w:lvl>
    <w:lvl w:ilvl="7" w:tplc="5D94900E" w:tentative="1">
      <w:start w:val="1"/>
      <w:numFmt w:val="bullet"/>
      <w:lvlText w:val="o"/>
      <w:lvlJc w:val="left"/>
      <w:pPr>
        <w:tabs>
          <w:tab w:val="num" w:pos="8028"/>
        </w:tabs>
        <w:ind w:left="8028" w:hanging="360"/>
      </w:pPr>
      <w:rPr>
        <w:rFonts w:ascii="Courier New" w:hAnsi="Courier New" w:hint="default"/>
      </w:rPr>
    </w:lvl>
    <w:lvl w:ilvl="8" w:tplc="DEC4B3D2"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F85B2C"/>
    <w:multiLevelType w:val="hybridMultilevel"/>
    <w:tmpl w:val="2A34935C"/>
    <w:lvl w:ilvl="0" w:tplc="99D6349C">
      <w:start w:val="1"/>
      <w:numFmt w:val="decimal"/>
      <w:lvlText w:val="%1."/>
      <w:lvlJc w:val="left"/>
      <w:pPr>
        <w:ind w:left="1860" w:hanging="360"/>
      </w:pPr>
      <w:rPr>
        <w:b w:val="0"/>
        <w:color w:val="auto"/>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5D106E4D"/>
    <w:multiLevelType w:val="hybridMultilevel"/>
    <w:tmpl w:val="D92AB4AC"/>
    <w:lvl w:ilvl="0" w:tplc="8D5EB15E">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5" w15:restartNumberingAfterBreak="0">
    <w:nsid w:val="5EDC57C1"/>
    <w:multiLevelType w:val="hybridMultilevel"/>
    <w:tmpl w:val="711A6A96"/>
    <w:lvl w:ilvl="0" w:tplc="2C88CE9A">
      <w:start w:val="20"/>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D07B2"/>
    <w:multiLevelType w:val="hybridMultilevel"/>
    <w:tmpl w:val="7FEE3222"/>
    <w:lvl w:ilvl="0" w:tplc="94982CBE">
      <w:start w:val="1"/>
      <w:numFmt w:val="bullet"/>
      <w:pStyle w:val="Bullet1G"/>
      <w:lvlText w:val="•"/>
      <w:lvlJc w:val="left"/>
      <w:pPr>
        <w:tabs>
          <w:tab w:val="num" w:pos="1701"/>
        </w:tabs>
        <w:ind w:left="1701" w:hanging="170"/>
      </w:pPr>
      <w:rPr>
        <w:rFonts w:ascii="Times New Roman" w:hAnsi="Times New Roman" w:cs="Times New Roman" w:hint="default"/>
      </w:rPr>
    </w:lvl>
    <w:lvl w:ilvl="1" w:tplc="E70C7032" w:tentative="1">
      <w:start w:val="1"/>
      <w:numFmt w:val="bullet"/>
      <w:lvlText w:val="o"/>
      <w:lvlJc w:val="left"/>
      <w:pPr>
        <w:tabs>
          <w:tab w:val="num" w:pos="3141"/>
        </w:tabs>
        <w:ind w:left="3141" w:hanging="360"/>
      </w:pPr>
      <w:rPr>
        <w:rFonts w:ascii="Courier New" w:hAnsi="Courier New" w:hint="default"/>
      </w:rPr>
    </w:lvl>
    <w:lvl w:ilvl="2" w:tplc="C70EF70A" w:tentative="1">
      <w:start w:val="1"/>
      <w:numFmt w:val="bullet"/>
      <w:lvlText w:val=""/>
      <w:lvlJc w:val="left"/>
      <w:pPr>
        <w:tabs>
          <w:tab w:val="num" w:pos="3861"/>
        </w:tabs>
        <w:ind w:left="3861" w:hanging="360"/>
      </w:pPr>
      <w:rPr>
        <w:rFonts w:ascii="Wingdings" w:hAnsi="Wingdings" w:hint="default"/>
      </w:rPr>
    </w:lvl>
    <w:lvl w:ilvl="3" w:tplc="FBD6CF64" w:tentative="1">
      <w:start w:val="1"/>
      <w:numFmt w:val="bullet"/>
      <w:lvlText w:val=""/>
      <w:lvlJc w:val="left"/>
      <w:pPr>
        <w:tabs>
          <w:tab w:val="num" w:pos="4581"/>
        </w:tabs>
        <w:ind w:left="4581" w:hanging="360"/>
      </w:pPr>
      <w:rPr>
        <w:rFonts w:ascii="Symbol" w:hAnsi="Symbol" w:hint="default"/>
      </w:rPr>
    </w:lvl>
    <w:lvl w:ilvl="4" w:tplc="DA627B86" w:tentative="1">
      <w:start w:val="1"/>
      <w:numFmt w:val="bullet"/>
      <w:lvlText w:val="o"/>
      <w:lvlJc w:val="left"/>
      <w:pPr>
        <w:tabs>
          <w:tab w:val="num" w:pos="5301"/>
        </w:tabs>
        <w:ind w:left="5301" w:hanging="360"/>
      </w:pPr>
      <w:rPr>
        <w:rFonts w:ascii="Courier New" w:hAnsi="Courier New" w:hint="default"/>
      </w:rPr>
    </w:lvl>
    <w:lvl w:ilvl="5" w:tplc="6A5A7ADC" w:tentative="1">
      <w:start w:val="1"/>
      <w:numFmt w:val="bullet"/>
      <w:lvlText w:val=""/>
      <w:lvlJc w:val="left"/>
      <w:pPr>
        <w:tabs>
          <w:tab w:val="num" w:pos="6021"/>
        </w:tabs>
        <w:ind w:left="6021" w:hanging="360"/>
      </w:pPr>
      <w:rPr>
        <w:rFonts w:ascii="Wingdings" w:hAnsi="Wingdings" w:hint="default"/>
      </w:rPr>
    </w:lvl>
    <w:lvl w:ilvl="6" w:tplc="D9CAC2FA" w:tentative="1">
      <w:start w:val="1"/>
      <w:numFmt w:val="bullet"/>
      <w:lvlText w:val=""/>
      <w:lvlJc w:val="left"/>
      <w:pPr>
        <w:tabs>
          <w:tab w:val="num" w:pos="6741"/>
        </w:tabs>
        <w:ind w:left="6741" w:hanging="360"/>
      </w:pPr>
      <w:rPr>
        <w:rFonts w:ascii="Symbol" w:hAnsi="Symbol" w:hint="default"/>
      </w:rPr>
    </w:lvl>
    <w:lvl w:ilvl="7" w:tplc="7B64117A" w:tentative="1">
      <w:start w:val="1"/>
      <w:numFmt w:val="bullet"/>
      <w:lvlText w:val="o"/>
      <w:lvlJc w:val="left"/>
      <w:pPr>
        <w:tabs>
          <w:tab w:val="num" w:pos="7461"/>
        </w:tabs>
        <w:ind w:left="7461" w:hanging="360"/>
      </w:pPr>
      <w:rPr>
        <w:rFonts w:ascii="Courier New" w:hAnsi="Courier New" w:hint="default"/>
      </w:rPr>
    </w:lvl>
    <w:lvl w:ilvl="8" w:tplc="D73212EC"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7"/>
  </w:num>
  <w:num w:numId="4">
    <w:abstractNumId w:val="2"/>
  </w:num>
  <w:num w:numId="5">
    <w:abstractNumId w:val="1"/>
  </w:num>
  <w:num w:numId="6">
    <w:abstractNumId w:val="0"/>
  </w:num>
  <w:num w:numId="7">
    <w:abstractNumId w:val="3"/>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6" w:nlCheck="1" w:checkStyle="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1303"/>
    <w:rsid w:val="0000163C"/>
    <w:rsid w:val="00011C2C"/>
    <w:rsid w:val="000137AA"/>
    <w:rsid w:val="00035810"/>
    <w:rsid w:val="00036B09"/>
    <w:rsid w:val="000370C1"/>
    <w:rsid w:val="000409D0"/>
    <w:rsid w:val="0004463D"/>
    <w:rsid w:val="00050ADE"/>
    <w:rsid w:val="000530C0"/>
    <w:rsid w:val="000548D5"/>
    <w:rsid w:val="000700B7"/>
    <w:rsid w:val="00073AA1"/>
    <w:rsid w:val="00085431"/>
    <w:rsid w:val="000865EF"/>
    <w:rsid w:val="00090536"/>
    <w:rsid w:val="000A0C8E"/>
    <w:rsid w:val="000A1339"/>
    <w:rsid w:val="000A3D6E"/>
    <w:rsid w:val="000A72F9"/>
    <w:rsid w:val="000A7FE6"/>
    <w:rsid w:val="000B1A3E"/>
    <w:rsid w:val="000B1D0A"/>
    <w:rsid w:val="000B3A1F"/>
    <w:rsid w:val="000C287A"/>
    <w:rsid w:val="000C7F73"/>
    <w:rsid w:val="000D3AAF"/>
    <w:rsid w:val="000D3B30"/>
    <w:rsid w:val="000D4B69"/>
    <w:rsid w:val="000D6A62"/>
    <w:rsid w:val="000D780F"/>
    <w:rsid w:val="000E19F5"/>
    <w:rsid w:val="000E7A1C"/>
    <w:rsid w:val="000F4CFA"/>
    <w:rsid w:val="000F56A1"/>
    <w:rsid w:val="00101354"/>
    <w:rsid w:val="00102EE3"/>
    <w:rsid w:val="001124CD"/>
    <w:rsid w:val="0011265B"/>
    <w:rsid w:val="00113955"/>
    <w:rsid w:val="00113DB0"/>
    <w:rsid w:val="001219AC"/>
    <w:rsid w:val="00124223"/>
    <w:rsid w:val="00124522"/>
    <w:rsid w:val="0012557C"/>
    <w:rsid w:val="00130ABD"/>
    <w:rsid w:val="00130AFC"/>
    <w:rsid w:val="00132918"/>
    <w:rsid w:val="00146F7E"/>
    <w:rsid w:val="001574CD"/>
    <w:rsid w:val="001601EB"/>
    <w:rsid w:val="00162578"/>
    <w:rsid w:val="00165091"/>
    <w:rsid w:val="00166E1E"/>
    <w:rsid w:val="001707AE"/>
    <w:rsid w:val="001801A0"/>
    <w:rsid w:val="00181AB2"/>
    <w:rsid w:val="00181C62"/>
    <w:rsid w:val="00182C14"/>
    <w:rsid w:val="0018347B"/>
    <w:rsid w:val="00183AF5"/>
    <w:rsid w:val="001946E1"/>
    <w:rsid w:val="00195D2A"/>
    <w:rsid w:val="001A7711"/>
    <w:rsid w:val="001B0313"/>
    <w:rsid w:val="001B54B2"/>
    <w:rsid w:val="001B7CBD"/>
    <w:rsid w:val="001C2534"/>
    <w:rsid w:val="001C3F58"/>
    <w:rsid w:val="001D07F3"/>
    <w:rsid w:val="001D5BE3"/>
    <w:rsid w:val="00201A9F"/>
    <w:rsid w:val="0021597A"/>
    <w:rsid w:val="00217404"/>
    <w:rsid w:val="00227369"/>
    <w:rsid w:val="00227B2F"/>
    <w:rsid w:val="00244B59"/>
    <w:rsid w:val="00252A75"/>
    <w:rsid w:val="00262D97"/>
    <w:rsid w:val="00262E4E"/>
    <w:rsid w:val="0027175A"/>
    <w:rsid w:val="002736ED"/>
    <w:rsid w:val="0027385B"/>
    <w:rsid w:val="00283A16"/>
    <w:rsid w:val="0029558D"/>
    <w:rsid w:val="002A1F8E"/>
    <w:rsid w:val="002B504D"/>
    <w:rsid w:val="002C1EF3"/>
    <w:rsid w:val="002C4B3B"/>
    <w:rsid w:val="002C7FA4"/>
    <w:rsid w:val="002D367F"/>
    <w:rsid w:val="002D77AF"/>
    <w:rsid w:val="002E06BE"/>
    <w:rsid w:val="002E2448"/>
    <w:rsid w:val="002E3A2C"/>
    <w:rsid w:val="002E544C"/>
    <w:rsid w:val="002E5D9B"/>
    <w:rsid w:val="002E6D79"/>
    <w:rsid w:val="002F02F9"/>
    <w:rsid w:val="002F0ED2"/>
    <w:rsid w:val="002F3BAB"/>
    <w:rsid w:val="00301FC9"/>
    <w:rsid w:val="003042B3"/>
    <w:rsid w:val="003054BE"/>
    <w:rsid w:val="003125F8"/>
    <w:rsid w:val="00321D7C"/>
    <w:rsid w:val="00322E38"/>
    <w:rsid w:val="003309C9"/>
    <w:rsid w:val="00334C40"/>
    <w:rsid w:val="0034137C"/>
    <w:rsid w:val="00341AF7"/>
    <w:rsid w:val="0034638B"/>
    <w:rsid w:val="00347322"/>
    <w:rsid w:val="00354520"/>
    <w:rsid w:val="0036510D"/>
    <w:rsid w:val="003663B1"/>
    <w:rsid w:val="00366FF3"/>
    <w:rsid w:val="00377BE2"/>
    <w:rsid w:val="003840E8"/>
    <w:rsid w:val="00392F4B"/>
    <w:rsid w:val="0039331C"/>
    <w:rsid w:val="003A586A"/>
    <w:rsid w:val="003B058E"/>
    <w:rsid w:val="003B15B5"/>
    <w:rsid w:val="003C3AB8"/>
    <w:rsid w:val="003C48A5"/>
    <w:rsid w:val="003C66DF"/>
    <w:rsid w:val="003C7370"/>
    <w:rsid w:val="003C79EA"/>
    <w:rsid w:val="003D3A1B"/>
    <w:rsid w:val="003E239C"/>
    <w:rsid w:val="003E3645"/>
    <w:rsid w:val="003E3AEE"/>
    <w:rsid w:val="003E591D"/>
    <w:rsid w:val="003E5CF5"/>
    <w:rsid w:val="003F16E0"/>
    <w:rsid w:val="003F3BCC"/>
    <w:rsid w:val="00404930"/>
    <w:rsid w:val="00414020"/>
    <w:rsid w:val="00420620"/>
    <w:rsid w:val="00422B61"/>
    <w:rsid w:val="004274E9"/>
    <w:rsid w:val="00434237"/>
    <w:rsid w:val="00437CE6"/>
    <w:rsid w:val="00441F83"/>
    <w:rsid w:val="00453412"/>
    <w:rsid w:val="00454BF2"/>
    <w:rsid w:val="00462611"/>
    <w:rsid w:val="00462A71"/>
    <w:rsid w:val="00466619"/>
    <w:rsid w:val="00474AAB"/>
    <w:rsid w:val="00477844"/>
    <w:rsid w:val="00480324"/>
    <w:rsid w:val="004870D4"/>
    <w:rsid w:val="00490779"/>
    <w:rsid w:val="00492CC4"/>
    <w:rsid w:val="00495033"/>
    <w:rsid w:val="004953CB"/>
    <w:rsid w:val="004A27E5"/>
    <w:rsid w:val="004A6B72"/>
    <w:rsid w:val="004B2B0E"/>
    <w:rsid w:val="004B4B04"/>
    <w:rsid w:val="004D0AB3"/>
    <w:rsid w:val="004D19C7"/>
    <w:rsid w:val="004D61C6"/>
    <w:rsid w:val="004E2897"/>
    <w:rsid w:val="004E3E39"/>
    <w:rsid w:val="004E5677"/>
    <w:rsid w:val="004E70BD"/>
    <w:rsid w:val="004F3EF2"/>
    <w:rsid w:val="004F4EFC"/>
    <w:rsid w:val="00502A99"/>
    <w:rsid w:val="005063B0"/>
    <w:rsid w:val="00510225"/>
    <w:rsid w:val="00511B4D"/>
    <w:rsid w:val="00513358"/>
    <w:rsid w:val="005147F8"/>
    <w:rsid w:val="00523B6C"/>
    <w:rsid w:val="00525E99"/>
    <w:rsid w:val="00532647"/>
    <w:rsid w:val="00532D7E"/>
    <w:rsid w:val="00552FBC"/>
    <w:rsid w:val="005718F3"/>
    <w:rsid w:val="00574054"/>
    <w:rsid w:val="00583688"/>
    <w:rsid w:val="0058678E"/>
    <w:rsid w:val="00590418"/>
    <w:rsid w:val="00592E41"/>
    <w:rsid w:val="005A0FD0"/>
    <w:rsid w:val="005A23B0"/>
    <w:rsid w:val="005A2B46"/>
    <w:rsid w:val="005A2C69"/>
    <w:rsid w:val="005A3202"/>
    <w:rsid w:val="005A38D9"/>
    <w:rsid w:val="005B0450"/>
    <w:rsid w:val="005B5AD6"/>
    <w:rsid w:val="005B5EFD"/>
    <w:rsid w:val="005C35C8"/>
    <w:rsid w:val="005C5C1E"/>
    <w:rsid w:val="005C7427"/>
    <w:rsid w:val="005D3F76"/>
    <w:rsid w:val="005D4B7B"/>
    <w:rsid w:val="005D56C9"/>
    <w:rsid w:val="005D6BA6"/>
    <w:rsid w:val="005D7AE0"/>
    <w:rsid w:val="005F19DD"/>
    <w:rsid w:val="005F363C"/>
    <w:rsid w:val="005F7636"/>
    <w:rsid w:val="006062E2"/>
    <w:rsid w:val="00612040"/>
    <w:rsid w:val="006137CC"/>
    <w:rsid w:val="006138F4"/>
    <w:rsid w:val="0062766F"/>
    <w:rsid w:val="00631ABE"/>
    <w:rsid w:val="00640F3F"/>
    <w:rsid w:val="00653D85"/>
    <w:rsid w:val="0066310E"/>
    <w:rsid w:val="0066787E"/>
    <w:rsid w:val="00670FFC"/>
    <w:rsid w:val="00671919"/>
    <w:rsid w:val="0067690F"/>
    <w:rsid w:val="006856C6"/>
    <w:rsid w:val="00685CAD"/>
    <w:rsid w:val="0068733B"/>
    <w:rsid w:val="00687484"/>
    <w:rsid w:val="00697394"/>
    <w:rsid w:val="006A28A8"/>
    <w:rsid w:val="006A28D5"/>
    <w:rsid w:val="006A4374"/>
    <w:rsid w:val="006A611D"/>
    <w:rsid w:val="006C406D"/>
    <w:rsid w:val="006D1F28"/>
    <w:rsid w:val="006E76E1"/>
    <w:rsid w:val="006F200B"/>
    <w:rsid w:val="006F26B9"/>
    <w:rsid w:val="006F2D39"/>
    <w:rsid w:val="00701785"/>
    <w:rsid w:val="00713842"/>
    <w:rsid w:val="00715691"/>
    <w:rsid w:val="007208A8"/>
    <w:rsid w:val="007231E5"/>
    <w:rsid w:val="00724BC7"/>
    <w:rsid w:val="00726685"/>
    <w:rsid w:val="0073091A"/>
    <w:rsid w:val="00731DF0"/>
    <w:rsid w:val="00732DB9"/>
    <w:rsid w:val="007365CA"/>
    <w:rsid w:val="00737A27"/>
    <w:rsid w:val="00741F30"/>
    <w:rsid w:val="00742ADB"/>
    <w:rsid w:val="00747CEF"/>
    <w:rsid w:val="00751B4D"/>
    <w:rsid w:val="0075335A"/>
    <w:rsid w:val="0075365D"/>
    <w:rsid w:val="0075388E"/>
    <w:rsid w:val="00772E71"/>
    <w:rsid w:val="00773972"/>
    <w:rsid w:val="00781CB9"/>
    <w:rsid w:val="007826F0"/>
    <w:rsid w:val="00791154"/>
    <w:rsid w:val="007A1805"/>
    <w:rsid w:val="007A2CD2"/>
    <w:rsid w:val="007A3E1C"/>
    <w:rsid w:val="007A59A6"/>
    <w:rsid w:val="007A670A"/>
    <w:rsid w:val="007B0732"/>
    <w:rsid w:val="007B1985"/>
    <w:rsid w:val="007B24B4"/>
    <w:rsid w:val="007B4D27"/>
    <w:rsid w:val="007B677D"/>
    <w:rsid w:val="007C7DC2"/>
    <w:rsid w:val="007D09C8"/>
    <w:rsid w:val="00800A8D"/>
    <w:rsid w:val="00817224"/>
    <w:rsid w:val="008363D2"/>
    <w:rsid w:val="00841DC4"/>
    <w:rsid w:val="0084617E"/>
    <w:rsid w:val="0085492D"/>
    <w:rsid w:val="00860A5D"/>
    <w:rsid w:val="008625D3"/>
    <w:rsid w:val="008637F9"/>
    <w:rsid w:val="00864779"/>
    <w:rsid w:val="0086492D"/>
    <w:rsid w:val="0086507D"/>
    <w:rsid w:val="0086592F"/>
    <w:rsid w:val="0086746E"/>
    <w:rsid w:val="00870FF3"/>
    <w:rsid w:val="0087180C"/>
    <w:rsid w:val="00872F85"/>
    <w:rsid w:val="008777BE"/>
    <w:rsid w:val="0088004F"/>
    <w:rsid w:val="008809FB"/>
    <w:rsid w:val="00880CCB"/>
    <w:rsid w:val="00882361"/>
    <w:rsid w:val="00883BBA"/>
    <w:rsid w:val="008A5054"/>
    <w:rsid w:val="008C0274"/>
    <w:rsid w:val="008D421F"/>
    <w:rsid w:val="008E17E2"/>
    <w:rsid w:val="008E1DCB"/>
    <w:rsid w:val="008E6370"/>
    <w:rsid w:val="008E66CF"/>
    <w:rsid w:val="008E6F0D"/>
    <w:rsid w:val="008F0478"/>
    <w:rsid w:val="008F5A1D"/>
    <w:rsid w:val="008F651A"/>
    <w:rsid w:val="009000A5"/>
    <w:rsid w:val="009003B1"/>
    <w:rsid w:val="00900CD8"/>
    <w:rsid w:val="00900F3D"/>
    <w:rsid w:val="009034E0"/>
    <w:rsid w:val="00911576"/>
    <w:rsid w:val="00912A98"/>
    <w:rsid w:val="0091557B"/>
    <w:rsid w:val="0092348E"/>
    <w:rsid w:val="00927E4B"/>
    <w:rsid w:val="00930C92"/>
    <w:rsid w:val="00932AD5"/>
    <w:rsid w:val="0094604C"/>
    <w:rsid w:val="009500E8"/>
    <w:rsid w:val="0095275C"/>
    <w:rsid w:val="009554D1"/>
    <w:rsid w:val="00961D94"/>
    <w:rsid w:val="00961E54"/>
    <w:rsid w:val="00962F36"/>
    <w:rsid w:val="00964646"/>
    <w:rsid w:val="00966492"/>
    <w:rsid w:val="009738B8"/>
    <w:rsid w:val="0097535B"/>
    <w:rsid w:val="00981D5E"/>
    <w:rsid w:val="009A4910"/>
    <w:rsid w:val="009A777A"/>
    <w:rsid w:val="009B2A16"/>
    <w:rsid w:val="009C21B9"/>
    <w:rsid w:val="009D46F0"/>
    <w:rsid w:val="009E1219"/>
    <w:rsid w:val="009F17E5"/>
    <w:rsid w:val="009F5B15"/>
    <w:rsid w:val="009F7C84"/>
    <w:rsid w:val="00A133B7"/>
    <w:rsid w:val="00A134FA"/>
    <w:rsid w:val="00A16458"/>
    <w:rsid w:val="00A200F7"/>
    <w:rsid w:val="00A2346E"/>
    <w:rsid w:val="00A24ADB"/>
    <w:rsid w:val="00A25EFB"/>
    <w:rsid w:val="00A27996"/>
    <w:rsid w:val="00A30357"/>
    <w:rsid w:val="00A311A9"/>
    <w:rsid w:val="00A32CCA"/>
    <w:rsid w:val="00A34298"/>
    <w:rsid w:val="00A41CE1"/>
    <w:rsid w:val="00A463CA"/>
    <w:rsid w:val="00A504E3"/>
    <w:rsid w:val="00A60C12"/>
    <w:rsid w:val="00A61A4C"/>
    <w:rsid w:val="00A62333"/>
    <w:rsid w:val="00A640EC"/>
    <w:rsid w:val="00A669CB"/>
    <w:rsid w:val="00A7253E"/>
    <w:rsid w:val="00A73B7B"/>
    <w:rsid w:val="00A77A70"/>
    <w:rsid w:val="00A87CEC"/>
    <w:rsid w:val="00A90046"/>
    <w:rsid w:val="00A95575"/>
    <w:rsid w:val="00AA0911"/>
    <w:rsid w:val="00AA7A1E"/>
    <w:rsid w:val="00AB02D9"/>
    <w:rsid w:val="00AB2D06"/>
    <w:rsid w:val="00AB2DBC"/>
    <w:rsid w:val="00AC0B3C"/>
    <w:rsid w:val="00AC2397"/>
    <w:rsid w:val="00AC58A2"/>
    <w:rsid w:val="00AD0E0A"/>
    <w:rsid w:val="00AD18B8"/>
    <w:rsid w:val="00AD4803"/>
    <w:rsid w:val="00AD5401"/>
    <w:rsid w:val="00B00250"/>
    <w:rsid w:val="00B02A1D"/>
    <w:rsid w:val="00B031BF"/>
    <w:rsid w:val="00B03922"/>
    <w:rsid w:val="00B052FB"/>
    <w:rsid w:val="00B06FD0"/>
    <w:rsid w:val="00B11906"/>
    <w:rsid w:val="00B13A45"/>
    <w:rsid w:val="00B16013"/>
    <w:rsid w:val="00B16324"/>
    <w:rsid w:val="00B2615F"/>
    <w:rsid w:val="00B26C77"/>
    <w:rsid w:val="00B34ED7"/>
    <w:rsid w:val="00B42DC9"/>
    <w:rsid w:val="00B44A19"/>
    <w:rsid w:val="00B46BB7"/>
    <w:rsid w:val="00B470C2"/>
    <w:rsid w:val="00B72168"/>
    <w:rsid w:val="00B722A7"/>
    <w:rsid w:val="00B72AFC"/>
    <w:rsid w:val="00B77F59"/>
    <w:rsid w:val="00B80D1E"/>
    <w:rsid w:val="00B92D16"/>
    <w:rsid w:val="00B94FE1"/>
    <w:rsid w:val="00BA2A00"/>
    <w:rsid w:val="00BA4F44"/>
    <w:rsid w:val="00BB0BD0"/>
    <w:rsid w:val="00BB4C34"/>
    <w:rsid w:val="00BB4D34"/>
    <w:rsid w:val="00BC1A1C"/>
    <w:rsid w:val="00BC27B1"/>
    <w:rsid w:val="00BC4594"/>
    <w:rsid w:val="00BD19A5"/>
    <w:rsid w:val="00BD4EAC"/>
    <w:rsid w:val="00BE0151"/>
    <w:rsid w:val="00BF08CB"/>
    <w:rsid w:val="00BF1122"/>
    <w:rsid w:val="00BF2424"/>
    <w:rsid w:val="00BF2F2A"/>
    <w:rsid w:val="00C0196A"/>
    <w:rsid w:val="00C01DEF"/>
    <w:rsid w:val="00C03B20"/>
    <w:rsid w:val="00C109C5"/>
    <w:rsid w:val="00C3003C"/>
    <w:rsid w:val="00C32E1A"/>
    <w:rsid w:val="00C42D9B"/>
    <w:rsid w:val="00C47C1F"/>
    <w:rsid w:val="00C53C64"/>
    <w:rsid w:val="00C56CD6"/>
    <w:rsid w:val="00C570AD"/>
    <w:rsid w:val="00C60DD8"/>
    <w:rsid w:val="00C64377"/>
    <w:rsid w:val="00C72002"/>
    <w:rsid w:val="00C72ED9"/>
    <w:rsid w:val="00C736EA"/>
    <w:rsid w:val="00C84B2F"/>
    <w:rsid w:val="00C929DC"/>
    <w:rsid w:val="00C97081"/>
    <w:rsid w:val="00CB07B7"/>
    <w:rsid w:val="00CB1157"/>
    <w:rsid w:val="00CB79E8"/>
    <w:rsid w:val="00CC1D9F"/>
    <w:rsid w:val="00CC4A5E"/>
    <w:rsid w:val="00CC5AC5"/>
    <w:rsid w:val="00CD37EA"/>
    <w:rsid w:val="00CD68FF"/>
    <w:rsid w:val="00CD7BE9"/>
    <w:rsid w:val="00CD7E42"/>
    <w:rsid w:val="00CE2303"/>
    <w:rsid w:val="00CF2EE2"/>
    <w:rsid w:val="00CF69B5"/>
    <w:rsid w:val="00D020BD"/>
    <w:rsid w:val="00D11B32"/>
    <w:rsid w:val="00D23AEE"/>
    <w:rsid w:val="00D315EF"/>
    <w:rsid w:val="00D32BAB"/>
    <w:rsid w:val="00D33D35"/>
    <w:rsid w:val="00D34667"/>
    <w:rsid w:val="00D3583A"/>
    <w:rsid w:val="00D420D5"/>
    <w:rsid w:val="00D509C3"/>
    <w:rsid w:val="00D6244B"/>
    <w:rsid w:val="00D6440A"/>
    <w:rsid w:val="00D67167"/>
    <w:rsid w:val="00D67506"/>
    <w:rsid w:val="00D71AD4"/>
    <w:rsid w:val="00D81331"/>
    <w:rsid w:val="00D82369"/>
    <w:rsid w:val="00D8322E"/>
    <w:rsid w:val="00D83E2E"/>
    <w:rsid w:val="00D94C4F"/>
    <w:rsid w:val="00DA5BFD"/>
    <w:rsid w:val="00DB3350"/>
    <w:rsid w:val="00DC1F19"/>
    <w:rsid w:val="00DC48EA"/>
    <w:rsid w:val="00DC5462"/>
    <w:rsid w:val="00DD7235"/>
    <w:rsid w:val="00DD7793"/>
    <w:rsid w:val="00DE0BBD"/>
    <w:rsid w:val="00DE1376"/>
    <w:rsid w:val="00DE288B"/>
    <w:rsid w:val="00DF0153"/>
    <w:rsid w:val="00DF543C"/>
    <w:rsid w:val="00DF7EAB"/>
    <w:rsid w:val="00E0676D"/>
    <w:rsid w:val="00E149AF"/>
    <w:rsid w:val="00E14ADB"/>
    <w:rsid w:val="00E1624F"/>
    <w:rsid w:val="00E1649B"/>
    <w:rsid w:val="00E34F3A"/>
    <w:rsid w:val="00E37C4E"/>
    <w:rsid w:val="00E5712D"/>
    <w:rsid w:val="00E62F93"/>
    <w:rsid w:val="00E64F6B"/>
    <w:rsid w:val="00E72532"/>
    <w:rsid w:val="00E75358"/>
    <w:rsid w:val="00E76996"/>
    <w:rsid w:val="00E84D13"/>
    <w:rsid w:val="00E86492"/>
    <w:rsid w:val="00E95D85"/>
    <w:rsid w:val="00EB1419"/>
    <w:rsid w:val="00EB3060"/>
    <w:rsid w:val="00EB3CBD"/>
    <w:rsid w:val="00EB7607"/>
    <w:rsid w:val="00EC2612"/>
    <w:rsid w:val="00ED0427"/>
    <w:rsid w:val="00ED61C3"/>
    <w:rsid w:val="00ED77E6"/>
    <w:rsid w:val="00EE27DE"/>
    <w:rsid w:val="00EE3AA2"/>
    <w:rsid w:val="00EE452A"/>
    <w:rsid w:val="00EE4C37"/>
    <w:rsid w:val="00EF59E8"/>
    <w:rsid w:val="00F0793B"/>
    <w:rsid w:val="00F10827"/>
    <w:rsid w:val="00F125F7"/>
    <w:rsid w:val="00F1483D"/>
    <w:rsid w:val="00F14CA3"/>
    <w:rsid w:val="00F2130E"/>
    <w:rsid w:val="00F2288D"/>
    <w:rsid w:val="00F24093"/>
    <w:rsid w:val="00F25A62"/>
    <w:rsid w:val="00F27FA1"/>
    <w:rsid w:val="00F355F2"/>
    <w:rsid w:val="00F41223"/>
    <w:rsid w:val="00F41314"/>
    <w:rsid w:val="00F44A84"/>
    <w:rsid w:val="00F76621"/>
    <w:rsid w:val="00F779F9"/>
    <w:rsid w:val="00F77FA9"/>
    <w:rsid w:val="00F96333"/>
    <w:rsid w:val="00FA2990"/>
    <w:rsid w:val="00FA4734"/>
    <w:rsid w:val="00FA4BA9"/>
    <w:rsid w:val="00FB1594"/>
    <w:rsid w:val="00FB50E6"/>
    <w:rsid w:val="00FC1940"/>
    <w:rsid w:val="00FD0D83"/>
    <w:rsid w:val="00FD0EAD"/>
    <w:rsid w:val="00FD4566"/>
    <w:rsid w:val="00FD4D70"/>
    <w:rsid w:val="00FE22D2"/>
    <w:rsid w:val="00FE35CE"/>
    <w:rsid w:val="00FE4560"/>
    <w:rsid w:val="00FE48FC"/>
    <w:rsid w:val="00FE5C3F"/>
    <w:rsid w:val="00FF25B8"/>
    <w:rsid w:val="00FF43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BD58"/>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Exposant 3 Point,-E Fußnotenzeichen,EN Footnote Reference,Fn Ref,Footnote Reference (Alt+R),Footnote Reference Number,Footnote Reference Superscript,Footnote symbol,Footnotes refss,Ref,Times 10 Point,callout,de nota al pie"/>
    <w:basedOn w:val="DefaultParagraphFont"/>
    <w:link w:val="BVIfnrCar1CarCarCarC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Footnote Text Char1 Char,Footnote Text Char2,Footnote Text Char2 Char Char,Fußnote,Fußnote Char,Schriftart: 10 pt,Schriftart: 8 pt,Schriftart: 9 pt,Text poznámky pod čiarou 007,_Poznámka pod čiarou"/>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Char,Footnote Text Char1 Char Char,Footnote Text Char2 Char,Footnote Text Char2 Char Char Char,Fußnote Char1,Fußnote Char Char,Schriftart: 10 pt Char,Schriftart: 8 pt Char,Schriftart: 9 pt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592E41"/>
    <w:rPr>
      <w:sz w:val="16"/>
      <w:szCs w:val="16"/>
    </w:rPr>
  </w:style>
  <w:style w:type="paragraph" w:styleId="CommentText">
    <w:name w:val="annotation text"/>
    <w:basedOn w:val="Normal"/>
    <w:link w:val="CommentTextChar"/>
    <w:uiPriority w:val="99"/>
    <w:unhideWhenUsed/>
    <w:rsid w:val="00592E41"/>
    <w:pPr>
      <w:spacing w:line="240" w:lineRule="auto"/>
    </w:pPr>
  </w:style>
  <w:style w:type="character" w:customStyle="1" w:styleId="CommentTextChar">
    <w:name w:val="Comment Text Char"/>
    <w:basedOn w:val="DefaultParagraphFont"/>
    <w:link w:val="CommentText"/>
    <w:uiPriority w:val="99"/>
    <w:rsid w:val="00592E4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363C"/>
    <w:rPr>
      <w:b/>
      <w:bCs/>
    </w:rPr>
  </w:style>
  <w:style w:type="character" w:customStyle="1" w:styleId="CommentSubjectChar">
    <w:name w:val="Comment Subject Char"/>
    <w:basedOn w:val="CommentTextChar"/>
    <w:link w:val="CommentSubject"/>
    <w:uiPriority w:val="99"/>
    <w:semiHidden/>
    <w:rsid w:val="005F363C"/>
    <w:rPr>
      <w:rFonts w:ascii="Times New Roman" w:eastAsia="Times New Roman" w:hAnsi="Times New Roman" w:cs="Times New Roman"/>
      <w:b/>
      <w:bCs/>
      <w:sz w:val="20"/>
      <w:szCs w:val="20"/>
      <w:lang w:val="en-GB"/>
    </w:rPr>
  </w:style>
  <w:style w:type="paragraph" w:styleId="Revision">
    <w:name w:val="Revision"/>
    <w:hidden/>
    <w:uiPriority w:val="99"/>
    <w:semiHidden/>
    <w:rsid w:val="0086592F"/>
    <w:pPr>
      <w:spacing w:after="0" w:line="240" w:lineRule="auto"/>
    </w:pPr>
    <w:rPr>
      <w:rFonts w:ascii="Times New Roman" w:eastAsia="Times New Roman" w:hAnsi="Times New Roman" w:cs="Times New Roman"/>
      <w:sz w:val="20"/>
      <w:szCs w:val="20"/>
      <w:lang w:val="en-GB"/>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0A7FE6"/>
    <w:pPr>
      <w:suppressAutoHyphens w:val="0"/>
      <w:spacing w:before="200"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0830">
      <w:bodyDiv w:val="1"/>
      <w:marLeft w:val="0"/>
      <w:marRight w:val="0"/>
      <w:marTop w:val="0"/>
      <w:marBottom w:val="0"/>
      <w:divBdr>
        <w:top w:val="none" w:sz="0" w:space="0" w:color="auto"/>
        <w:left w:val="none" w:sz="0" w:space="0" w:color="auto"/>
        <w:bottom w:val="none" w:sz="0" w:space="0" w:color="auto"/>
        <w:right w:val="none" w:sz="0" w:space="0" w:color="auto"/>
      </w:divBdr>
    </w:div>
    <w:div w:id="14501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7/237/17/PDF/G1723717.pdf?OpenElement" TargetMode="External"/><Relationship Id="rId13" Type="http://schemas.openxmlformats.org/officeDocument/2006/relationships/hyperlink" Target="https://tbinternet.ohchr.org/_layouts/15/treatybodyexternal/Download.aspx?symbolno=CRPD%2fC%2fITA%2fCO%2f1&amp;Lang=en" TargetMode="External"/><Relationship Id="rId18" Type="http://schemas.openxmlformats.org/officeDocument/2006/relationships/hyperlink" Target="https://tbinternet.ohchr.org/_layouts/15/treatybodyexternal/Download.aspx?symbolno=E%2fC.12%2fITA%2fCO%2f5&amp;Lang=en" TargetMode="External"/><Relationship Id="rId26" Type="http://schemas.openxmlformats.org/officeDocument/2006/relationships/hyperlink" Target="https://tbinternet.ohchr.org/_layouts/15/treatybodyexternal/Download.aspx?symbolno=E%2fC.12%2fITA%2fCO%2f5&amp;Lang=en" TargetMode="External"/><Relationship Id="rId3" Type="http://schemas.openxmlformats.org/officeDocument/2006/relationships/hyperlink" Target="https://tbinternet.ohchr.org/_layouts/15/treatybodyexternal/Download.aspx?symbolno=E%2fC.12%2f2022%2fSR.39&amp;Lang=en" TargetMode="External"/><Relationship Id="rId21" Type="http://schemas.openxmlformats.org/officeDocument/2006/relationships/hyperlink" Target="https://tbinternet.ohchr.org/_layouts/15/treatybodyexternal/Download.aspx?symbolno=E%2fC.12%2fGC%2f23&amp;Lang=en" TargetMode="External"/><Relationship Id="rId7" Type="http://schemas.openxmlformats.org/officeDocument/2006/relationships/hyperlink" Target="https://tbinternet.ohchr.org/_layouts/15/treatybodyexternal/Download.aspx?symbolno=E%2fC.12%2f1998%2f25&amp;Lang=en" TargetMode="External"/><Relationship Id="rId12" Type="http://schemas.openxmlformats.org/officeDocument/2006/relationships/hyperlink" Target="https://tbinternet.ohchr.org/_layouts/15/treatybodyexternal/Download.aspx?symbolno=E%2fC.12%2fGC%2f20&amp;Lang=en" TargetMode="External"/><Relationship Id="rId17" Type="http://schemas.openxmlformats.org/officeDocument/2006/relationships/hyperlink" Target="https://tbinternet.ohchr.org/_layouts/15/treatybodyexternal/Download.aspx?symbolno=E%2fC.12%2f2005%2f4&amp;Lang=en" TargetMode="External"/><Relationship Id="rId25" Type="http://schemas.openxmlformats.org/officeDocument/2006/relationships/hyperlink" Target="https://undocs.org/Home/Mobile?FinalSymbol=A%2FHRC%2F43%2F44%2FAdd.5&amp;Language=E&amp;DeviceType=Desktop&amp;LangRequested=False" TargetMode="External"/><Relationship Id="rId2" Type="http://schemas.openxmlformats.org/officeDocument/2006/relationships/hyperlink" Target="https://tbinternet.ohchr.org/_layouts/15/treatybodyexternal/Download.aspx?symbolno=E%2fC.12%2f2022%2fSR.38&amp;Lang=en" TargetMode="External"/><Relationship Id="rId16" Type="http://schemas.openxmlformats.org/officeDocument/2006/relationships/hyperlink" Target="https://tbinternet.ohchr.org/Treaties/CRPD/Shared%20Documents/ITA/CRPD_C_27_D_51_2018_34385_E.pdf" TargetMode="External"/><Relationship Id="rId20" Type="http://schemas.openxmlformats.org/officeDocument/2006/relationships/hyperlink" Target="https://tbinternet.ohchr.org/_layouts/15/treatybodyexternal/Download.aspx?symbolno=E%2fC.12%2fITA%2fCO%2f5&amp;Lang=en" TargetMode="External"/><Relationship Id="rId29" Type="http://schemas.openxmlformats.org/officeDocument/2006/relationships/hyperlink" Target="https://tbinternet.ohchr.org/_layouts/15/treatybodyexternal/Download.aspx?symbolno=E%2fC.12%2fITA%2fCO%2f5&amp;Lang=en" TargetMode="External"/><Relationship Id="rId1" Type="http://schemas.openxmlformats.org/officeDocument/2006/relationships/hyperlink" Target="https://tbinternet.ohchr.org/_layouts/15/treatybodyexternal/Download.aspx?symbolno=E%2fC.12%2fITA%2f6&amp;Lang=en" TargetMode="External"/><Relationship Id="rId6" Type="http://schemas.openxmlformats.org/officeDocument/2006/relationships/hyperlink" Target="https://documents-dds-ny.un.org/doc/UNDOC/GEN/N94/116/24/PDF/N9411624.pdf?OpenElement" TargetMode="External"/><Relationship Id="rId11" Type="http://schemas.openxmlformats.org/officeDocument/2006/relationships/hyperlink" Target="https://tbinternet.ohchr.org/_layouts/15/treatybodyexternal/Download.aspx?symbolno=E%2fC.12%2f2016%2f1&amp;Lang=en" TargetMode="External"/><Relationship Id="rId24" Type="http://schemas.openxmlformats.org/officeDocument/2006/relationships/hyperlink" Target="https://tbinternet.ohchr.org/_layouts/15/treatybodyexternal/Download.aspx?symbolno=INT%2fCESCR%2fGEC%2f4759&amp;Lang=en" TargetMode="External"/><Relationship Id="rId5" Type="http://schemas.openxmlformats.org/officeDocument/2006/relationships/hyperlink" Target="https://tbinternet.ohchr.org/_layouts/15/treatybodyexternal/Download.aspx?symbolno=E%2fC.12%2f1998%2f24&amp;Lang=en" TargetMode="External"/><Relationship Id="rId15" Type="http://schemas.openxmlformats.org/officeDocument/2006/relationships/hyperlink" Target="https://tbinternet.ohchr.org/_layouts/15/treatybodyexternal/Download.aspx?symbolno=CRPD%2fC%2fITA%2fCO%2f1&amp;Lang=en" TargetMode="External"/><Relationship Id="rId23" Type="http://schemas.openxmlformats.org/officeDocument/2006/relationships/hyperlink" Target="https://tbinternet.ohchr.org/_layouts/15/treatybodyexternal/Download.aspx?symbolno=E%2fC.12%2f2001%2f10&amp;Lang=en" TargetMode="External"/><Relationship Id="rId28" Type="http://schemas.openxmlformats.org/officeDocument/2006/relationships/hyperlink" Target="https://tbinternet.ohchr.org/_layouts/15/treatybodyexternal/Download.aspx?symbolno=E%2fC.12%2fITA%2fCO%2f5&amp;Lang=en" TargetMode="External"/><Relationship Id="rId10" Type="http://schemas.openxmlformats.org/officeDocument/2006/relationships/hyperlink" Target="https://tbinternet.ohchr.org/_layouts/15/treatybodyexternal/Download.aspx?symbolno=E%2fC.12%2fITA%2fCO%2f5&amp;Lang=en" TargetMode="External"/><Relationship Id="rId19" Type="http://schemas.openxmlformats.org/officeDocument/2006/relationships/hyperlink" Target="https://tbinternet.ohchr.org/_layouts/15/treatybodyexternal/Download.aspx?symbolno=E%2fC.12%2fITA%2fCO%2f5&amp;Lang=en" TargetMode="External"/><Relationship Id="rId31" Type="http://schemas.openxmlformats.org/officeDocument/2006/relationships/hyperlink" Target="https://tbinternet.ohchr.org/_layouts/15/treatybodyexternal/Download.aspx?symbolno=E%2fC.12%2fITA%2fCO%2f5&amp;Lang=en" TargetMode="External"/><Relationship Id="rId4" Type="http://schemas.openxmlformats.org/officeDocument/2006/relationships/hyperlink" Target="https://tbinternet.ohchr.org/_layouts/15/treatybodyexternal/Download.aspx?symbolno=E%2fC.12%2fITA%2fQPR%2f6&amp;Lang=en" TargetMode="External"/><Relationship Id="rId9" Type="http://schemas.openxmlformats.org/officeDocument/2006/relationships/hyperlink" Target="https://tbinternet.ohchr.org/_layouts/15/treatybodyexternal/Download.aspx?symbolno=E%2fC.12%2f2018%2f1&amp;Lang=en" TargetMode="External"/><Relationship Id="rId14" Type="http://schemas.openxmlformats.org/officeDocument/2006/relationships/hyperlink" Target="https://tbinternet.ohchr.org/_layouts/15/treatybodyexternal/Download.aspx?symbolno=CRPD%2fC%2fITA%2fCO%2f1&amp;Lang=en" TargetMode="External"/><Relationship Id="rId22" Type="http://schemas.openxmlformats.org/officeDocument/2006/relationships/hyperlink" Target="https://tbinternet.ohchr.org/_layouts/15/treatybodyexternal/Download.aspx?symbolno=E%2fC.12%2fITA%2fCO%2f5&amp;Lang=en" TargetMode="External"/><Relationship Id="rId27" Type="http://schemas.openxmlformats.org/officeDocument/2006/relationships/hyperlink" Target="https://tbinternet.ohchr.org/_layouts/15/treatybodyexternal/Download.aspx?symbolno=E%2fC.12%2f2000%2f4&amp;Lang=en" TargetMode="External"/><Relationship Id="rId30" Type="http://schemas.openxmlformats.org/officeDocument/2006/relationships/hyperlink" Target="https://tbinternet.ohchr.org/_layouts/15/treatybodyexternal/Download.aspx?symbolno=E%2fC.12%2fGC%2f2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07CF-E480-4FA2-9F09-499CA73DB9B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b3f643d-3f7a-48ec-b3f0-d35125a3d489"/>
    <ds:schemaRef ds:uri="http://www.w3.org/XML/1998/namespace"/>
    <ds:schemaRef ds:uri="http://purl.org/dc/dcmitype/"/>
  </ds:schemaRefs>
</ds:datastoreItem>
</file>

<file path=customXml/itemProps2.xml><?xml version="1.0" encoding="utf-8"?>
<ds:datastoreItem xmlns:ds="http://schemas.openxmlformats.org/officeDocument/2006/customXml" ds:itemID="{3FDF09ED-D46A-41AF-B2E8-B649FC05A2B0}"/>
</file>

<file path=customXml/itemProps3.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4.xml><?xml version="1.0" encoding="utf-8"?>
<ds:datastoreItem xmlns:ds="http://schemas.openxmlformats.org/officeDocument/2006/customXml" ds:itemID="{89703A24-E358-4922-9F9E-22E0915A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4689</Words>
  <Characters>26729</Characters>
  <Application>Microsoft Office Word</Application>
  <DocSecurity>0</DocSecurity>
  <Lines>222</Lines>
  <Paragraphs>62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E/C.12/SLV/CO/R.6</vt:lpstr>
      <vt:lpstr/>
      <vt:lpstr/>
    </vt:vector>
  </TitlesOfParts>
  <Company>DCM</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E/C.12/SLV/CO/R.6</dc:title>
  <dc:creator>Gloria</dc:creator>
  <cp:lastModifiedBy>REYNAUD Céline</cp:lastModifiedBy>
  <cp:revision>9</cp:revision>
  <cp:lastPrinted>2022-10-12T09:58:00Z</cp:lastPrinted>
  <dcterms:created xsi:type="dcterms:W3CDTF">2022-10-14T12:59:00Z</dcterms:created>
  <dcterms:modified xsi:type="dcterms:W3CDTF">2022-10-14T14:33:00Z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0x010100B5446AB3680AD04583FFC0D2A3BEC2EA</vt:lpwstr>
  </property>
  <property fmtid="{D5CDD505-2E9C-101B-9397-08002B2CF9AE}" pid="8" name="count">
    <vt:lpwstr>El Salvador</vt:lpwstr>
  </property>
  <property fmtid="{D5CDD505-2E9C-101B-9397-08002B2CF9AE}" pid="9" name="countw">
    <vt:lpwstr>El Salvador</vt:lpwstr>
  </property>
  <property fmtid="{D5CDD505-2E9C-101B-9397-08002B2CF9AE}" pid="10" name="countwd">
    <vt:lpwstr>El Salvador</vt:lpwstr>
  </property>
  <property fmtid="{D5CDD505-2E9C-101B-9397-08002B2CF9AE}" pid="11" name="date">
    <vt:lpwstr>16 May 2022</vt:lpwstr>
  </property>
  <property fmtid="{D5CDD505-2E9C-101B-9397-08002B2CF9AE}" pid="12" name="Date-Generated">
    <vt:filetime>2022-05-16T12:32:50Z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164800</vt:r8>
  </property>
  <property fmtid="{D5CDD505-2E9C-101B-9397-08002B2CF9AE}" pid="21" name="Org">
    <vt:lpwstr>OHCHR</vt:lpwstr>
  </property>
  <property fmtid="{D5CDD505-2E9C-101B-9397-08002B2CF9AE}" pid="22" name="prep">
    <vt:lpwstr>sixth periodic report of El Salvador</vt:lpwstr>
  </property>
  <property fmtid="{D5CDD505-2E9C-101B-9397-08002B2CF9AE}" pid="23" name="preps">
    <vt:lpwstr>sixth periodic report of El Salvador</vt:lpwstr>
  </property>
  <property fmtid="{D5CDD505-2E9C-101B-9397-08002B2CF9AE}" pid="24" name="prepw">
    <vt:lpwstr>sixth periodic report</vt:lpwstr>
  </property>
  <property fmtid="{D5CDD505-2E9C-101B-9397-08002B2CF9AE}" pid="25" name="prepwc">
    <vt:lpwstr>Sixth periodic report </vt:lpwstr>
  </property>
  <property fmtid="{D5CDD505-2E9C-101B-9397-08002B2CF9AE}" pid="26" name="prepws">
    <vt:lpwstr>sixth periodic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C.12/SLV/CO/R.6</vt:lpwstr>
  </property>
  <property fmtid="{D5CDD505-2E9C-101B-9397-08002B2CF9AE}" pid="31" name="symh">
    <vt:lpwstr>E/C.12/SLV/CO/R.6</vt:lpwstr>
  </property>
  <property fmtid="{D5CDD505-2E9C-101B-9397-08002B2CF9AE}" pid="32" name="Title">
    <vt:lpwstr>E/C.12/SLV/CO/R.6</vt:lpwstr>
  </property>
  <property fmtid="{D5CDD505-2E9C-101B-9397-08002B2CF9AE}" pid="33" name="tlang">
    <vt:lpwstr/>
  </property>
  <property fmtid="{D5CDD505-2E9C-101B-9397-08002B2CF9AE}" pid="34" name="virs">
    <vt:lpwstr>English, French and Spanish only</vt:lpwstr>
  </property>
  <property fmtid="{D5CDD505-2E9C-101B-9397-08002B2CF9AE}" pid="35" name="GrammarlyDocumentId">
    <vt:lpwstr>9f671e07c0c5e460dd114d1a501bd44c0570bf80bed3d07c8c92c906f2497a20</vt:lpwstr>
  </property>
</Properties>
</file>