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7831E4" w14:paraId="572CAAC5" w14:textId="77777777" w:rsidTr="00E56EE3">
        <w:trPr>
          <w:trHeight w:hRule="exact" w:val="851"/>
        </w:trPr>
        <w:tc>
          <w:tcPr>
            <w:tcW w:w="1280" w:type="dxa"/>
            <w:tcBorders>
              <w:bottom w:val="single" w:sz="4" w:space="0" w:color="auto"/>
            </w:tcBorders>
            <w:shd w:val="clear" w:color="auto" w:fill="auto"/>
          </w:tcPr>
          <w:p w14:paraId="491DACAB" w14:textId="77777777" w:rsidR="002D5AAC" w:rsidRDefault="002D5AAC" w:rsidP="00E56EE3"/>
        </w:tc>
        <w:tc>
          <w:tcPr>
            <w:tcW w:w="2273" w:type="dxa"/>
            <w:tcBorders>
              <w:bottom w:val="single" w:sz="4" w:space="0" w:color="auto"/>
            </w:tcBorders>
            <w:shd w:val="clear" w:color="auto" w:fill="auto"/>
            <w:vAlign w:val="bottom"/>
          </w:tcPr>
          <w:p w14:paraId="1275F4C4" w14:textId="6FBBFB2A" w:rsidR="002D5AAC" w:rsidRPr="00D4778E" w:rsidRDefault="002D5AAC" w:rsidP="00E56EE3">
            <w:pPr>
              <w:spacing w:after="80" w:line="300" w:lineRule="exact"/>
              <w:rPr>
                <w:sz w:val="28"/>
              </w:rPr>
            </w:pPr>
            <w:bookmarkStart w:id="0" w:name="_GoBack"/>
            <w:bookmarkEnd w:id="0"/>
          </w:p>
        </w:tc>
        <w:tc>
          <w:tcPr>
            <w:tcW w:w="6086" w:type="dxa"/>
            <w:gridSpan w:val="2"/>
            <w:tcBorders>
              <w:bottom w:val="single" w:sz="4" w:space="0" w:color="auto"/>
            </w:tcBorders>
            <w:shd w:val="clear" w:color="auto" w:fill="auto"/>
            <w:vAlign w:val="bottom"/>
          </w:tcPr>
          <w:p w14:paraId="523BB21C" w14:textId="2D97E23F" w:rsidR="002D5AAC" w:rsidRDefault="005A41F1" w:rsidP="006E78EB">
            <w:pPr>
              <w:jc w:val="right"/>
            </w:pPr>
            <w:r>
              <w:rPr>
                <w:sz w:val="40"/>
              </w:rPr>
              <w:t>E</w:t>
            </w:r>
            <w:r w:rsidR="00935A0B" w:rsidRPr="00F43810">
              <w:t>/C.12/GTM/CO/4</w:t>
            </w:r>
          </w:p>
        </w:tc>
      </w:tr>
      <w:tr w:rsidR="007831E4" w14:paraId="585AFE82" w14:textId="77777777" w:rsidTr="00E56EE3">
        <w:trPr>
          <w:trHeight w:hRule="exact" w:val="2835"/>
        </w:trPr>
        <w:tc>
          <w:tcPr>
            <w:tcW w:w="1280" w:type="dxa"/>
            <w:tcBorders>
              <w:top w:val="single" w:sz="4" w:space="0" w:color="auto"/>
              <w:bottom w:val="single" w:sz="12" w:space="0" w:color="auto"/>
            </w:tcBorders>
            <w:shd w:val="clear" w:color="auto" w:fill="auto"/>
          </w:tcPr>
          <w:p w14:paraId="67A03629" w14:textId="2B703657" w:rsidR="002D5AAC" w:rsidRDefault="002D5AAC" w:rsidP="00E56EE3">
            <w:pPr>
              <w:spacing w:before="120"/>
              <w:jc w:val="center"/>
            </w:pPr>
          </w:p>
        </w:tc>
        <w:tc>
          <w:tcPr>
            <w:tcW w:w="5540" w:type="dxa"/>
            <w:gridSpan w:val="2"/>
            <w:tcBorders>
              <w:top w:val="single" w:sz="4" w:space="0" w:color="auto"/>
              <w:bottom w:val="single" w:sz="12" w:space="0" w:color="auto"/>
            </w:tcBorders>
            <w:shd w:val="clear" w:color="auto" w:fill="auto"/>
          </w:tcPr>
          <w:p w14:paraId="084AA0A2" w14:textId="37264ACF" w:rsidR="002D5AAC" w:rsidRPr="00D4778E" w:rsidRDefault="00D86FBC" w:rsidP="009149EE">
            <w:pPr>
              <w:spacing w:before="120" w:line="420" w:lineRule="exact"/>
              <w:rPr>
                <w:b/>
                <w:sz w:val="34"/>
                <w:szCs w:val="34"/>
              </w:rPr>
            </w:pPr>
            <w:r>
              <w:rPr>
                <w:b/>
                <w:sz w:val="40"/>
                <w:szCs w:val="40"/>
              </w:rPr>
              <w:t>VERSIÓN AVANZADA NO EDITADA</w:t>
            </w:r>
          </w:p>
        </w:tc>
        <w:tc>
          <w:tcPr>
            <w:tcW w:w="2819" w:type="dxa"/>
            <w:tcBorders>
              <w:top w:val="single" w:sz="4" w:space="0" w:color="auto"/>
              <w:bottom w:val="single" w:sz="12" w:space="0" w:color="auto"/>
            </w:tcBorders>
            <w:shd w:val="clear" w:color="auto" w:fill="auto"/>
          </w:tcPr>
          <w:p w14:paraId="3201233F" w14:textId="36CF688C" w:rsidR="00935A0B" w:rsidRPr="00F43810" w:rsidRDefault="005A41F1" w:rsidP="00935A0B">
            <w:pPr>
              <w:spacing w:before="240" w:line="240" w:lineRule="exact"/>
            </w:pPr>
            <w:r w:rsidRPr="00F43810">
              <w:t xml:space="preserve">Distr. </w:t>
            </w:r>
            <w:r w:rsidR="006E78EB">
              <w:t>General</w:t>
            </w:r>
          </w:p>
          <w:p w14:paraId="70B1EACC" w14:textId="3CD50D56" w:rsidR="00935A0B" w:rsidRPr="00F43810" w:rsidRDefault="000D1168" w:rsidP="00935A0B">
            <w:r>
              <w:t>14</w:t>
            </w:r>
            <w:r w:rsidRPr="00F43810">
              <w:t xml:space="preserve"> </w:t>
            </w:r>
            <w:r w:rsidR="005A41F1" w:rsidRPr="00F43810">
              <w:t xml:space="preserve">de </w:t>
            </w:r>
            <w:r w:rsidR="0041429C">
              <w:t>octubre</w:t>
            </w:r>
            <w:r w:rsidR="005A41F1" w:rsidRPr="00F43810">
              <w:t xml:space="preserve"> de 2022</w:t>
            </w:r>
          </w:p>
          <w:p w14:paraId="748975D0" w14:textId="77777777" w:rsidR="00935A0B" w:rsidRPr="00F43810" w:rsidRDefault="00935A0B" w:rsidP="00935A0B"/>
          <w:p w14:paraId="4E16B643" w14:textId="0777485F" w:rsidR="002D5AAC" w:rsidRDefault="005A41F1" w:rsidP="00B020B8">
            <w:r w:rsidRPr="00F43810">
              <w:t>Original: español</w:t>
            </w:r>
          </w:p>
        </w:tc>
      </w:tr>
    </w:tbl>
    <w:p w14:paraId="35E296B8" w14:textId="77777777" w:rsidR="00E3142F" w:rsidRDefault="005A41F1" w:rsidP="00E939A3">
      <w:pPr>
        <w:spacing w:before="120"/>
        <w:rPr>
          <w:b/>
          <w:sz w:val="24"/>
        </w:rPr>
      </w:pPr>
      <w:r w:rsidRPr="00180B8D">
        <w:rPr>
          <w:b/>
          <w:sz w:val="24"/>
        </w:rPr>
        <w:t>Comité de Derechos Económicos, Sociales y Culturales</w:t>
      </w:r>
    </w:p>
    <w:p w14:paraId="796E96E8" w14:textId="6AAD6FC6" w:rsidR="009240A5" w:rsidRDefault="005A41F1" w:rsidP="009240A5">
      <w:pPr>
        <w:pStyle w:val="HChG"/>
      </w:pPr>
      <w:r>
        <w:tab/>
      </w:r>
      <w:r>
        <w:tab/>
        <w:t>Observaciones finales sobre</w:t>
      </w:r>
      <w:r w:rsidR="00B31829">
        <w:t xml:space="preserve"> </w:t>
      </w:r>
      <w:r w:rsidR="0041429C" w:rsidRPr="0041429C">
        <w:t>el</w:t>
      </w:r>
      <w:r>
        <w:t xml:space="preserve"> </w:t>
      </w:r>
      <w:r w:rsidR="0082273B">
        <w:t>cuarto informe periódico de Guatemala</w:t>
      </w:r>
      <w:r w:rsidR="006E78EB" w:rsidRPr="00C96719">
        <w:rPr>
          <w:rStyle w:val="FootnoteReference"/>
          <w:b w:val="0"/>
          <w:bCs/>
          <w:sz w:val="20"/>
        </w:rPr>
        <w:footnoteReference w:customMarkFollows="1" w:id="1"/>
        <w:t>*</w:t>
      </w:r>
    </w:p>
    <w:p w14:paraId="04862074" w14:textId="6AE6FC6B" w:rsidR="0022171A" w:rsidRPr="0041429C" w:rsidRDefault="0041429C" w:rsidP="004B0ADD">
      <w:pPr>
        <w:pStyle w:val="SingleTxtG"/>
        <w:numPr>
          <w:ilvl w:val="0"/>
          <w:numId w:val="46"/>
        </w:numPr>
        <w:tabs>
          <w:tab w:val="clear" w:pos="1701"/>
          <w:tab w:val="clear" w:pos="2268"/>
          <w:tab w:val="clear" w:pos="2835"/>
        </w:tabs>
        <w:ind w:left="1134" w:firstLine="0"/>
        <w:rPr>
          <w:rFonts w:eastAsiaTheme="minorHAnsi"/>
          <w:bCs/>
          <w:lang w:val="es-419" w:eastAsia="en-US"/>
        </w:rPr>
      </w:pPr>
      <w:r w:rsidRPr="0041429C">
        <w:rPr>
          <w:bCs/>
          <w:lang w:val="es-419"/>
        </w:rPr>
        <w:t>El Comité examinó el cuarto informe periódico de Guatemala</w:t>
      </w:r>
      <w:r w:rsidR="0022171A">
        <w:rPr>
          <w:rStyle w:val="FootnoteReference"/>
          <w:bCs/>
        </w:rPr>
        <w:footnoteReference w:id="2"/>
      </w:r>
      <w:r w:rsidR="0022171A" w:rsidRPr="0041429C">
        <w:rPr>
          <w:bCs/>
          <w:lang w:val="es-419"/>
        </w:rPr>
        <w:t xml:space="preserve"> </w:t>
      </w:r>
      <w:r w:rsidRPr="0041429C">
        <w:rPr>
          <w:bCs/>
          <w:lang w:val="es-419"/>
        </w:rPr>
        <w:t xml:space="preserve">en sus sesiones </w:t>
      </w:r>
      <w:r w:rsidR="00F17341">
        <w:rPr>
          <w:bCs/>
          <w:lang w:val="es-419"/>
        </w:rPr>
        <w:t>42°</w:t>
      </w:r>
      <w:r w:rsidR="0022171A" w:rsidRPr="0041429C">
        <w:rPr>
          <w:bCs/>
          <w:lang w:val="es-419"/>
        </w:rPr>
        <w:t xml:space="preserve"> </w:t>
      </w:r>
      <w:r w:rsidRPr="0041429C">
        <w:rPr>
          <w:bCs/>
          <w:lang w:val="es-419"/>
        </w:rPr>
        <w:t xml:space="preserve">y </w:t>
      </w:r>
      <w:r w:rsidR="00F17341">
        <w:rPr>
          <w:bCs/>
          <w:lang w:val="es-419"/>
        </w:rPr>
        <w:t>44</w:t>
      </w:r>
      <w:r w:rsidR="00061178">
        <w:rPr>
          <w:bCs/>
          <w:lang w:val="es-419"/>
        </w:rPr>
        <w:t>°</w:t>
      </w:r>
      <w:r w:rsidR="0022171A">
        <w:rPr>
          <w:rStyle w:val="FootnoteReference"/>
          <w:bCs/>
        </w:rPr>
        <w:footnoteReference w:id="3"/>
      </w:r>
      <w:r w:rsidR="0022171A" w:rsidRPr="0041429C">
        <w:rPr>
          <w:bCs/>
          <w:lang w:val="es-419"/>
        </w:rPr>
        <w:t xml:space="preserve"> </w:t>
      </w:r>
      <w:r w:rsidRPr="0041429C">
        <w:rPr>
          <w:bCs/>
          <w:lang w:val="es-419"/>
        </w:rPr>
        <w:t>celebradas los días tres y cuatro de octubre de 2022</w:t>
      </w:r>
      <w:r w:rsidR="0022171A" w:rsidRPr="0041429C">
        <w:rPr>
          <w:bCs/>
          <w:lang w:val="es-419"/>
        </w:rPr>
        <w:t xml:space="preserve">, </w:t>
      </w:r>
      <w:r w:rsidRPr="0041429C">
        <w:rPr>
          <w:bCs/>
          <w:lang w:val="es-419"/>
        </w:rPr>
        <w:t>y adoptó las present</w:t>
      </w:r>
      <w:r>
        <w:rPr>
          <w:bCs/>
          <w:lang w:val="es-419"/>
        </w:rPr>
        <w:t>e</w:t>
      </w:r>
      <w:r w:rsidRPr="0041429C">
        <w:rPr>
          <w:bCs/>
          <w:lang w:val="es-419"/>
        </w:rPr>
        <w:t>s observaciones finales en su sesi</w:t>
      </w:r>
      <w:r>
        <w:rPr>
          <w:bCs/>
          <w:lang w:val="es-419"/>
        </w:rPr>
        <w:t xml:space="preserve">ón </w:t>
      </w:r>
      <w:r w:rsidR="00A85EE3">
        <w:rPr>
          <w:bCs/>
          <w:lang w:val="es-419"/>
        </w:rPr>
        <w:t>60°</w:t>
      </w:r>
      <w:r w:rsidR="0022171A" w:rsidRPr="0041429C">
        <w:rPr>
          <w:bCs/>
          <w:lang w:val="es-419"/>
        </w:rPr>
        <w:t xml:space="preserve">, </w:t>
      </w:r>
      <w:r>
        <w:rPr>
          <w:bCs/>
          <w:lang w:val="es-419"/>
        </w:rPr>
        <w:t>celebrada el día 1</w:t>
      </w:r>
      <w:r w:rsidR="00F17341">
        <w:rPr>
          <w:bCs/>
          <w:lang w:val="es-419"/>
        </w:rPr>
        <w:t>4</w:t>
      </w:r>
      <w:r>
        <w:rPr>
          <w:bCs/>
          <w:lang w:val="es-419"/>
        </w:rPr>
        <w:t xml:space="preserve"> de octubre de 2022</w:t>
      </w:r>
      <w:r w:rsidR="0022171A" w:rsidRPr="0041429C">
        <w:rPr>
          <w:bCs/>
          <w:lang w:val="es-419"/>
        </w:rPr>
        <w:t xml:space="preserve">. </w:t>
      </w:r>
    </w:p>
    <w:p w14:paraId="2897C01C" w14:textId="77777777" w:rsidR="0022171A" w:rsidRPr="00425F5C" w:rsidRDefault="0022171A" w:rsidP="0022171A">
      <w:pPr>
        <w:pStyle w:val="H1G"/>
        <w:rPr>
          <w:lang w:val="es-419"/>
        </w:rPr>
      </w:pPr>
      <w:r w:rsidRPr="0041429C">
        <w:rPr>
          <w:lang w:val="es-419"/>
        </w:rPr>
        <w:tab/>
      </w:r>
      <w:r w:rsidR="00425F5C">
        <w:rPr>
          <w:lang w:val="es-419"/>
        </w:rPr>
        <w:t>A.</w:t>
      </w:r>
      <w:r w:rsidR="00425F5C">
        <w:rPr>
          <w:lang w:val="es-419"/>
        </w:rPr>
        <w:tab/>
        <w:t>Introducció</w:t>
      </w:r>
      <w:r w:rsidRPr="00425F5C">
        <w:rPr>
          <w:lang w:val="es-419"/>
        </w:rPr>
        <w:t>n</w:t>
      </w:r>
    </w:p>
    <w:p w14:paraId="60B1ADF7" w14:textId="51DFE100" w:rsidR="0022171A" w:rsidRPr="0041429C" w:rsidRDefault="0041429C" w:rsidP="004B0ADD">
      <w:pPr>
        <w:pStyle w:val="SingleTxtG"/>
        <w:numPr>
          <w:ilvl w:val="0"/>
          <w:numId w:val="46"/>
        </w:numPr>
        <w:tabs>
          <w:tab w:val="clear" w:pos="1701"/>
          <w:tab w:val="clear" w:pos="2268"/>
          <w:tab w:val="clear" w:pos="2835"/>
        </w:tabs>
        <w:ind w:left="1134" w:firstLine="0"/>
        <w:rPr>
          <w:bCs/>
          <w:lang w:val="es-419"/>
        </w:rPr>
      </w:pPr>
      <w:r w:rsidRPr="0041429C">
        <w:rPr>
          <w:bCs/>
          <w:lang w:val="es-419"/>
        </w:rPr>
        <w:t>El Comité acoge con satisfacción la presentación de</w:t>
      </w:r>
      <w:r w:rsidR="00D36472">
        <w:rPr>
          <w:bCs/>
          <w:lang w:val="es-419"/>
        </w:rPr>
        <w:t xml:space="preserve">l </w:t>
      </w:r>
      <w:r w:rsidRPr="0041429C">
        <w:rPr>
          <w:bCs/>
          <w:lang w:val="es-419"/>
        </w:rPr>
        <w:t xml:space="preserve">cuarto informe periódico </w:t>
      </w:r>
      <w:r w:rsidR="00042C4C">
        <w:rPr>
          <w:bCs/>
          <w:lang w:val="es-419"/>
        </w:rPr>
        <w:t>de Guatemala</w:t>
      </w:r>
      <w:r w:rsidRPr="0041429C">
        <w:rPr>
          <w:bCs/>
          <w:lang w:val="es-419"/>
        </w:rPr>
        <w:t xml:space="preserve"> y la información proporcionada en las respuestas a la lista de cuestiones</w:t>
      </w:r>
      <w:r>
        <w:rPr>
          <w:rStyle w:val="FootnoteReference"/>
          <w:bCs/>
          <w:lang w:val="es-419"/>
        </w:rPr>
        <w:footnoteReference w:id="4"/>
      </w:r>
      <w:r w:rsidRPr="0041429C">
        <w:rPr>
          <w:bCs/>
          <w:lang w:val="es-419"/>
        </w:rPr>
        <w:t xml:space="preserve">. El Comité agradece </w:t>
      </w:r>
      <w:r>
        <w:rPr>
          <w:bCs/>
          <w:lang w:val="es-419"/>
        </w:rPr>
        <w:t>el diá</w:t>
      </w:r>
      <w:r w:rsidRPr="0041429C">
        <w:rPr>
          <w:bCs/>
          <w:lang w:val="es-419"/>
        </w:rPr>
        <w:t>logo constructiv</w:t>
      </w:r>
      <w:r>
        <w:rPr>
          <w:bCs/>
          <w:lang w:val="es-419"/>
        </w:rPr>
        <w:t>o</w:t>
      </w:r>
      <w:r w:rsidRPr="0041429C">
        <w:rPr>
          <w:bCs/>
          <w:lang w:val="es-419"/>
        </w:rPr>
        <w:t xml:space="preserve"> </w:t>
      </w:r>
      <w:r>
        <w:rPr>
          <w:bCs/>
          <w:lang w:val="es-419"/>
        </w:rPr>
        <w:t>sostenido con la delegació</w:t>
      </w:r>
      <w:r w:rsidRPr="0041429C">
        <w:rPr>
          <w:bCs/>
          <w:lang w:val="es-419"/>
        </w:rPr>
        <w:t xml:space="preserve">n de alto nivel del Estado </w:t>
      </w:r>
      <w:r w:rsidRPr="002A09E2">
        <w:rPr>
          <w:bCs/>
          <w:lang w:val="es-419"/>
        </w:rPr>
        <w:t>parte</w:t>
      </w:r>
      <w:r w:rsidR="001C37CF">
        <w:rPr>
          <w:bCs/>
          <w:lang w:val="es-419"/>
        </w:rPr>
        <w:t xml:space="preserve"> y las respuestas proporcionadas durante éste y después por escrito</w:t>
      </w:r>
      <w:r w:rsidR="002A09E2">
        <w:rPr>
          <w:bCs/>
          <w:lang w:val="es-419"/>
        </w:rPr>
        <w:t>.</w:t>
      </w:r>
      <w:r w:rsidRPr="0041429C">
        <w:rPr>
          <w:bCs/>
          <w:lang w:val="es-419"/>
        </w:rPr>
        <w:t xml:space="preserve"> </w:t>
      </w:r>
    </w:p>
    <w:p w14:paraId="1B6BB4A0" w14:textId="77777777" w:rsidR="0022171A" w:rsidRPr="00425F5C" w:rsidRDefault="0022171A" w:rsidP="0022171A">
      <w:pPr>
        <w:pStyle w:val="H1G"/>
        <w:rPr>
          <w:lang w:val="es-419"/>
        </w:rPr>
      </w:pPr>
      <w:r w:rsidRPr="0041429C">
        <w:rPr>
          <w:lang w:val="es-419"/>
        </w:rPr>
        <w:tab/>
      </w:r>
      <w:r w:rsidRPr="00425F5C">
        <w:rPr>
          <w:lang w:val="es-419"/>
        </w:rPr>
        <w:t>B.</w:t>
      </w:r>
      <w:r w:rsidRPr="00425F5C">
        <w:rPr>
          <w:lang w:val="es-419"/>
        </w:rPr>
        <w:tab/>
      </w:r>
      <w:r w:rsidR="00425F5C" w:rsidRPr="00425F5C">
        <w:rPr>
          <w:lang w:val="es-419"/>
        </w:rPr>
        <w:t>A</w:t>
      </w:r>
      <w:r w:rsidR="00425F5C">
        <w:rPr>
          <w:lang w:val="es-419"/>
        </w:rPr>
        <w:t>spectos positivos</w:t>
      </w:r>
    </w:p>
    <w:p w14:paraId="0DFD1414" w14:textId="2287FA75" w:rsidR="0022171A" w:rsidRPr="00AF30A0" w:rsidRDefault="00AF30A0" w:rsidP="004B0ADD">
      <w:pPr>
        <w:pStyle w:val="SingleTxtG"/>
        <w:numPr>
          <w:ilvl w:val="0"/>
          <w:numId w:val="46"/>
        </w:numPr>
        <w:tabs>
          <w:tab w:val="clear" w:pos="1701"/>
          <w:tab w:val="clear" w:pos="2268"/>
          <w:tab w:val="clear" w:pos="2835"/>
        </w:tabs>
        <w:ind w:left="1134" w:firstLine="0"/>
        <w:rPr>
          <w:bCs/>
          <w:lang w:val="es-419"/>
        </w:rPr>
      </w:pPr>
      <w:r w:rsidRPr="002A09E2">
        <w:rPr>
          <w:lang w:val="es-419"/>
        </w:rPr>
        <w:t>El Comité acoge con satisfacción las medidas adoptadas por el Estado parte para consolidar la promoción y protección del goce de los derechos económicos, sociales y culturale</w:t>
      </w:r>
      <w:r w:rsidR="00A0205C">
        <w:rPr>
          <w:lang w:val="es-419"/>
        </w:rPr>
        <w:t>s mediante la creació</w:t>
      </w:r>
      <w:r w:rsidR="00F17341" w:rsidRPr="002A09E2">
        <w:rPr>
          <w:lang w:val="es-419"/>
        </w:rPr>
        <w:t>n de la Comisión Presidencial por la Paz y los Der</w:t>
      </w:r>
      <w:r w:rsidR="00A0205C">
        <w:rPr>
          <w:lang w:val="es-419"/>
        </w:rPr>
        <w:t>echos Humanos y la implementació</w:t>
      </w:r>
      <w:r w:rsidR="00F17341" w:rsidRPr="002A09E2">
        <w:rPr>
          <w:lang w:val="es-419"/>
        </w:rPr>
        <w:t xml:space="preserve">n de las políticas nacionales de desarrollo </w:t>
      </w:r>
      <w:r w:rsidR="002A09E2" w:rsidRPr="002A09E2">
        <w:rPr>
          <w:lang w:val="es-419"/>
        </w:rPr>
        <w:t xml:space="preserve">derivadas del </w:t>
      </w:r>
      <w:r w:rsidR="00F17341" w:rsidRPr="002A09E2">
        <w:rPr>
          <w:lang w:val="es-419"/>
        </w:rPr>
        <w:t>Plan Nacional de Desarrollo K’atun</w:t>
      </w:r>
      <w:r w:rsidR="002A09E2" w:rsidRPr="002A09E2">
        <w:rPr>
          <w:lang w:val="es-419"/>
        </w:rPr>
        <w:t>: Nuestra Guatemala 2032 y del Plan Nacional de Innovación y Desarrollo</w:t>
      </w:r>
      <w:r w:rsidR="002A09E2">
        <w:rPr>
          <w:lang w:val="es-419"/>
        </w:rPr>
        <w:t xml:space="preserve">. </w:t>
      </w:r>
      <w:r w:rsidR="00F17341">
        <w:rPr>
          <w:lang w:val="es-419"/>
        </w:rPr>
        <w:t xml:space="preserve"> </w:t>
      </w:r>
    </w:p>
    <w:p w14:paraId="40F7EE5A" w14:textId="77777777" w:rsidR="0022171A" w:rsidRDefault="0022171A" w:rsidP="00AF30A0">
      <w:pPr>
        <w:pStyle w:val="H1G"/>
        <w:rPr>
          <w:lang w:val="es-419"/>
        </w:rPr>
      </w:pPr>
      <w:r w:rsidRPr="00AF30A0">
        <w:rPr>
          <w:lang w:val="es-419"/>
        </w:rPr>
        <w:tab/>
        <w:t>C.</w:t>
      </w:r>
      <w:r w:rsidRPr="00AF30A0">
        <w:rPr>
          <w:lang w:val="es-419"/>
        </w:rPr>
        <w:tab/>
      </w:r>
      <w:r w:rsidR="00AF30A0">
        <w:rPr>
          <w:lang w:val="es-ES_tradnl"/>
        </w:rPr>
        <w:t>Principales motivos de preocupación y recomendaciones</w:t>
      </w:r>
      <w:r w:rsidRPr="00AF30A0">
        <w:rPr>
          <w:lang w:val="es-419"/>
        </w:rPr>
        <w:t xml:space="preserve"> </w:t>
      </w:r>
    </w:p>
    <w:p w14:paraId="027FB72F" w14:textId="77777777" w:rsidR="00DC5EEB" w:rsidRPr="00DC5EEB" w:rsidRDefault="00DC5EEB" w:rsidP="004B0ADD">
      <w:pPr>
        <w:pStyle w:val="H23G"/>
        <w:ind w:firstLine="0"/>
      </w:pPr>
      <w:r w:rsidRPr="004B0ADD">
        <w:rPr>
          <w:lang w:val="es-419"/>
        </w:rPr>
        <w:t>Aplicabilidad</w:t>
      </w:r>
      <w:r w:rsidRPr="001C37CF">
        <w:t xml:space="preserve"> del Pacto</w:t>
      </w:r>
    </w:p>
    <w:p w14:paraId="78A33A4C" w14:textId="1DA75293" w:rsidR="00DC5EEB" w:rsidRDefault="00DC5EEB" w:rsidP="004B0ADD">
      <w:pPr>
        <w:pStyle w:val="SingleTxtG"/>
        <w:numPr>
          <w:ilvl w:val="0"/>
          <w:numId w:val="46"/>
        </w:numPr>
        <w:tabs>
          <w:tab w:val="clear" w:pos="1701"/>
          <w:tab w:val="clear" w:pos="2268"/>
          <w:tab w:val="clear" w:pos="2835"/>
        </w:tabs>
        <w:ind w:left="1134" w:firstLine="0"/>
        <w:rPr>
          <w:rFonts w:eastAsia="Times New Roman"/>
        </w:rPr>
      </w:pPr>
      <w:r>
        <w:t>El Comité toma nota de l</w:t>
      </w:r>
      <w:r w:rsidR="00E40066">
        <w:t>a explicación brindada por la delegación respecto de la preeminencia de los tratados internacionales en el derecho interno del Estado parte, así como de la enumeración de algunas sentencias</w:t>
      </w:r>
      <w:r>
        <w:t xml:space="preserve"> en l</w:t>
      </w:r>
      <w:r w:rsidR="00061178">
        <w:t>a</w:t>
      </w:r>
      <w:r>
        <w:t>s que el Pacto</w:t>
      </w:r>
      <w:r w:rsidR="00E40066">
        <w:t xml:space="preserve"> u otros instrumentos internacionales de derechos humanos habrían sido citados por la Corte de Constitucionalidad</w:t>
      </w:r>
      <w:r w:rsidR="00BA500F">
        <w:t>. Sin embargo</w:t>
      </w:r>
      <w:r w:rsidR="00E40066">
        <w:t>, el Comité</w:t>
      </w:r>
      <w:r>
        <w:t xml:space="preserve"> </w:t>
      </w:r>
      <w:r w:rsidR="001C37CF">
        <w:t xml:space="preserve">observa que </w:t>
      </w:r>
      <w:r w:rsidR="00E40066">
        <w:t xml:space="preserve">la aplicación del Pacto </w:t>
      </w:r>
      <w:r w:rsidR="001C37CF">
        <w:t xml:space="preserve">continúa siendo </w:t>
      </w:r>
      <w:r>
        <w:t>muy limitada.</w:t>
      </w:r>
      <w:r>
        <w:rPr>
          <w:b/>
          <w:lang w:val="es-ES_tradnl"/>
        </w:rPr>
        <w:t xml:space="preserve"> </w:t>
      </w:r>
    </w:p>
    <w:p w14:paraId="2900669B" w14:textId="5DE74775" w:rsidR="002D24EE" w:rsidRPr="00DC5EEB" w:rsidRDefault="00DC5EEB" w:rsidP="004B0ADD">
      <w:pPr>
        <w:pStyle w:val="SingleTxtG"/>
        <w:numPr>
          <w:ilvl w:val="0"/>
          <w:numId w:val="46"/>
        </w:numPr>
        <w:tabs>
          <w:tab w:val="clear" w:pos="1701"/>
          <w:tab w:val="clear" w:pos="2268"/>
          <w:tab w:val="clear" w:pos="2835"/>
        </w:tabs>
        <w:ind w:left="1134" w:firstLine="0"/>
        <w:rPr>
          <w:b/>
        </w:rPr>
      </w:pPr>
      <w:r>
        <w:rPr>
          <w:b/>
          <w:lang w:val="es-ES_tradnl"/>
        </w:rPr>
        <w:t xml:space="preserve">El </w:t>
      </w:r>
      <w:r>
        <w:rPr>
          <w:b/>
        </w:rPr>
        <w:t>Comité</w:t>
      </w:r>
      <w:r>
        <w:rPr>
          <w:b/>
          <w:lang w:val="es-ES_tradnl"/>
        </w:rPr>
        <w:t xml:space="preserve"> recomienda al Estado parte que tome las medidas necesarias para promover la aplicabilidad de todos los derechos consagrados en el Pacto</w:t>
      </w:r>
      <w:r w:rsidR="00E40066">
        <w:rPr>
          <w:b/>
          <w:lang w:val="es-ES_tradnl"/>
        </w:rPr>
        <w:t xml:space="preserve"> en todos los niveles del sistema de justicia. En ese sentido, </w:t>
      </w:r>
      <w:r w:rsidR="00A0205C">
        <w:rPr>
          <w:b/>
          <w:lang w:val="es-ES_tradnl"/>
        </w:rPr>
        <w:t>e</w:t>
      </w:r>
      <w:r w:rsidR="00E40066">
        <w:rPr>
          <w:b/>
          <w:lang w:val="es-ES_tradnl"/>
        </w:rPr>
        <w:t xml:space="preserve">l Comité alienta al Estado parte a llevar a cabo </w:t>
      </w:r>
      <w:r>
        <w:rPr>
          <w:b/>
          <w:lang w:val="es-ES_tradnl"/>
        </w:rPr>
        <w:t xml:space="preserve">capacitaciones sobre el contenido de </w:t>
      </w:r>
      <w:r w:rsidR="00E40066">
        <w:rPr>
          <w:b/>
          <w:lang w:val="es-ES_tradnl"/>
        </w:rPr>
        <w:t>los derechos del Pacto, incluyendo sus</w:t>
      </w:r>
      <w:r>
        <w:rPr>
          <w:b/>
          <w:lang w:val="es-ES_tradnl"/>
        </w:rPr>
        <w:t xml:space="preserve"> Observaciones Generales</w:t>
      </w:r>
      <w:r w:rsidR="00E40066">
        <w:rPr>
          <w:b/>
          <w:lang w:val="es-ES_tradnl"/>
        </w:rPr>
        <w:t xml:space="preserve">, </w:t>
      </w:r>
      <w:r>
        <w:rPr>
          <w:b/>
          <w:lang w:val="es-ES_tradnl"/>
        </w:rPr>
        <w:t xml:space="preserve">entre jueces, </w:t>
      </w:r>
      <w:r w:rsidR="00E40066">
        <w:rPr>
          <w:b/>
          <w:lang w:val="es-ES_tradnl"/>
        </w:rPr>
        <w:t xml:space="preserve">fiscales, </w:t>
      </w:r>
      <w:r>
        <w:rPr>
          <w:b/>
          <w:lang w:val="es-ES_tradnl"/>
        </w:rPr>
        <w:t>abogados</w:t>
      </w:r>
      <w:r w:rsidR="00E40066">
        <w:rPr>
          <w:b/>
          <w:lang w:val="es-ES_tradnl"/>
        </w:rPr>
        <w:t xml:space="preserve"> </w:t>
      </w:r>
      <w:r>
        <w:rPr>
          <w:b/>
          <w:lang w:val="es-ES_tradnl"/>
        </w:rPr>
        <w:t xml:space="preserve">y agentes del orden, así como </w:t>
      </w:r>
      <w:r>
        <w:rPr>
          <w:b/>
          <w:lang w:val="es-ES_tradnl"/>
        </w:rPr>
        <w:lastRenderedPageBreak/>
        <w:t>miembros del Congreso</w:t>
      </w:r>
      <w:r w:rsidR="00BD577B">
        <w:rPr>
          <w:b/>
          <w:lang w:val="es-ES_tradnl"/>
        </w:rPr>
        <w:t xml:space="preserve"> de la República </w:t>
      </w:r>
      <w:r>
        <w:rPr>
          <w:b/>
          <w:lang w:val="es-ES_tradnl"/>
        </w:rPr>
        <w:t>y otros actores encargados de</w:t>
      </w:r>
      <w:r w:rsidR="00BD577B">
        <w:rPr>
          <w:b/>
          <w:lang w:val="es-ES_tradnl"/>
        </w:rPr>
        <w:t xml:space="preserve"> la aplicación del Pacto. Asimismo, le alienta a realizar </w:t>
      </w:r>
      <w:r>
        <w:rPr>
          <w:b/>
          <w:lang w:val="es-ES_tradnl"/>
        </w:rPr>
        <w:t>campañas de</w:t>
      </w:r>
      <w:r w:rsidR="00BD577B">
        <w:rPr>
          <w:b/>
          <w:lang w:val="es-ES_tradnl"/>
        </w:rPr>
        <w:t xml:space="preserve"> </w:t>
      </w:r>
      <w:r>
        <w:rPr>
          <w:b/>
          <w:lang w:val="es-ES_tradnl"/>
        </w:rPr>
        <w:t>sensibilización</w:t>
      </w:r>
      <w:r w:rsidR="00377F6B">
        <w:rPr>
          <w:b/>
          <w:lang w:val="es-ES_tradnl"/>
        </w:rPr>
        <w:t xml:space="preserve"> sobre los derechos económicos, sociales y culturales</w:t>
      </w:r>
      <w:r>
        <w:rPr>
          <w:b/>
          <w:lang w:val="es-ES_tradnl"/>
        </w:rPr>
        <w:t xml:space="preserve"> entre los titulares de los derechos. </w:t>
      </w:r>
      <w:r w:rsidR="00377F6B">
        <w:rPr>
          <w:b/>
          <w:lang w:val="es-ES_tradnl"/>
        </w:rPr>
        <w:t>A este respecto, le remit</w:t>
      </w:r>
      <w:r>
        <w:rPr>
          <w:b/>
          <w:lang w:val="es-ES_tradnl"/>
        </w:rPr>
        <w:t>e</w:t>
      </w:r>
      <w:r w:rsidR="00377F6B">
        <w:rPr>
          <w:b/>
          <w:lang w:val="es-ES_tradnl"/>
        </w:rPr>
        <w:t xml:space="preserve"> a</w:t>
      </w:r>
      <w:r>
        <w:rPr>
          <w:b/>
          <w:lang w:val="es-ES_tradnl"/>
        </w:rPr>
        <w:t xml:space="preserve"> su Observación general Nº 9 (1998), relativa a la aplicación interna del Pacto.</w:t>
      </w:r>
    </w:p>
    <w:p w14:paraId="0F6D0F92" w14:textId="77777777" w:rsidR="00FB2CBE" w:rsidRPr="004B0ADD" w:rsidRDefault="00FB2CBE" w:rsidP="004B0ADD">
      <w:pPr>
        <w:pStyle w:val="H23G"/>
        <w:ind w:firstLine="0"/>
        <w:rPr>
          <w:lang w:val="es-419"/>
        </w:rPr>
      </w:pPr>
      <w:r w:rsidRPr="00705519">
        <w:rPr>
          <w:lang w:val="es-419"/>
        </w:rPr>
        <w:t>Independencia judicial</w:t>
      </w:r>
      <w:r w:rsidRPr="00FB2CBE">
        <w:rPr>
          <w:lang w:val="es-419"/>
        </w:rPr>
        <w:t xml:space="preserve"> </w:t>
      </w:r>
    </w:p>
    <w:p w14:paraId="65FAFD8C" w14:textId="14C78C0D" w:rsidR="00DC1082" w:rsidRDefault="00BE07BF" w:rsidP="004B0ADD">
      <w:pPr>
        <w:pStyle w:val="SingleTxtG"/>
        <w:numPr>
          <w:ilvl w:val="0"/>
          <w:numId w:val="46"/>
        </w:numPr>
        <w:tabs>
          <w:tab w:val="clear" w:pos="1701"/>
          <w:tab w:val="clear" w:pos="2268"/>
          <w:tab w:val="clear" w:pos="2835"/>
        </w:tabs>
        <w:ind w:left="1134" w:firstLine="0"/>
      </w:pPr>
      <w:r>
        <w:t>P</w:t>
      </w:r>
      <w:r w:rsidR="008E07EF">
        <w:t xml:space="preserve">reocupan al Comité las informaciones sobre la </w:t>
      </w:r>
      <w:r w:rsidR="00DF0B2F">
        <w:t>intimidación</w:t>
      </w:r>
      <w:r w:rsidR="00DC1082">
        <w:t xml:space="preserve">, </w:t>
      </w:r>
      <w:r w:rsidR="00DF0B2F">
        <w:t xml:space="preserve">amenazas </w:t>
      </w:r>
      <w:r w:rsidR="00DC1082">
        <w:t xml:space="preserve">y represalias </w:t>
      </w:r>
      <w:r w:rsidR="00DF0B2F">
        <w:t xml:space="preserve">que </w:t>
      </w:r>
      <w:r w:rsidR="00DC1082">
        <w:t xml:space="preserve">han enfrentado algunos jueces, </w:t>
      </w:r>
      <w:r w:rsidR="00DF0B2F">
        <w:t>fiscales y abogado</w:t>
      </w:r>
      <w:r w:rsidR="00DC1082">
        <w:t xml:space="preserve">s, especialmente </w:t>
      </w:r>
      <w:r w:rsidR="00705519">
        <w:t xml:space="preserve">aquellos </w:t>
      </w:r>
      <w:r w:rsidR="00DC1082">
        <w:t xml:space="preserve">que llevan casos prominentes de corrupción o </w:t>
      </w:r>
      <w:r w:rsidR="00705519">
        <w:t xml:space="preserve">de </w:t>
      </w:r>
      <w:r w:rsidR="00DC1082">
        <w:t xml:space="preserve">violaciones de derechos humanos. Asimismo, </w:t>
      </w:r>
      <w:r w:rsidR="00705519">
        <w:t xml:space="preserve">el Comité observa con preocupación </w:t>
      </w:r>
      <w:r w:rsidR="00DC1082">
        <w:t xml:space="preserve">los </w:t>
      </w:r>
      <w:r w:rsidR="00DC1082" w:rsidRPr="00BD577B">
        <w:rPr>
          <w:bCs/>
          <w:lang w:val="es-419"/>
        </w:rPr>
        <w:t>señalamientos</w:t>
      </w:r>
      <w:r w:rsidR="00DC1082">
        <w:t xml:space="preserve"> </w:t>
      </w:r>
      <w:r w:rsidR="00705519">
        <w:t xml:space="preserve">relativos a </w:t>
      </w:r>
      <w:r w:rsidR="00DC1082">
        <w:t xml:space="preserve">la </w:t>
      </w:r>
      <w:r w:rsidR="008E07EF">
        <w:t>falta de transparencia, publicidad y objetividad en los procesos de selección de los magistrados de la Corte de C</w:t>
      </w:r>
      <w:r w:rsidR="00DC1082">
        <w:t xml:space="preserve">onstitucionalidad y </w:t>
      </w:r>
      <w:r w:rsidR="00BA500F">
        <w:t>la permanencia de magistrados de la Corte Suprema</w:t>
      </w:r>
      <w:r w:rsidR="00D36472" w:rsidRPr="00D36472">
        <w:t xml:space="preserve"> </w:t>
      </w:r>
      <w:r w:rsidR="00D36472">
        <w:t>en sus cargos</w:t>
      </w:r>
      <w:r w:rsidR="00BA500F">
        <w:t>, a pesar del vencimiento del período de sus mandatos.</w:t>
      </w:r>
      <w:r w:rsidR="00DC1082">
        <w:t xml:space="preserve"> </w:t>
      </w:r>
    </w:p>
    <w:p w14:paraId="68DDD5D3" w14:textId="1CFB15C8" w:rsidR="00830008" w:rsidRPr="00BD577B" w:rsidRDefault="00DC1082" w:rsidP="004B0ADD">
      <w:pPr>
        <w:pStyle w:val="SingleTxtG"/>
        <w:numPr>
          <w:ilvl w:val="0"/>
          <w:numId w:val="46"/>
        </w:numPr>
        <w:tabs>
          <w:tab w:val="clear" w:pos="1701"/>
          <w:tab w:val="clear" w:pos="2268"/>
          <w:tab w:val="clear" w:pos="2835"/>
        </w:tabs>
        <w:ind w:left="1134" w:firstLine="0"/>
        <w:rPr>
          <w:rFonts w:eastAsia="Times New Roman"/>
        </w:rPr>
      </w:pPr>
      <w:r>
        <w:rPr>
          <w:b/>
        </w:rPr>
        <w:t xml:space="preserve">El Comité </w:t>
      </w:r>
      <w:r w:rsidR="00560BA8">
        <w:rPr>
          <w:b/>
        </w:rPr>
        <w:t xml:space="preserve">insta al Estado parte </w:t>
      </w:r>
      <w:r w:rsidR="0098669A">
        <w:rPr>
          <w:b/>
        </w:rPr>
        <w:t xml:space="preserve">a </w:t>
      </w:r>
      <w:r w:rsidR="00560BA8">
        <w:rPr>
          <w:b/>
        </w:rPr>
        <w:t>adopt</w:t>
      </w:r>
      <w:r w:rsidR="0098669A">
        <w:rPr>
          <w:b/>
        </w:rPr>
        <w:t>ar</w:t>
      </w:r>
      <w:r w:rsidR="00560BA8">
        <w:rPr>
          <w:b/>
        </w:rPr>
        <w:t xml:space="preserve"> las medidas necesarias para garantizar la independencia y seguridad del poder judicial en el ejercicio de sus funciones como medio de salvaguardar el goce de los derechos humanos, incluidos los derechos económicos, sociales y culturales. Asimismo, le </w:t>
      </w:r>
      <w:r>
        <w:rPr>
          <w:b/>
        </w:rPr>
        <w:t xml:space="preserve">recomienda que tome todas las medidas necesarias para asegurar que el proceso de selección y nombramiento de jueces </w:t>
      </w:r>
      <w:r w:rsidR="002D24EE">
        <w:rPr>
          <w:b/>
        </w:rPr>
        <w:t xml:space="preserve">y magistrados sea realizado mediante un proceso transparente, objetivo e imparcial </w:t>
      </w:r>
      <w:r>
        <w:rPr>
          <w:b/>
        </w:rPr>
        <w:t>en el que prevalezca el mérito, la capacidad y la integridad</w:t>
      </w:r>
      <w:r w:rsidR="002D24EE">
        <w:rPr>
          <w:b/>
        </w:rPr>
        <w:t xml:space="preserve"> de los candidatos</w:t>
      </w:r>
      <w:r>
        <w:rPr>
          <w:b/>
        </w:rPr>
        <w:t xml:space="preserve">. </w:t>
      </w:r>
      <w:r w:rsidR="00BA500F">
        <w:rPr>
          <w:b/>
        </w:rPr>
        <w:t>El Comité remite al Estado parte a los Principios básicos sobre la independencia de la judicatura</w:t>
      </w:r>
      <w:r w:rsidR="0098669A">
        <w:rPr>
          <w:b/>
        </w:rPr>
        <w:t>.</w:t>
      </w:r>
      <w:r w:rsidR="00BA500F">
        <w:rPr>
          <w:b/>
        </w:rPr>
        <w:t xml:space="preserve"> </w:t>
      </w:r>
    </w:p>
    <w:p w14:paraId="2160E40F" w14:textId="77777777" w:rsidR="001556D7" w:rsidRPr="004B0ADD" w:rsidRDefault="001556D7" w:rsidP="004B0ADD">
      <w:pPr>
        <w:pStyle w:val="H23G"/>
        <w:ind w:firstLine="0"/>
        <w:rPr>
          <w:lang w:val="es-419"/>
        </w:rPr>
      </w:pPr>
      <w:r w:rsidRPr="004B0ADD">
        <w:rPr>
          <w:lang w:val="es-419"/>
        </w:rPr>
        <w:t xml:space="preserve">Corrupción </w:t>
      </w:r>
    </w:p>
    <w:p w14:paraId="1D19D636" w14:textId="36BF7775" w:rsidR="00954A1B" w:rsidRPr="005836AA" w:rsidRDefault="00337DB7" w:rsidP="004B0ADD">
      <w:pPr>
        <w:pStyle w:val="SingleTxtG"/>
        <w:numPr>
          <w:ilvl w:val="0"/>
          <w:numId w:val="46"/>
        </w:numPr>
        <w:tabs>
          <w:tab w:val="clear" w:pos="1701"/>
          <w:tab w:val="clear" w:pos="2268"/>
          <w:tab w:val="clear" w:pos="2835"/>
        </w:tabs>
        <w:ind w:left="1134" w:firstLine="0"/>
      </w:pPr>
      <w:r>
        <w:t>Si bien el</w:t>
      </w:r>
      <w:r w:rsidR="00954A1B" w:rsidRPr="005836AA">
        <w:t xml:space="preserve"> Comité toma nota de la información proporcionada por la delegación sobre los esfuerzos para</w:t>
      </w:r>
      <w:r>
        <w:t xml:space="preserve"> combatir los actos de corrupción, le preocupan los altos niveles de impunidad que persisten en el Estado p</w:t>
      </w:r>
      <w:r w:rsidR="00A13381">
        <w:t>arte y lamenta</w:t>
      </w:r>
      <w:r>
        <w:t xml:space="preserve"> no haber recibido información </w:t>
      </w:r>
      <w:r w:rsidR="00560BA8">
        <w:t xml:space="preserve">específica </w:t>
      </w:r>
      <w:r>
        <w:t>sobre los</w:t>
      </w:r>
      <w:r w:rsidR="00A13381">
        <w:t xml:space="preserve"> resultados de las investigaciones y sanciones de los</w:t>
      </w:r>
      <w:r>
        <w:t xml:space="preserve"> casos </w:t>
      </w:r>
      <w:r w:rsidR="00A13381">
        <w:t>de corrupción</w:t>
      </w:r>
      <w:r w:rsidR="00954A1B" w:rsidRPr="005836AA">
        <w:t xml:space="preserve">. </w:t>
      </w:r>
    </w:p>
    <w:p w14:paraId="033BA964" w14:textId="7643153E" w:rsidR="009509CB" w:rsidRPr="00BB7D98" w:rsidRDefault="00954A1B" w:rsidP="004B0ADD">
      <w:pPr>
        <w:pStyle w:val="SingleTxtG"/>
        <w:numPr>
          <w:ilvl w:val="0"/>
          <w:numId w:val="46"/>
        </w:numPr>
        <w:tabs>
          <w:tab w:val="clear" w:pos="1701"/>
          <w:tab w:val="clear" w:pos="2268"/>
          <w:tab w:val="clear" w:pos="2835"/>
        </w:tabs>
        <w:ind w:left="1134" w:firstLine="0"/>
        <w:rPr>
          <w:b/>
        </w:rPr>
      </w:pPr>
      <w:r w:rsidRPr="005836AA">
        <w:rPr>
          <w:b/>
        </w:rPr>
        <w:t>El Comité recomienda al Estado parte</w:t>
      </w:r>
      <w:r w:rsidR="00A13381">
        <w:rPr>
          <w:b/>
        </w:rPr>
        <w:t xml:space="preserve"> </w:t>
      </w:r>
      <w:r w:rsidRPr="005836AA">
        <w:rPr>
          <w:b/>
        </w:rPr>
        <w:t xml:space="preserve">abordar de manera prioritaria las causas subyacentes de la corrupción </w:t>
      </w:r>
      <w:r w:rsidR="00A13381">
        <w:rPr>
          <w:b/>
        </w:rPr>
        <w:t xml:space="preserve">y </w:t>
      </w:r>
      <w:r w:rsidRPr="005836AA">
        <w:rPr>
          <w:b/>
        </w:rPr>
        <w:t xml:space="preserve">garantizar la transparencia de la administración pública y </w:t>
      </w:r>
      <w:r w:rsidR="00A13381">
        <w:rPr>
          <w:b/>
        </w:rPr>
        <w:t>la rendición de cuentas</w:t>
      </w:r>
      <w:r w:rsidRPr="005836AA">
        <w:rPr>
          <w:b/>
        </w:rPr>
        <w:t xml:space="preserve">. Asimismo, </w:t>
      </w:r>
      <w:r w:rsidR="00A13381">
        <w:rPr>
          <w:b/>
        </w:rPr>
        <w:t xml:space="preserve">le recomienda asegurar la implementación efectiva de </w:t>
      </w:r>
      <w:r w:rsidR="00A13381" w:rsidRPr="005836AA">
        <w:rPr>
          <w:b/>
        </w:rPr>
        <w:t xml:space="preserve">las medidas </w:t>
      </w:r>
      <w:r w:rsidR="00A13381">
        <w:rPr>
          <w:b/>
        </w:rPr>
        <w:t xml:space="preserve">adoptadas para combatir la corrupción, </w:t>
      </w:r>
      <w:r w:rsidR="00A6213D">
        <w:rPr>
          <w:b/>
        </w:rPr>
        <w:t>incluyendo</w:t>
      </w:r>
      <w:r w:rsidR="00A13381">
        <w:rPr>
          <w:b/>
        </w:rPr>
        <w:t xml:space="preserve"> </w:t>
      </w:r>
      <w:r w:rsidR="00560BA8">
        <w:rPr>
          <w:b/>
        </w:rPr>
        <w:t>mediante la realización de</w:t>
      </w:r>
      <w:r w:rsidRPr="005836AA">
        <w:rPr>
          <w:b/>
        </w:rPr>
        <w:t xml:space="preserve"> </w:t>
      </w:r>
      <w:r w:rsidRPr="005836AA">
        <w:rPr>
          <w:b/>
          <w:lang w:val="es-ES_tradnl"/>
        </w:rPr>
        <w:t>investigaciones independientes y exhaustivas sobre todos los casos de corrupción</w:t>
      </w:r>
      <w:r w:rsidR="00560BA8">
        <w:rPr>
          <w:b/>
          <w:lang w:val="es-ES_tradnl"/>
        </w:rPr>
        <w:t xml:space="preserve"> </w:t>
      </w:r>
      <w:r w:rsidRPr="005836AA">
        <w:rPr>
          <w:b/>
          <w:lang w:val="es-ES_tradnl"/>
        </w:rPr>
        <w:t>a todos los niveles y</w:t>
      </w:r>
      <w:r w:rsidR="00560BA8">
        <w:rPr>
          <w:b/>
          <w:lang w:val="es-ES_tradnl"/>
        </w:rPr>
        <w:t xml:space="preserve"> la publicación</w:t>
      </w:r>
      <w:r w:rsidRPr="005836AA">
        <w:rPr>
          <w:b/>
          <w:lang w:val="es-ES_tradnl"/>
        </w:rPr>
        <w:t xml:space="preserve"> </w:t>
      </w:r>
      <w:r w:rsidR="00184761">
        <w:rPr>
          <w:b/>
          <w:lang w:val="es-ES_tradnl"/>
        </w:rPr>
        <w:t xml:space="preserve">de </w:t>
      </w:r>
      <w:r w:rsidRPr="005836AA">
        <w:rPr>
          <w:b/>
          <w:lang w:val="es-ES_tradnl"/>
        </w:rPr>
        <w:t>sus resultados.</w:t>
      </w:r>
      <w:r w:rsidRPr="005836AA">
        <w:rPr>
          <w:b/>
        </w:rPr>
        <w:t xml:space="preserve"> </w:t>
      </w:r>
      <w:r w:rsidR="00A6213D">
        <w:rPr>
          <w:b/>
        </w:rPr>
        <w:t xml:space="preserve">Le recomienda que adopte </w:t>
      </w:r>
      <w:r w:rsidR="00A6213D" w:rsidRPr="00A34070">
        <w:rPr>
          <w:b/>
        </w:rPr>
        <w:t>medidas</w:t>
      </w:r>
      <w:r w:rsidR="00A6213D">
        <w:rPr>
          <w:b/>
        </w:rPr>
        <w:t xml:space="preserve"> para brindar una protección efectiva a</w:t>
      </w:r>
      <w:r w:rsidR="00A6213D" w:rsidRPr="00A34070">
        <w:rPr>
          <w:b/>
        </w:rPr>
        <w:t xml:space="preserve"> las</w:t>
      </w:r>
      <w:r w:rsidR="00560BA8">
        <w:rPr>
          <w:b/>
        </w:rPr>
        <w:t xml:space="preserve"> personas que denuncian actos de corrupción, </w:t>
      </w:r>
      <w:r w:rsidR="00687B39">
        <w:rPr>
          <w:b/>
        </w:rPr>
        <w:t xml:space="preserve">los jueces, fiscales, abogados y </w:t>
      </w:r>
      <w:r w:rsidR="00A6213D" w:rsidRPr="00A34070">
        <w:rPr>
          <w:b/>
        </w:rPr>
        <w:t>activistas que la combaten, y testigos</w:t>
      </w:r>
      <w:r w:rsidR="00560BA8">
        <w:rPr>
          <w:b/>
        </w:rPr>
        <w:t xml:space="preserve"> </w:t>
      </w:r>
      <w:r w:rsidR="00687B39">
        <w:rPr>
          <w:b/>
        </w:rPr>
        <w:t xml:space="preserve">de tales actos. </w:t>
      </w:r>
    </w:p>
    <w:p w14:paraId="22DE17A7" w14:textId="010C8123" w:rsidR="00121123" w:rsidRPr="004B0ADD" w:rsidRDefault="006741D8" w:rsidP="004B0ADD">
      <w:pPr>
        <w:pStyle w:val="H23G"/>
        <w:ind w:firstLine="0"/>
        <w:rPr>
          <w:lang w:val="es-419"/>
        </w:rPr>
      </w:pPr>
      <w:r>
        <w:rPr>
          <w:lang w:val="es-419"/>
        </w:rPr>
        <w:t>Personas d</w:t>
      </w:r>
      <w:r w:rsidR="00121123" w:rsidRPr="00687B39">
        <w:rPr>
          <w:lang w:val="es-419"/>
        </w:rPr>
        <w:t>efensor</w:t>
      </w:r>
      <w:r>
        <w:rPr>
          <w:lang w:val="es-419"/>
        </w:rPr>
        <w:t>a</w:t>
      </w:r>
      <w:r w:rsidR="00121123" w:rsidRPr="00687B39">
        <w:rPr>
          <w:lang w:val="es-419"/>
        </w:rPr>
        <w:t>s de derechos humanos</w:t>
      </w:r>
      <w:r w:rsidR="00121123">
        <w:rPr>
          <w:lang w:val="es-419"/>
        </w:rPr>
        <w:t xml:space="preserve"> </w:t>
      </w:r>
    </w:p>
    <w:p w14:paraId="3D3E2F99" w14:textId="5D187B4B" w:rsidR="00121123" w:rsidRDefault="00DD0A45" w:rsidP="004B0ADD">
      <w:pPr>
        <w:pStyle w:val="SingleTxtG"/>
        <w:numPr>
          <w:ilvl w:val="0"/>
          <w:numId w:val="46"/>
        </w:numPr>
        <w:tabs>
          <w:tab w:val="clear" w:pos="1701"/>
          <w:tab w:val="clear" w:pos="2268"/>
          <w:tab w:val="clear" w:pos="2835"/>
        </w:tabs>
        <w:ind w:left="1134" w:firstLine="0"/>
      </w:pPr>
      <w:r>
        <w:rPr>
          <w:lang w:val="es-419"/>
        </w:rPr>
        <w:t>Preocupa</w:t>
      </w:r>
      <w:r w:rsidR="00687B39">
        <w:rPr>
          <w:lang w:val="es-419"/>
        </w:rPr>
        <w:t xml:space="preserve">n </w:t>
      </w:r>
      <w:r>
        <w:rPr>
          <w:lang w:val="es-419"/>
        </w:rPr>
        <w:t>al Comité los ataques, amenazas y represalias en contra de</w:t>
      </w:r>
      <w:r w:rsidR="00B74C57">
        <w:rPr>
          <w:lang w:val="es-419"/>
        </w:rPr>
        <w:t xml:space="preserve"> personas defensora</w:t>
      </w:r>
      <w:r>
        <w:rPr>
          <w:lang w:val="es-419"/>
        </w:rPr>
        <w:t>s de derechos humanos, incluyendo defensores de derechos económicos, sociales y culturales, líderes indígenas y afrodescendientes</w:t>
      </w:r>
      <w:r w:rsidR="00B74C57">
        <w:rPr>
          <w:lang w:val="es-419"/>
        </w:rPr>
        <w:t xml:space="preserve">, y </w:t>
      </w:r>
      <w:r w:rsidR="000618E5">
        <w:rPr>
          <w:lang w:val="es-419"/>
        </w:rPr>
        <w:t>e</w:t>
      </w:r>
      <w:r w:rsidR="00B74C57">
        <w:rPr>
          <w:lang w:val="es-419"/>
        </w:rPr>
        <w:t>n particular</w:t>
      </w:r>
      <w:r w:rsidR="000618E5">
        <w:rPr>
          <w:lang w:val="es-419"/>
        </w:rPr>
        <w:t xml:space="preserve"> que se utilice indebidamente el </w:t>
      </w:r>
      <w:r w:rsidR="00121123">
        <w:rPr>
          <w:lang w:val="es-419"/>
        </w:rPr>
        <w:t>proceso penal</w:t>
      </w:r>
      <w:r w:rsidR="000618E5">
        <w:rPr>
          <w:lang w:val="es-419"/>
        </w:rPr>
        <w:t xml:space="preserve"> como medio de persecución en su contra</w:t>
      </w:r>
      <w:r w:rsidR="00121123">
        <w:rPr>
          <w:lang w:val="es-419"/>
        </w:rPr>
        <w:t xml:space="preserve">. </w:t>
      </w:r>
      <w:r w:rsidR="00B74C57">
        <w:rPr>
          <w:lang w:val="es-419"/>
        </w:rPr>
        <w:t xml:space="preserve">Además, </w:t>
      </w:r>
      <w:r w:rsidR="00687B39">
        <w:rPr>
          <w:lang w:val="es-419"/>
        </w:rPr>
        <w:t xml:space="preserve">el </w:t>
      </w:r>
      <w:r w:rsidR="000618E5">
        <w:rPr>
          <w:lang w:val="es-419"/>
        </w:rPr>
        <w:t xml:space="preserve">Comité está preocupado por la </w:t>
      </w:r>
      <w:r w:rsidR="004D34CD">
        <w:t xml:space="preserve">falta de mecanismos nacionales de protección </w:t>
      </w:r>
      <w:r w:rsidR="00B74C57">
        <w:t xml:space="preserve">para </w:t>
      </w:r>
      <w:r w:rsidR="006741D8">
        <w:t xml:space="preserve">personas </w:t>
      </w:r>
      <w:r w:rsidR="004D34CD">
        <w:t>defensoras de los derechos humanos.</w:t>
      </w:r>
    </w:p>
    <w:p w14:paraId="15B4C778" w14:textId="6667EEAA" w:rsidR="00FB3AF9" w:rsidRDefault="00142F79" w:rsidP="004B0ADD">
      <w:pPr>
        <w:pStyle w:val="SingleTxtG"/>
        <w:numPr>
          <w:ilvl w:val="0"/>
          <w:numId w:val="46"/>
        </w:numPr>
        <w:tabs>
          <w:tab w:val="clear" w:pos="1701"/>
          <w:tab w:val="clear" w:pos="2268"/>
          <w:tab w:val="clear" w:pos="2835"/>
        </w:tabs>
        <w:ind w:left="1134" w:firstLine="0"/>
        <w:rPr>
          <w:b/>
          <w:lang w:val="es-ES_tradnl"/>
        </w:rPr>
      </w:pPr>
      <w:r>
        <w:rPr>
          <w:b/>
          <w:lang w:val="es-ES_tradnl"/>
        </w:rPr>
        <w:t>El Comité urge al Estado parte</w:t>
      </w:r>
      <w:r w:rsidR="00FB3AF9">
        <w:rPr>
          <w:b/>
          <w:lang w:val="es-ES_tradnl"/>
        </w:rPr>
        <w:t>:</w:t>
      </w:r>
    </w:p>
    <w:p w14:paraId="37E7E301" w14:textId="676DFE27" w:rsidR="00BE03D7" w:rsidRPr="00BE03D7" w:rsidRDefault="00BE03D7" w:rsidP="004B0ADD">
      <w:pPr>
        <w:pStyle w:val="SingleTxtG"/>
        <w:numPr>
          <w:ilvl w:val="0"/>
          <w:numId w:val="20"/>
        </w:numPr>
        <w:ind w:left="1134" w:firstLine="567"/>
        <w:rPr>
          <w:rFonts w:eastAsia="SimSun"/>
          <w:b/>
        </w:rPr>
      </w:pPr>
      <w:r>
        <w:rPr>
          <w:b/>
        </w:rPr>
        <w:t xml:space="preserve">Investigar </w:t>
      </w:r>
      <w:r w:rsidRPr="009B4555">
        <w:rPr>
          <w:b/>
        </w:rPr>
        <w:t xml:space="preserve">de </w:t>
      </w:r>
      <w:r w:rsidRPr="009B4555">
        <w:rPr>
          <w:b/>
          <w:bCs/>
          <w:lang w:val="es-ES_tradnl"/>
        </w:rPr>
        <w:t>manera</w:t>
      </w:r>
      <w:r w:rsidRPr="009B4555">
        <w:rPr>
          <w:b/>
        </w:rPr>
        <w:t xml:space="preserve"> exhaustiva, imparcial y eficaz todas las denuncias </w:t>
      </w:r>
      <w:r w:rsidRPr="00544C62">
        <w:rPr>
          <w:b/>
        </w:rPr>
        <w:t>de atentados contra la vida, integridad física y libertad, así como todo acto</w:t>
      </w:r>
      <w:r w:rsidRPr="009B4555">
        <w:rPr>
          <w:b/>
        </w:rPr>
        <w:t xml:space="preserve"> de violencia, amenazas, hostigamiento, intimidación, acoso y difamación cometidos en contra de </w:t>
      </w:r>
      <w:r w:rsidR="006741D8">
        <w:rPr>
          <w:b/>
        </w:rPr>
        <w:t xml:space="preserve">personas </w:t>
      </w:r>
      <w:r w:rsidR="006741D8" w:rsidRPr="009B4555">
        <w:rPr>
          <w:b/>
        </w:rPr>
        <w:t>defensor</w:t>
      </w:r>
      <w:r w:rsidR="006741D8">
        <w:rPr>
          <w:b/>
        </w:rPr>
        <w:t>a</w:t>
      </w:r>
      <w:r w:rsidR="006741D8" w:rsidRPr="009B4555">
        <w:rPr>
          <w:b/>
        </w:rPr>
        <w:t xml:space="preserve">s </w:t>
      </w:r>
      <w:r w:rsidRPr="009B4555">
        <w:rPr>
          <w:b/>
        </w:rPr>
        <w:t>de derechos humanos</w:t>
      </w:r>
      <w:r>
        <w:rPr>
          <w:b/>
        </w:rPr>
        <w:t xml:space="preserve">; </w:t>
      </w:r>
    </w:p>
    <w:p w14:paraId="7D132154" w14:textId="36B4266E" w:rsidR="00FB3AF9" w:rsidRPr="00907E9B" w:rsidRDefault="00BE03D7" w:rsidP="004B0ADD">
      <w:pPr>
        <w:pStyle w:val="SingleTxtG"/>
        <w:numPr>
          <w:ilvl w:val="0"/>
          <w:numId w:val="20"/>
        </w:numPr>
        <w:ind w:left="1134" w:firstLine="567"/>
        <w:rPr>
          <w:rFonts w:eastAsia="SimSun"/>
          <w:b/>
        </w:rPr>
      </w:pPr>
      <w:r>
        <w:rPr>
          <w:b/>
          <w:lang w:val="es-ES_tradnl"/>
        </w:rPr>
        <w:t>Diseñ</w:t>
      </w:r>
      <w:r w:rsidR="002B35E6">
        <w:rPr>
          <w:b/>
          <w:lang w:val="es-ES_tradnl"/>
        </w:rPr>
        <w:t>ar</w:t>
      </w:r>
      <w:r>
        <w:rPr>
          <w:b/>
          <w:lang w:val="es-ES_tradnl"/>
        </w:rPr>
        <w:t xml:space="preserve"> e implement</w:t>
      </w:r>
      <w:r w:rsidR="002B35E6">
        <w:rPr>
          <w:b/>
          <w:lang w:val="es-ES_tradnl"/>
        </w:rPr>
        <w:t>ar</w:t>
      </w:r>
      <w:r>
        <w:rPr>
          <w:b/>
          <w:lang w:val="es-ES_tradnl"/>
        </w:rPr>
        <w:t xml:space="preserve"> una política integral</w:t>
      </w:r>
      <w:r w:rsidR="006741D8">
        <w:rPr>
          <w:b/>
          <w:lang w:val="es-ES_tradnl"/>
        </w:rPr>
        <w:t xml:space="preserve"> con perspectiva de género e intercultural</w:t>
      </w:r>
      <w:r>
        <w:rPr>
          <w:b/>
          <w:lang w:val="es-ES_tradnl"/>
        </w:rPr>
        <w:t xml:space="preserve"> </w:t>
      </w:r>
      <w:r w:rsidR="00142F79" w:rsidRPr="009B4555">
        <w:rPr>
          <w:b/>
        </w:rPr>
        <w:t xml:space="preserve">para prevenir actos de </w:t>
      </w:r>
      <w:r w:rsidR="00FB3AF9">
        <w:rPr>
          <w:b/>
        </w:rPr>
        <w:t>violencia contra todas la</w:t>
      </w:r>
      <w:r w:rsidR="00142F79" w:rsidRPr="009B4555">
        <w:rPr>
          <w:b/>
        </w:rPr>
        <w:t xml:space="preserve">s </w:t>
      </w:r>
      <w:r w:rsidR="00FB3AF9">
        <w:rPr>
          <w:b/>
        </w:rPr>
        <w:t>personas defensora</w:t>
      </w:r>
      <w:r w:rsidR="00142F79" w:rsidRPr="009B4555">
        <w:rPr>
          <w:b/>
        </w:rPr>
        <w:t xml:space="preserve">s de derechos humanos </w:t>
      </w:r>
      <w:r w:rsidR="00907E9B">
        <w:rPr>
          <w:b/>
        </w:rPr>
        <w:t>en particular las que defienden los derechos económicos, sociales y culturales</w:t>
      </w:r>
      <w:r w:rsidR="00907E9B" w:rsidRPr="009B4555">
        <w:rPr>
          <w:b/>
        </w:rPr>
        <w:t xml:space="preserve"> </w:t>
      </w:r>
      <w:r w:rsidR="00142F79" w:rsidRPr="009B4555">
        <w:rPr>
          <w:b/>
        </w:rPr>
        <w:t xml:space="preserve">y para </w:t>
      </w:r>
      <w:r>
        <w:rPr>
          <w:b/>
        </w:rPr>
        <w:t>brindar</w:t>
      </w:r>
      <w:r w:rsidR="00E2615C">
        <w:rPr>
          <w:b/>
        </w:rPr>
        <w:t>les</w:t>
      </w:r>
      <w:r>
        <w:rPr>
          <w:b/>
        </w:rPr>
        <w:t xml:space="preserve"> una </w:t>
      </w:r>
      <w:r w:rsidR="00142F79" w:rsidRPr="009B4555">
        <w:rPr>
          <w:b/>
        </w:rPr>
        <w:t xml:space="preserve">protección efectiva de su vida e integridad personal, asegurando una coordinación efectiva entre las autoridades </w:t>
      </w:r>
      <w:r w:rsidR="00142F79">
        <w:rPr>
          <w:b/>
        </w:rPr>
        <w:t>nacionales</w:t>
      </w:r>
      <w:r w:rsidR="00142F79" w:rsidRPr="009B4555">
        <w:rPr>
          <w:b/>
        </w:rPr>
        <w:t xml:space="preserve"> y </w:t>
      </w:r>
      <w:r w:rsidR="00FB3AF9">
        <w:rPr>
          <w:b/>
        </w:rPr>
        <w:t>municipales</w:t>
      </w:r>
      <w:r w:rsidR="00907E9B">
        <w:rPr>
          <w:b/>
        </w:rPr>
        <w:t xml:space="preserve"> y </w:t>
      </w:r>
      <w:r w:rsidR="00907E9B">
        <w:rPr>
          <w:b/>
        </w:rPr>
        <w:lastRenderedPageBreak/>
        <w:t>que tome en cuenta las necesidades particulares de las personas defensoras que viven en zonas rurales y remotas;</w:t>
      </w:r>
    </w:p>
    <w:p w14:paraId="61F29C68" w14:textId="3833089A" w:rsidR="00FB3AF9" w:rsidRPr="00907E9B" w:rsidRDefault="00FB3AF9" w:rsidP="004B0ADD">
      <w:pPr>
        <w:pStyle w:val="SingleTxtG"/>
        <w:numPr>
          <w:ilvl w:val="0"/>
          <w:numId w:val="20"/>
        </w:numPr>
        <w:ind w:left="1134" w:firstLine="567"/>
        <w:rPr>
          <w:rFonts w:eastAsia="SimSun"/>
          <w:b/>
        </w:rPr>
      </w:pPr>
      <w:r>
        <w:rPr>
          <w:b/>
        </w:rPr>
        <w:t>Adopt</w:t>
      </w:r>
      <w:r w:rsidR="002B35E6">
        <w:rPr>
          <w:b/>
        </w:rPr>
        <w:t>ar</w:t>
      </w:r>
      <w:r w:rsidR="00907E9B">
        <w:rPr>
          <w:b/>
        </w:rPr>
        <w:t xml:space="preserve"> </w:t>
      </w:r>
      <w:r w:rsidRPr="00311F3E">
        <w:rPr>
          <w:b/>
        </w:rPr>
        <w:t xml:space="preserve">las medidas necesarias para prevenir la utilización del derecho penal para la criminalización arbitraria de </w:t>
      </w:r>
      <w:r w:rsidRPr="00311F3E">
        <w:rPr>
          <w:rFonts w:eastAsia="Times New Roman"/>
          <w:b/>
          <w:lang w:val="es-ES_tradnl" w:eastAsia="en-US"/>
        </w:rPr>
        <w:t xml:space="preserve">defensores </w:t>
      </w:r>
      <w:r w:rsidR="00907E9B">
        <w:rPr>
          <w:rFonts w:eastAsia="Times New Roman"/>
          <w:b/>
          <w:lang w:val="es-ES_tradnl" w:eastAsia="en-US"/>
        </w:rPr>
        <w:t xml:space="preserve">de derechos económicos, sociales y culturales, incluyendo </w:t>
      </w:r>
      <w:r w:rsidRPr="00311F3E">
        <w:rPr>
          <w:rFonts w:eastAsia="Times New Roman"/>
          <w:b/>
          <w:lang w:val="es-ES_tradnl" w:eastAsia="en-US"/>
        </w:rPr>
        <w:t>de los derechos de pueblos indígenas y afrodescendientes</w:t>
      </w:r>
      <w:r>
        <w:rPr>
          <w:rFonts w:eastAsia="Times New Roman"/>
          <w:b/>
          <w:lang w:val="es-ES_tradnl" w:eastAsia="en-US"/>
        </w:rPr>
        <w:t>;</w:t>
      </w:r>
    </w:p>
    <w:p w14:paraId="15EE2BFF" w14:textId="18DDD018" w:rsidR="00907E9B" w:rsidRPr="00FB3AF9" w:rsidRDefault="00907E9B" w:rsidP="004B0ADD">
      <w:pPr>
        <w:pStyle w:val="SingleTxtG"/>
        <w:numPr>
          <w:ilvl w:val="0"/>
          <w:numId w:val="20"/>
        </w:numPr>
        <w:ind w:left="1134" w:firstLine="567"/>
        <w:rPr>
          <w:rFonts w:eastAsia="SimSun"/>
          <w:b/>
        </w:rPr>
      </w:pPr>
      <w:r>
        <w:rPr>
          <w:b/>
        </w:rPr>
        <w:t>Llev</w:t>
      </w:r>
      <w:r w:rsidR="002B35E6">
        <w:rPr>
          <w:b/>
        </w:rPr>
        <w:t>ar</w:t>
      </w:r>
      <w:r>
        <w:rPr>
          <w:b/>
        </w:rPr>
        <w:t xml:space="preserve"> a cabo campañas generales de sensibilización sobre la labor que realizan la</w:t>
      </w:r>
      <w:r w:rsidRPr="009B4555">
        <w:rPr>
          <w:b/>
        </w:rPr>
        <w:t xml:space="preserve">s </w:t>
      </w:r>
      <w:r>
        <w:rPr>
          <w:b/>
        </w:rPr>
        <w:t>personas defensora</w:t>
      </w:r>
      <w:r w:rsidRPr="009B4555">
        <w:rPr>
          <w:b/>
        </w:rPr>
        <w:t xml:space="preserve">s de derechos humanos </w:t>
      </w:r>
      <w:r>
        <w:rPr>
          <w:b/>
        </w:rPr>
        <w:t>en particular las que defienden los derechos económicos, sociales y culturales;</w:t>
      </w:r>
    </w:p>
    <w:p w14:paraId="33673C97" w14:textId="2C53C6C1" w:rsidR="00142F79" w:rsidRPr="00FB3AF9" w:rsidRDefault="00FB3AF9" w:rsidP="004B0ADD">
      <w:pPr>
        <w:pStyle w:val="SingleTxtG"/>
        <w:numPr>
          <w:ilvl w:val="0"/>
          <w:numId w:val="20"/>
        </w:numPr>
        <w:ind w:left="1134" w:firstLine="567"/>
        <w:rPr>
          <w:rFonts w:eastAsia="SimSun"/>
          <w:b/>
        </w:rPr>
      </w:pPr>
      <w:r>
        <w:rPr>
          <w:b/>
        </w:rPr>
        <w:t>Tom</w:t>
      </w:r>
      <w:r w:rsidR="002B35E6">
        <w:rPr>
          <w:b/>
        </w:rPr>
        <w:t>ar</w:t>
      </w:r>
      <w:r>
        <w:rPr>
          <w:b/>
        </w:rPr>
        <w:t xml:space="preserve"> en cuenta</w:t>
      </w:r>
      <w:r w:rsidR="00142F79" w:rsidRPr="00562770">
        <w:rPr>
          <w:b/>
        </w:rPr>
        <w:t xml:space="preserve"> su Declaración sobre </w:t>
      </w:r>
      <w:r w:rsidR="00142F79">
        <w:rPr>
          <w:b/>
        </w:rPr>
        <w:t>d</w:t>
      </w:r>
      <w:r w:rsidR="00142F79" w:rsidRPr="00562770">
        <w:rPr>
          <w:b/>
        </w:rPr>
        <w:t>efensores de derechos humanos y derechos económicos, sociales y culturales</w:t>
      </w:r>
      <w:r w:rsidR="00184761">
        <w:rPr>
          <w:b/>
        </w:rPr>
        <w:t>.</w:t>
      </w:r>
      <w:r w:rsidR="00184761">
        <w:rPr>
          <w:rStyle w:val="FootnoteReference"/>
          <w:b/>
        </w:rPr>
        <w:footnoteReference w:id="5"/>
      </w:r>
      <w:r w:rsidR="00142F79" w:rsidRPr="00562770">
        <w:rPr>
          <w:b/>
        </w:rPr>
        <w:t xml:space="preserve"> </w:t>
      </w:r>
    </w:p>
    <w:p w14:paraId="1A8C3B88" w14:textId="77777777" w:rsidR="008531CF" w:rsidRPr="004B0ADD" w:rsidRDefault="008531CF" w:rsidP="004B0ADD">
      <w:pPr>
        <w:pStyle w:val="H23G"/>
        <w:ind w:firstLine="0"/>
        <w:rPr>
          <w:lang w:val="es-419"/>
        </w:rPr>
      </w:pPr>
      <w:r w:rsidRPr="003A7E94">
        <w:rPr>
          <w:lang w:val="es-419"/>
        </w:rPr>
        <w:t>Empresas y derechos humanos</w:t>
      </w:r>
      <w:r>
        <w:rPr>
          <w:lang w:val="es-419"/>
        </w:rPr>
        <w:t xml:space="preserve"> </w:t>
      </w:r>
    </w:p>
    <w:p w14:paraId="10D49F9C" w14:textId="12A44873" w:rsidR="008531CF" w:rsidRDefault="003A7E94" w:rsidP="004B0ADD">
      <w:pPr>
        <w:pStyle w:val="SingleTxtG"/>
        <w:numPr>
          <w:ilvl w:val="0"/>
          <w:numId w:val="46"/>
        </w:numPr>
        <w:tabs>
          <w:tab w:val="clear" w:pos="1701"/>
          <w:tab w:val="clear" w:pos="2268"/>
          <w:tab w:val="clear" w:pos="2835"/>
        </w:tabs>
        <w:ind w:left="1134" w:firstLine="0"/>
      </w:pPr>
      <w:r>
        <w:t>El</w:t>
      </w:r>
      <w:r w:rsidR="00005011">
        <w:t xml:space="preserve"> Comité </w:t>
      </w:r>
      <w:r w:rsidR="004758F1">
        <w:t>toma nota de</w:t>
      </w:r>
      <w:r w:rsidR="00005011">
        <w:t xml:space="preserve"> la información sobre</w:t>
      </w:r>
      <w:r w:rsidR="00B05E47">
        <w:t xml:space="preserve"> la iniciativa de elaborar</w:t>
      </w:r>
      <w:r w:rsidR="00005011">
        <w:t xml:space="preserve"> </w:t>
      </w:r>
      <w:r w:rsidR="00B05E47">
        <w:t xml:space="preserve">un </w:t>
      </w:r>
      <w:r w:rsidR="00005011">
        <w:t>Plan Nacional de Acción de Empresas y Derechos Humanos</w:t>
      </w:r>
      <w:r w:rsidR="00B05E47">
        <w:t xml:space="preserve"> por parte de </w:t>
      </w:r>
      <w:r w:rsidR="008531CF">
        <w:t>la Comisión Presidencial por la Paz y lo</w:t>
      </w:r>
      <w:r w:rsidR="00B05E47">
        <w:t>s Derechos Humanos</w:t>
      </w:r>
      <w:r>
        <w:t xml:space="preserve">. Sin embargo, </w:t>
      </w:r>
      <w:r w:rsidR="00C8762E">
        <w:t xml:space="preserve">le preocupa el </w:t>
      </w:r>
      <w:r w:rsidR="00563E31">
        <w:t xml:space="preserve">posible </w:t>
      </w:r>
      <w:r w:rsidR="00C8762E">
        <w:t xml:space="preserve">impacto negativo que tienen </w:t>
      </w:r>
      <w:r w:rsidR="000649F3">
        <w:t xml:space="preserve">las actividades y </w:t>
      </w:r>
      <w:r w:rsidR="00C8762E">
        <w:t>los proyectos de desarrollo económico</w:t>
      </w:r>
      <w:r w:rsidR="000649F3">
        <w:t xml:space="preserve"> llevados a cabo por empresas</w:t>
      </w:r>
      <w:r w:rsidR="00563E31">
        <w:t>, debido a la falta de diligencia debida en materia de derechos humanos,</w:t>
      </w:r>
      <w:r w:rsidR="000649F3">
        <w:t xml:space="preserve"> en el disfrute de los derechos económicos, sociales y culturales, ocasionando daños irreparables en el medio ambiente y afectando el derecho a la salud y el derecho a un nivel de vida adecuado de las comunidades afectadas, y en particular de pueblos indígenas y afrodescendientes</w:t>
      </w:r>
      <w:r w:rsidR="00316F5C">
        <w:t xml:space="preserve"> (arts. 1 y 11)</w:t>
      </w:r>
      <w:r w:rsidR="000649F3">
        <w:t xml:space="preserve">. </w:t>
      </w:r>
    </w:p>
    <w:p w14:paraId="47FBD6EC" w14:textId="2906035A" w:rsidR="00D476EF" w:rsidRDefault="00D476EF" w:rsidP="004B0ADD">
      <w:pPr>
        <w:pStyle w:val="SingleTxtG"/>
        <w:numPr>
          <w:ilvl w:val="0"/>
          <w:numId w:val="46"/>
        </w:numPr>
        <w:tabs>
          <w:tab w:val="clear" w:pos="1701"/>
          <w:tab w:val="clear" w:pos="2268"/>
          <w:tab w:val="clear" w:pos="2835"/>
        </w:tabs>
        <w:ind w:left="1134" w:firstLine="0"/>
        <w:rPr>
          <w:b/>
        </w:rPr>
      </w:pPr>
      <w:r w:rsidRPr="00562770">
        <w:rPr>
          <w:b/>
        </w:rPr>
        <w:t>El Comité recomienda al Estado parte</w:t>
      </w:r>
      <w:r>
        <w:rPr>
          <w:b/>
        </w:rPr>
        <w:t xml:space="preserve">: </w:t>
      </w:r>
    </w:p>
    <w:p w14:paraId="2370FEDE" w14:textId="095340C5" w:rsidR="00D476EF" w:rsidRDefault="00D476EF" w:rsidP="004B0ADD">
      <w:pPr>
        <w:pStyle w:val="SingleTxtG"/>
        <w:numPr>
          <w:ilvl w:val="0"/>
          <w:numId w:val="22"/>
        </w:numPr>
        <w:tabs>
          <w:tab w:val="clear" w:pos="1701"/>
          <w:tab w:val="clear" w:pos="2268"/>
          <w:tab w:val="clear" w:pos="2835"/>
        </w:tabs>
        <w:suppressAutoHyphens/>
        <w:ind w:left="1134" w:firstLine="567"/>
        <w:rPr>
          <w:b/>
        </w:rPr>
      </w:pPr>
      <w:r>
        <w:rPr>
          <w:b/>
        </w:rPr>
        <w:t xml:space="preserve">Acelerar sus esfuerzos para la pronta adopción del </w:t>
      </w:r>
      <w:r w:rsidRPr="00562770">
        <w:rPr>
          <w:b/>
        </w:rPr>
        <w:t>Plan Nacional de</w:t>
      </w:r>
      <w:r>
        <w:rPr>
          <w:b/>
        </w:rPr>
        <w:t xml:space="preserve"> Acción de</w:t>
      </w:r>
      <w:r w:rsidRPr="00562770">
        <w:rPr>
          <w:b/>
        </w:rPr>
        <w:t xml:space="preserve"> Empresas y Derechos Humanos</w:t>
      </w:r>
      <w:r>
        <w:rPr>
          <w:b/>
        </w:rPr>
        <w:t>, garantizando que tanto en el proceso de elaboración como de aplicación se cuente con la debida participación de todos los actores interesados</w:t>
      </w:r>
      <w:r w:rsidR="00563E31">
        <w:rPr>
          <w:b/>
        </w:rPr>
        <w:t>, incluyendo representantes de empresas, organizaciones de la sociedad civil, representantes de pueblos indígenas</w:t>
      </w:r>
      <w:r w:rsidR="00AA2D65">
        <w:rPr>
          <w:b/>
        </w:rPr>
        <w:t xml:space="preserve"> y afrodescendientes, </w:t>
      </w:r>
      <w:r w:rsidR="00563E31">
        <w:rPr>
          <w:b/>
        </w:rPr>
        <w:t>y de las comunidades más afectadas</w:t>
      </w:r>
      <w:r>
        <w:rPr>
          <w:b/>
        </w:rPr>
        <w:t xml:space="preserve">; </w:t>
      </w:r>
    </w:p>
    <w:p w14:paraId="3F6167A3" w14:textId="01284893" w:rsidR="004758F1" w:rsidRDefault="00D476EF" w:rsidP="004B0ADD">
      <w:pPr>
        <w:pStyle w:val="SingleTxtG"/>
        <w:numPr>
          <w:ilvl w:val="0"/>
          <w:numId w:val="22"/>
        </w:numPr>
        <w:tabs>
          <w:tab w:val="clear" w:pos="1701"/>
          <w:tab w:val="clear" w:pos="2268"/>
          <w:tab w:val="clear" w:pos="2835"/>
        </w:tabs>
        <w:suppressAutoHyphens/>
        <w:ind w:left="1134" w:firstLine="567"/>
        <w:rPr>
          <w:b/>
          <w:bCs/>
          <w:szCs w:val="24"/>
        </w:rPr>
      </w:pPr>
      <w:r>
        <w:rPr>
          <w:b/>
        </w:rPr>
        <w:t>Adoptar las</w:t>
      </w:r>
      <w:r w:rsidRPr="00562770">
        <w:rPr>
          <w:b/>
          <w:bCs/>
          <w:szCs w:val="24"/>
        </w:rPr>
        <w:t xml:space="preserve"> medidas legislativas y administrativas adecuadas para garantizar que las empresas que operan en el Estado parte </w:t>
      </w:r>
      <w:r>
        <w:rPr>
          <w:b/>
          <w:bCs/>
          <w:szCs w:val="24"/>
        </w:rPr>
        <w:t xml:space="preserve">apliquen </w:t>
      </w:r>
      <w:r w:rsidRPr="00562770">
        <w:rPr>
          <w:b/>
          <w:szCs w:val="24"/>
        </w:rPr>
        <w:t>la diligencia debida en materia de derechos humanos</w:t>
      </w:r>
      <w:r>
        <w:rPr>
          <w:b/>
          <w:szCs w:val="24"/>
        </w:rPr>
        <w:t xml:space="preserve"> a fin de prevenir que </w:t>
      </w:r>
      <w:r w:rsidRPr="00562770">
        <w:rPr>
          <w:b/>
          <w:bCs/>
          <w:szCs w:val="24"/>
        </w:rPr>
        <w:t>en el desarrollo de sus actividades</w:t>
      </w:r>
      <w:r>
        <w:rPr>
          <w:b/>
          <w:szCs w:val="24"/>
        </w:rPr>
        <w:t xml:space="preserve"> afecten</w:t>
      </w:r>
      <w:r w:rsidRPr="00562770">
        <w:rPr>
          <w:b/>
          <w:bCs/>
          <w:szCs w:val="24"/>
        </w:rPr>
        <w:t xml:space="preserve"> negativamente el ejercicio de los derechos económicos, sociales y culturales</w:t>
      </w:r>
      <w:r w:rsidR="004758F1">
        <w:rPr>
          <w:b/>
          <w:bCs/>
          <w:szCs w:val="24"/>
        </w:rPr>
        <w:t xml:space="preserve">; </w:t>
      </w:r>
    </w:p>
    <w:p w14:paraId="0174E08F" w14:textId="7EF77042" w:rsidR="00A0205C" w:rsidRPr="00764C6F" w:rsidRDefault="00A0205C" w:rsidP="00764C6F">
      <w:pPr>
        <w:pStyle w:val="SingleTxtG"/>
        <w:numPr>
          <w:ilvl w:val="0"/>
          <w:numId w:val="22"/>
        </w:numPr>
        <w:suppressAutoHyphens/>
        <w:ind w:left="1134" w:firstLine="567"/>
        <w:rPr>
          <w:b/>
          <w:bCs/>
          <w:szCs w:val="24"/>
          <w:lang w:val="es-419"/>
        </w:rPr>
      </w:pPr>
      <w:r w:rsidRPr="00A0205C">
        <w:rPr>
          <w:b/>
          <w:bCs/>
          <w:szCs w:val="24"/>
        </w:rPr>
        <w:t xml:space="preserve">Adoptar todas las medidas para garantizar la responsabilidad jurídica de las empresas </w:t>
      </w:r>
      <w:r>
        <w:rPr>
          <w:b/>
          <w:bCs/>
          <w:szCs w:val="24"/>
        </w:rPr>
        <w:t>que operan en el Estado</w:t>
      </w:r>
      <w:r w:rsidR="003F6DF2" w:rsidRPr="003F6DF2">
        <w:rPr>
          <w:b/>
          <w:bCs/>
          <w:szCs w:val="24"/>
        </w:rPr>
        <w:t xml:space="preserve"> </w:t>
      </w:r>
      <w:r w:rsidR="003F6DF2">
        <w:rPr>
          <w:b/>
          <w:bCs/>
          <w:szCs w:val="24"/>
        </w:rPr>
        <w:t xml:space="preserve">parte, domiciliadas en su territorio y/o bajo su jurisdicción </w:t>
      </w:r>
      <w:r w:rsidRPr="00A0205C">
        <w:rPr>
          <w:b/>
          <w:bCs/>
          <w:szCs w:val="24"/>
        </w:rPr>
        <w:t>por las violaciones de los derechos económicos, sociales y culturales resultantes de sus actividades y proporcionar rep</w:t>
      </w:r>
      <w:r>
        <w:rPr>
          <w:b/>
          <w:bCs/>
          <w:szCs w:val="24"/>
        </w:rPr>
        <w:t>aración adecuada a las víctimas;</w:t>
      </w:r>
    </w:p>
    <w:p w14:paraId="109B2EBD" w14:textId="62212C83" w:rsidR="00D476EF" w:rsidRPr="004E02A1" w:rsidRDefault="00D476EF" w:rsidP="004B0ADD">
      <w:pPr>
        <w:pStyle w:val="SingleTxtG"/>
        <w:numPr>
          <w:ilvl w:val="0"/>
          <w:numId w:val="22"/>
        </w:numPr>
        <w:tabs>
          <w:tab w:val="clear" w:pos="1701"/>
          <w:tab w:val="clear" w:pos="2268"/>
          <w:tab w:val="clear" w:pos="2835"/>
        </w:tabs>
        <w:suppressAutoHyphens/>
        <w:ind w:left="1134" w:firstLine="567"/>
        <w:rPr>
          <w:b/>
          <w:szCs w:val="24"/>
        </w:rPr>
      </w:pPr>
      <w:r>
        <w:rPr>
          <w:b/>
          <w:szCs w:val="24"/>
        </w:rPr>
        <w:t>Tome en consideración</w:t>
      </w:r>
      <w:r w:rsidRPr="004E02A1">
        <w:rPr>
          <w:b/>
        </w:rPr>
        <w:t xml:space="preserve"> su </w:t>
      </w:r>
      <w:r>
        <w:rPr>
          <w:b/>
        </w:rPr>
        <w:t>o</w:t>
      </w:r>
      <w:r w:rsidRPr="004E02A1">
        <w:rPr>
          <w:b/>
        </w:rPr>
        <w:t xml:space="preserve">bservación </w:t>
      </w:r>
      <w:r w:rsidRPr="004E02A1">
        <w:rPr>
          <w:b/>
          <w:szCs w:val="24"/>
        </w:rPr>
        <w:t>general núm. 24 (2017)</w:t>
      </w:r>
      <w:r w:rsidR="00C436CF">
        <w:rPr>
          <w:rStyle w:val="FootnoteReference"/>
          <w:b/>
          <w:szCs w:val="24"/>
        </w:rPr>
        <w:footnoteReference w:id="6"/>
      </w:r>
      <w:r w:rsidRPr="004E02A1">
        <w:rPr>
          <w:b/>
          <w:szCs w:val="24"/>
        </w:rPr>
        <w:t xml:space="preserve"> sobre las obligaciones de los Estados en virtud del Pacto Internacional de Derechos Económicos, Sociales y Culturales en el contexto de las actividades empresariales. </w:t>
      </w:r>
    </w:p>
    <w:p w14:paraId="2C5CB89E" w14:textId="77777777" w:rsidR="00220670" w:rsidRPr="004B0ADD" w:rsidRDefault="00220670" w:rsidP="004B0ADD">
      <w:pPr>
        <w:pStyle w:val="H23G"/>
        <w:ind w:firstLine="0"/>
        <w:rPr>
          <w:lang w:val="es-419"/>
        </w:rPr>
      </w:pPr>
      <w:r w:rsidRPr="008B5899">
        <w:rPr>
          <w:lang w:val="es-419"/>
        </w:rPr>
        <w:t>Derecho a la consulta previa de pueblos indígenas</w:t>
      </w:r>
      <w:r>
        <w:rPr>
          <w:lang w:val="es-419"/>
        </w:rPr>
        <w:t xml:space="preserve"> </w:t>
      </w:r>
    </w:p>
    <w:p w14:paraId="7C234276" w14:textId="3C96619C" w:rsidR="00220670" w:rsidRDefault="00220670" w:rsidP="004B0ADD">
      <w:pPr>
        <w:pStyle w:val="SingleTxtG"/>
        <w:numPr>
          <w:ilvl w:val="0"/>
          <w:numId w:val="46"/>
        </w:numPr>
        <w:tabs>
          <w:tab w:val="clear" w:pos="1701"/>
          <w:tab w:val="clear" w:pos="2268"/>
          <w:tab w:val="clear" w:pos="2835"/>
        </w:tabs>
        <w:ind w:left="1134" w:firstLine="0"/>
      </w:pPr>
      <w:r>
        <w:rPr>
          <w:lang w:val="es-419"/>
        </w:rPr>
        <w:t xml:space="preserve">El Comité está preocupado por la falta de mecanismos legales efectivos conformes a los estándares internacionales que garanticen que los pueblos indígenas sean consultados de cualquier medida legislativa o administrativa susceptible de afectarles. </w:t>
      </w:r>
      <w:r w:rsidR="00EA24A7">
        <w:rPr>
          <w:lang w:val="es-419"/>
        </w:rPr>
        <w:t>Preocupa al Comité que, a pesar de los esfuerzos realizados por el Ministerio de Energía y Minas para llevar a cabo consultas “reparadoras” en cumplimiento</w:t>
      </w:r>
      <w:r w:rsidR="00EA24A7">
        <w:t xml:space="preserve"> de sentencias de la Corte de Constitucionalidad</w:t>
      </w:r>
      <w:r w:rsidR="00EA24A7">
        <w:rPr>
          <w:lang w:val="es-419"/>
        </w:rPr>
        <w:t>, el Estado parte continúa otorgando concesiones para el desarrollo de proyectos de explotación de recursos naturales sin la</w:t>
      </w:r>
      <w:r w:rsidR="00316F5C">
        <w:rPr>
          <w:lang w:val="es-419"/>
        </w:rPr>
        <w:t xml:space="preserve"> debida</w:t>
      </w:r>
      <w:r w:rsidR="00EA24A7">
        <w:rPr>
          <w:lang w:val="es-419"/>
        </w:rPr>
        <w:t xml:space="preserve"> consulta</w:t>
      </w:r>
      <w:r w:rsidR="00563E31">
        <w:rPr>
          <w:lang w:val="es-419"/>
        </w:rPr>
        <w:t xml:space="preserve"> con miras a obtener el </w:t>
      </w:r>
      <w:r w:rsidR="00563E31">
        <w:rPr>
          <w:lang w:val="es-419"/>
        </w:rPr>
        <w:lastRenderedPageBreak/>
        <w:t>consentimiento libre, previo e informado</w:t>
      </w:r>
      <w:r w:rsidR="00EA24A7">
        <w:rPr>
          <w:lang w:val="es-419"/>
        </w:rPr>
        <w:t xml:space="preserve"> </w:t>
      </w:r>
      <w:r w:rsidR="00563E31">
        <w:rPr>
          <w:lang w:val="es-419"/>
        </w:rPr>
        <w:t xml:space="preserve">de </w:t>
      </w:r>
      <w:r w:rsidR="00EA24A7">
        <w:rPr>
          <w:lang w:val="es-419"/>
        </w:rPr>
        <w:t>los pueblos indígenas y sin llevar a cabo estudios de impacto social</w:t>
      </w:r>
      <w:r w:rsidR="00563E31">
        <w:rPr>
          <w:lang w:val="es-419"/>
        </w:rPr>
        <w:t xml:space="preserve">, </w:t>
      </w:r>
      <w:r w:rsidR="00EA24A7">
        <w:rPr>
          <w:lang w:val="es-419"/>
        </w:rPr>
        <w:t xml:space="preserve"> ambiental</w:t>
      </w:r>
      <w:r w:rsidR="00563E31">
        <w:rPr>
          <w:lang w:val="es-419"/>
        </w:rPr>
        <w:t xml:space="preserve"> y de derechos humanos</w:t>
      </w:r>
      <w:r w:rsidR="00316F5C">
        <w:rPr>
          <w:lang w:val="es-419"/>
        </w:rPr>
        <w:t>(art. 1)</w:t>
      </w:r>
      <w:r w:rsidR="00817FD2" w:rsidRPr="00817FD2">
        <w:t>. </w:t>
      </w:r>
    </w:p>
    <w:p w14:paraId="6FB9AA7E" w14:textId="1509F6AC" w:rsidR="00EA24A7" w:rsidRDefault="00EA24A7" w:rsidP="004B0ADD">
      <w:pPr>
        <w:pStyle w:val="SingleTxtG"/>
        <w:numPr>
          <w:ilvl w:val="0"/>
          <w:numId w:val="46"/>
        </w:numPr>
        <w:tabs>
          <w:tab w:val="clear" w:pos="1701"/>
          <w:tab w:val="clear" w:pos="2268"/>
          <w:tab w:val="clear" w:pos="2835"/>
        </w:tabs>
        <w:ind w:left="1134" w:firstLine="0"/>
        <w:rPr>
          <w:b/>
        </w:rPr>
      </w:pPr>
      <w:r w:rsidRPr="004B0ADD">
        <w:rPr>
          <w:b/>
          <w:bCs/>
          <w:lang w:val="es-419"/>
        </w:rPr>
        <w:t>El</w:t>
      </w:r>
      <w:r w:rsidRPr="00562770">
        <w:rPr>
          <w:b/>
        </w:rPr>
        <w:t xml:space="preserve"> Comité recomienda al Estado parte</w:t>
      </w:r>
      <w:r>
        <w:rPr>
          <w:b/>
        </w:rPr>
        <w:t xml:space="preserve"> que: </w:t>
      </w:r>
    </w:p>
    <w:p w14:paraId="40AD7A3F" w14:textId="1D7C17F6" w:rsidR="00316F5C" w:rsidRDefault="00316F5C" w:rsidP="004B0ADD">
      <w:pPr>
        <w:pStyle w:val="ListParagraph"/>
        <w:numPr>
          <w:ilvl w:val="0"/>
          <w:numId w:val="23"/>
        </w:numPr>
        <w:suppressAutoHyphens/>
        <w:spacing w:after="120"/>
        <w:ind w:left="1134" w:right="1134" w:firstLine="554"/>
        <w:jc w:val="both"/>
        <w:rPr>
          <w:b/>
        </w:rPr>
      </w:pPr>
      <w:r>
        <w:rPr>
          <w:b/>
        </w:rPr>
        <w:t>E</w:t>
      </w:r>
      <w:r w:rsidRPr="00EC1A5A">
        <w:rPr>
          <w:b/>
        </w:rPr>
        <w:t xml:space="preserve">n consulta con los propios pueblos indígenas </w:t>
      </w:r>
      <w:r>
        <w:rPr>
          <w:b/>
        </w:rPr>
        <w:t xml:space="preserve">y </w:t>
      </w:r>
      <w:r w:rsidRPr="00EC1A5A">
        <w:rPr>
          <w:b/>
        </w:rPr>
        <w:t xml:space="preserve">tomando en cuenta </w:t>
      </w:r>
      <w:r>
        <w:rPr>
          <w:b/>
        </w:rPr>
        <w:t xml:space="preserve">las </w:t>
      </w:r>
      <w:r w:rsidRPr="00EC1A5A">
        <w:rPr>
          <w:b/>
        </w:rPr>
        <w:t xml:space="preserve">características culturales, usos y costumbres de cada pueblo, </w:t>
      </w:r>
      <w:r>
        <w:rPr>
          <w:b/>
        </w:rPr>
        <w:t xml:space="preserve">diseñe </w:t>
      </w:r>
      <w:r w:rsidR="00DC36DC">
        <w:rPr>
          <w:b/>
        </w:rPr>
        <w:t xml:space="preserve">e implemente </w:t>
      </w:r>
      <w:r>
        <w:rPr>
          <w:b/>
        </w:rPr>
        <w:t>una ley y</w:t>
      </w:r>
      <w:r w:rsidRPr="00EC1A5A">
        <w:rPr>
          <w:b/>
        </w:rPr>
        <w:t xml:space="preserve"> protocolos de actuación efectivos, adecuados</w:t>
      </w:r>
      <w:r w:rsidR="00563E31">
        <w:rPr>
          <w:b/>
        </w:rPr>
        <w:t>, con criterios claros en cuanto a la forma de llevar a cabo la consulta y la representatividad de los pueblos indígenas</w:t>
      </w:r>
      <w:r w:rsidRPr="00EC1A5A">
        <w:rPr>
          <w:b/>
        </w:rPr>
        <w:t xml:space="preserve"> y</w:t>
      </w:r>
      <w:r w:rsidR="00563E31">
        <w:rPr>
          <w:b/>
        </w:rPr>
        <w:t xml:space="preserve"> </w:t>
      </w:r>
      <w:r w:rsidR="00E2615C">
        <w:rPr>
          <w:b/>
        </w:rPr>
        <w:t xml:space="preserve">que sean </w:t>
      </w:r>
      <w:r w:rsidRPr="00EC1A5A">
        <w:rPr>
          <w:b/>
        </w:rPr>
        <w:t xml:space="preserve">jurídicamente vinculantes </w:t>
      </w:r>
      <w:r w:rsidR="00E2615C">
        <w:rPr>
          <w:b/>
        </w:rPr>
        <w:t>a fin de garantizar</w:t>
      </w:r>
      <w:r w:rsidRPr="00EC1A5A">
        <w:rPr>
          <w:b/>
        </w:rPr>
        <w:t xml:space="preserve"> plenamente el respeto de</w:t>
      </w:r>
      <w:r>
        <w:rPr>
          <w:b/>
        </w:rPr>
        <w:t xml:space="preserve">l </w:t>
      </w:r>
      <w:r w:rsidRPr="00EC1A5A">
        <w:rPr>
          <w:b/>
        </w:rPr>
        <w:t xml:space="preserve">derecho </w:t>
      </w:r>
      <w:r>
        <w:rPr>
          <w:b/>
        </w:rPr>
        <w:t xml:space="preserve">que tienen a ser consultados </w:t>
      </w:r>
      <w:r w:rsidRPr="00EC1A5A">
        <w:rPr>
          <w:b/>
        </w:rPr>
        <w:t xml:space="preserve">con </w:t>
      </w:r>
      <w:r w:rsidR="00E2615C">
        <w:rPr>
          <w:b/>
        </w:rPr>
        <w:t>miras a</w:t>
      </w:r>
      <w:r w:rsidRPr="00EC1A5A">
        <w:rPr>
          <w:b/>
        </w:rPr>
        <w:t xml:space="preserve"> obtener el consentimiento libre, previo e informado en lo que respecta </w:t>
      </w:r>
      <w:r>
        <w:rPr>
          <w:b/>
        </w:rPr>
        <w:t xml:space="preserve">a </w:t>
      </w:r>
      <w:r w:rsidRPr="00EC1A5A">
        <w:rPr>
          <w:b/>
        </w:rPr>
        <w:t>decisiones susceptibles de afectarles</w:t>
      </w:r>
      <w:r>
        <w:rPr>
          <w:b/>
        </w:rPr>
        <w:t xml:space="preserve">; </w:t>
      </w:r>
    </w:p>
    <w:p w14:paraId="40CE86E7" w14:textId="3CAFF429" w:rsidR="00EC1A5A" w:rsidRPr="00EC1A5A" w:rsidRDefault="00DC36DC" w:rsidP="004B0ADD">
      <w:pPr>
        <w:pStyle w:val="ListParagraph"/>
        <w:numPr>
          <w:ilvl w:val="0"/>
          <w:numId w:val="23"/>
        </w:numPr>
        <w:suppressAutoHyphens/>
        <w:spacing w:after="120"/>
        <w:ind w:left="1134" w:right="1134" w:firstLine="554"/>
        <w:jc w:val="both"/>
        <w:rPr>
          <w:b/>
        </w:rPr>
      </w:pPr>
      <w:r>
        <w:rPr>
          <w:b/>
        </w:rPr>
        <w:t xml:space="preserve">Tome las medidas administrativas necesarias para </w:t>
      </w:r>
      <w:r w:rsidR="006741D8">
        <w:rPr>
          <w:b/>
        </w:rPr>
        <w:t>g</w:t>
      </w:r>
      <w:r w:rsidR="006741D8" w:rsidRPr="00EC1A5A">
        <w:rPr>
          <w:b/>
        </w:rPr>
        <w:t>aranti</w:t>
      </w:r>
      <w:r w:rsidR="006741D8">
        <w:rPr>
          <w:b/>
        </w:rPr>
        <w:t>zar</w:t>
      </w:r>
      <w:r w:rsidR="006741D8" w:rsidRPr="00EC1A5A">
        <w:rPr>
          <w:b/>
        </w:rPr>
        <w:t xml:space="preserve"> </w:t>
      </w:r>
      <w:r w:rsidR="00EA24A7" w:rsidRPr="00EC1A5A">
        <w:rPr>
          <w:b/>
        </w:rPr>
        <w:t xml:space="preserve">que los pueblos indígenas sean consultados, de manera previa, sistemática y transparente, con </w:t>
      </w:r>
      <w:r w:rsidR="00E2615C">
        <w:rPr>
          <w:b/>
        </w:rPr>
        <w:t>miras a</w:t>
      </w:r>
      <w:r w:rsidR="00EA24A7" w:rsidRPr="00EC1A5A">
        <w:rPr>
          <w:b/>
        </w:rPr>
        <w:t xml:space="preserve"> obtener el consentimiento libre, previo e informado en lo que respecta a la toma de decisiones susceptibles de afectarles, especialmente antes de otorgar licencias para llevar a cabo actividades económicas en los territorios que tradicionalmente han poseído, ocupado o utilizado</w:t>
      </w:r>
      <w:r w:rsidR="00AA2D65">
        <w:rPr>
          <w:b/>
        </w:rPr>
        <w:t>;</w:t>
      </w:r>
      <w:r w:rsidR="00EA24A7" w:rsidRPr="00EC1A5A">
        <w:rPr>
          <w:b/>
        </w:rPr>
        <w:t xml:space="preserve"> </w:t>
      </w:r>
    </w:p>
    <w:p w14:paraId="5DF34074" w14:textId="4536A0C9" w:rsidR="00EC1A5A" w:rsidRDefault="00DC36DC" w:rsidP="004B0ADD">
      <w:pPr>
        <w:pStyle w:val="ListParagraph"/>
        <w:numPr>
          <w:ilvl w:val="0"/>
          <w:numId w:val="23"/>
        </w:numPr>
        <w:suppressAutoHyphens/>
        <w:spacing w:after="120"/>
        <w:ind w:left="1134" w:right="1134" w:firstLine="554"/>
        <w:jc w:val="both"/>
        <w:rPr>
          <w:b/>
        </w:rPr>
      </w:pPr>
      <w:r>
        <w:rPr>
          <w:b/>
        </w:rPr>
        <w:t>Integre de manera sistemática, en los procesos de consulta previa, la realización de</w:t>
      </w:r>
      <w:r w:rsidR="00EA24A7" w:rsidRPr="00EC1A5A">
        <w:rPr>
          <w:b/>
        </w:rPr>
        <w:t xml:space="preserve"> estudios independientes sobre el impacto social</w:t>
      </w:r>
      <w:r w:rsidR="00563E31">
        <w:rPr>
          <w:b/>
        </w:rPr>
        <w:t xml:space="preserve">, </w:t>
      </w:r>
      <w:r w:rsidR="00EA24A7" w:rsidRPr="00EC1A5A">
        <w:rPr>
          <w:b/>
        </w:rPr>
        <w:t>ambiental</w:t>
      </w:r>
      <w:r w:rsidR="00563E31">
        <w:rPr>
          <w:b/>
        </w:rPr>
        <w:t xml:space="preserve"> y de derechos humanos</w:t>
      </w:r>
      <w:r w:rsidR="00EA24A7" w:rsidRPr="00EC1A5A">
        <w:rPr>
          <w:b/>
        </w:rPr>
        <w:t xml:space="preserve"> que pueden tener los proyectos </w:t>
      </w:r>
      <w:r>
        <w:rPr>
          <w:b/>
        </w:rPr>
        <w:t xml:space="preserve">económicos y de </w:t>
      </w:r>
      <w:r w:rsidR="00EA24A7" w:rsidRPr="00EC1A5A">
        <w:rPr>
          <w:b/>
        </w:rPr>
        <w:t>explotación de recursos naturales en los pueblos indígenas afectados, publique sus resultados y vele por que los acuerdos suscritos para llevar a cabo tales proyectos, prevean medidas de mitigación de su impacto en los derechos económicos, sociales y culturales, así como indemnizaciones suficientes para los pueblos indígenas afectados</w:t>
      </w:r>
      <w:r w:rsidR="00EC1A5A">
        <w:rPr>
          <w:b/>
        </w:rPr>
        <w:t xml:space="preserve">; </w:t>
      </w:r>
    </w:p>
    <w:p w14:paraId="57FC9AB3" w14:textId="06FC7D50" w:rsidR="00EA24A7" w:rsidRPr="00462C8F" w:rsidRDefault="00DC36DC" w:rsidP="004B0ADD">
      <w:pPr>
        <w:pStyle w:val="ListParagraph"/>
        <w:numPr>
          <w:ilvl w:val="0"/>
          <w:numId w:val="23"/>
        </w:numPr>
        <w:suppressAutoHyphens/>
        <w:spacing w:after="120"/>
        <w:ind w:left="1134" w:right="1134" w:firstLine="554"/>
        <w:jc w:val="both"/>
        <w:rPr>
          <w:b/>
        </w:rPr>
      </w:pPr>
      <w:r>
        <w:rPr>
          <w:b/>
        </w:rPr>
        <w:t>Tenga en consideración sus obligaciones y compromisos internacionales derivados de la ratificación</w:t>
      </w:r>
      <w:r w:rsidR="00EC1A5A">
        <w:rPr>
          <w:b/>
        </w:rPr>
        <w:t xml:space="preserve"> </w:t>
      </w:r>
      <w:r>
        <w:rPr>
          <w:b/>
        </w:rPr>
        <w:t xml:space="preserve">del </w:t>
      </w:r>
      <w:r w:rsidR="00EC1A5A" w:rsidRPr="00EC1A5A">
        <w:rPr>
          <w:b/>
        </w:rPr>
        <w:t xml:space="preserve">Convenio sobre pueblos indígenas y tribales, 1989 (núm. 169) de la Organización International del Trabajo (OIT) y </w:t>
      </w:r>
      <w:r>
        <w:rPr>
          <w:b/>
        </w:rPr>
        <w:t xml:space="preserve">de la suscripción de </w:t>
      </w:r>
      <w:r w:rsidR="00EC1A5A" w:rsidRPr="00EC1A5A">
        <w:rPr>
          <w:b/>
        </w:rPr>
        <w:t>la Declaración de las Naciones Unidas sobre los Derechos de los Pueblos Indígenas</w:t>
      </w:r>
      <w:r w:rsidR="006741D8">
        <w:rPr>
          <w:b/>
        </w:rPr>
        <w:t xml:space="preserve"> y demás estándares internacionales en la materia</w:t>
      </w:r>
      <w:r w:rsidR="00EC1A5A">
        <w:rPr>
          <w:b/>
        </w:rPr>
        <w:t xml:space="preserve">. </w:t>
      </w:r>
      <w:r w:rsidR="00EA24A7" w:rsidRPr="00EC1A5A">
        <w:rPr>
          <w:b/>
        </w:rPr>
        <w:t xml:space="preserve"> </w:t>
      </w:r>
    </w:p>
    <w:p w14:paraId="10C7A8D6" w14:textId="1D01F5D9" w:rsidR="00335EA2" w:rsidRPr="004B0ADD" w:rsidRDefault="00F72B1F" w:rsidP="004B0ADD">
      <w:pPr>
        <w:pStyle w:val="H23G"/>
        <w:ind w:firstLine="0"/>
        <w:rPr>
          <w:lang w:val="es-419"/>
        </w:rPr>
      </w:pPr>
      <w:r w:rsidRPr="000F0DB1">
        <w:rPr>
          <w:lang w:val="es-419"/>
        </w:rPr>
        <w:t>Máximo</w:t>
      </w:r>
      <w:r w:rsidR="00335EA2" w:rsidRPr="000F0DB1">
        <w:rPr>
          <w:lang w:val="es-419"/>
        </w:rPr>
        <w:t xml:space="preserve"> de los recursos disponibles</w:t>
      </w:r>
      <w:r w:rsidR="00335EA2">
        <w:rPr>
          <w:lang w:val="es-419"/>
        </w:rPr>
        <w:t xml:space="preserve"> </w:t>
      </w:r>
      <w:r w:rsidR="008364BE">
        <w:rPr>
          <w:lang w:val="es-419"/>
        </w:rPr>
        <w:t>y desigualdad</w:t>
      </w:r>
    </w:p>
    <w:p w14:paraId="56A4CB1E" w14:textId="32A4226B" w:rsidR="00A004B9" w:rsidRDefault="000F0DB1" w:rsidP="004B0ADD">
      <w:pPr>
        <w:pStyle w:val="SingleTxtG"/>
        <w:numPr>
          <w:ilvl w:val="0"/>
          <w:numId w:val="46"/>
        </w:numPr>
        <w:tabs>
          <w:tab w:val="clear" w:pos="1701"/>
          <w:tab w:val="clear" w:pos="2268"/>
          <w:tab w:val="clear" w:pos="2835"/>
        </w:tabs>
        <w:ind w:left="1134" w:firstLine="0"/>
        <w:rPr>
          <w:lang w:val="es-419"/>
        </w:rPr>
      </w:pPr>
      <w:r>
        <w:rPr>
          <w:lang w:val="es-419"/>
        </w:rPr>
        <w:t>El Comité observa con preocupación</w:t>
      </w:r>
      <w:r w:rsidR="008364BE">
        <w:rPr>
          <w:lang w:val="es-419"/>
        </w:rPr>
        <w:t xml:space="preserve"> los altos niveles de desigualdad en el Estado parte, agravados por</w:t>
      </w:r>
      <w:r w:rsidR="000813C0">
        <w:rPr>
          <w:lang w:val="es-419"/>
        </w:rPr>
        <w:t xml:space="preserve"> el carácter regresivo de</w:t>
      </w:r>
      <w:r w:rsidR="008364BE">
        <w:rPr>
          <w:lang w:val="es-419"/>
        </w:rPr>
        <w:t xml:space="preserve"> su</w:t>
      </w:r>
      <w:r w:rsidR="000813C0">
        <w:rPr>
          <w:lang w:val="es-419"/>
        </w:rPr>
        <w:t xml:space="preserve"> sistema tributario que depende desproporcionadamente de los impuestos indirectos. El Comité continúa preocupado además por </w:t>
      </w:r>
      <w:r w:rsidR="008364BE">
        <w:rPr>
          <w:lang w:val="es-419"/>
        </w:rPr>
        <w:t xml:space="preserve">la </w:t>
      </w:r>
      <w:r w:rsidR="00F72B1F">
        <w:rPr>
          <w:lang w:val="es-419"/>
        </w:rPr>
        <w:t xml:space="preserve">escasa recaudación fiscal que continúa limitando sobremanera la inversión en gasto social </w:t>
      </w:r>
      <w:r>
        <w:rPr>
          <w:lang w:val="es-419"/>
        </w:rPr>
        <w:t>(art. 2)</w:t>
      </w:r>
    </w:p>
    <w:p w14:paraId="0B1132A4" w14:textId="391B895B" w:rsidR="00A004B9" w:rsidRPr="00E2137F" w:rsidRDefault="00A004B9" w:rsidP="004B0ADD">
      <w:pPr>
        <w:pStyle w:val="SingleTxtG"/>
        <w:numPr>
          <w:ilvl w:val="0"/>
          <w:numId w:val="46"/>
        </w:numPr>
        <w:tabs>
          <w:tab w:val="clear" w:pos="1701"/>
          <w:tab w:val="clear" w:pos="2268"/>
          <w:tab w:val="clear" w:pos="2835"/>
        </w:tabs>
        <w:ind w:left="1134" w:firstLine="0"/>
        <w:rPr>
          <w:b/>
        </w:rPr>
      </w:pPr>
      <w:r w:rsidRPr="005836AA">
        <w:rPr>
          <w:b/>
        </w:rPr>
        <w:t xml:space="preserve">El Comité </w:t>
      </w:r>
      <w:r w:rsidR="000F0DB1">
        <w:rPr>
          <w:b/>
        </w:rPr>
        <w:t>reitera su anterior recomendación</w:t>
      </w:r>
      <w:r w:rsidR="00B966E3">
        <w:rPr>
          <w:rStyle w:val="FootnoteReference"/>
          <w:b/>
        </w:rPr>
        <w:footnoteReference w:id="7"/>
      </w:r>
      <w:r w:rsidR="000F0DB1">
        <w:rPr>
          <w:b/>
        </w:rPr>
        <w:t xml:space="preserve"> </w:t>
      </w:r>
      <w:r w:rsidR="00B966E3">
        <w:rPr>
          <w:b/>
        </w:rPr>
        <w:t xml:space="preserve">e insta </w:t>
      </w:r>
      <w:r w:rsidRPr="005836AA">
        <w:rPr>
          <w:b/>
        </w:rPr>
        <w:t xml:space="preserve">al Estado parte </w:t>
      </w:r>
      <w:r>
        <w:rPr>
          <w:b/>
        </w:rPr>
        <w:t xml:space="preserve">que </w:t>
      </w:r>
      <w:r w:rsidRPr="005836AA">
        <w:rPr>
          <w:b/>
        </w:rPr>
        <w:t xml:space="preserve">redoble sus esfuerzos para asegurar que la política tributaria del Estado parte sea eficaz, progresiva y socialmente justa, con el objetivo de combatir las desigualdades económicas y mejorar la disponibilidad de recursos destinados a la implementación de los derechos económicos, sociales y culturales. El Comité insta al Estado parte a combatir </w:t>
      </w:r>
      <w:r w:rsidRPr="00A004B9">
        <w:rPr>
          <w:b/>
          <w:lang w:val="es-419"/>
        </w:rPr>
        <w:t>enérgicamente</w:t>
      </w:r>
      <w:r w:rsidRPr="005836AA">
        <w:rPr>
          <w:b/>
        </w:rPr>
        <w:t xml:space="preserve"> la evasión de impuestos y el fraude fiscal</w:t>
      </w:r>
      <w:r w:rsidR="008364BE">
        <w:rPr>
          <w:b/>
        </w:rPr>
        <w:t xml:space="preserve"> con medidas</w:t>
      </w:r>
      <w:r w:rsidR="00E2615C">
        <w:rPr>
          <w:b/>
        </w:rPr>
        <w:t xml:space="preserve"> tales</w:t>
      </w:r>
      <w:r w:rsidR="008364BE">
        <w:rPr>
          <w:b/>
        </w:rPr>
        <w:t xml:space="preserve"> como el fortalecimiento de la Superintendencia de Administración Tributaria</w:t>
      </w:r>
      <w:r w:rsidRPr="005836AA">
        <w:rPr>
          <w:b/>
        </w:rPr>
        <w:t>. Asimismo, le recomienda que tanto el proceso de reforma para fortalecer la política fiscal como el procedimiento de asignación del presupuesto se realicen de manera transparente y participativa.</w:t>
      </w:r>
    </w:p>
    <w:p w14:paraId="2DD070E8" w14:textId="05F4ABE3" w:rsidR="00121123" w:rsidRPr="004B0ADD" w:rsidRDefault="00B966E3" w:rsidP="004B0ADD">
      <w:pPr>
        <w:pStyle w:val="H23G"/>
        <w:ind w:firstLine="0"/>
        <w:rPr>
          <w:lang w:val="es-419"/>
        </w:rPr>
      </w:pPr>
      <w:r>
        <w:rPr>
          <w:lang w:val="es-419"/>
        </w:rPr>
        <w:t>No discriminación</w:t>
      </w:r>
    </w:p>
    <w:p w14:paraId="30883805" w14:textId="47316733" w:rsidR="00FB2CBE" w:rsidRDefault="002E515D" w:rsidP="004B0ADD">
      <w:pPr>
        <w:pStyle w:val="SingleTxtG"/>
        <w:numPr>
          <w:ilvl w:val="0"/>
          <w:numId w:val="46"/>
        </w:numPr>
        <w:tabs>
          <w:tab w:val="clear" w:pos="1701"/>
          <w:tab w:val="clear" w:pos="2268"/>
          <w:tab w:val="clear" w:pos="2835"/>
        </w:tabs>
        <w:ind w:left="1134" w:firstLine="0"/>
      </w:pPr>
      <w:r>
        <w:rPr>
          <w:lang w:val="es-419"/>
        </w:rPr>
        <w:t>P</w:t>
      </w:r>
      <w:r>
        <w:rPr>
          <w:lang w:val="es-ES_tradnl"/>
        </w:rPr>
        <w:t xml:space="preserve">reocupa al Comité la persistente discriminación que enfrentan los </w:t>
      </w:r>
      <w:r>
        <w:t>pueblos indígenas y afrodescendientes en el goce de sus derechos económicos, sociales y culturales. A</w:t>
      </w:r>
      <w:r w:rsidR="00F93B7A">
        <w:t>simismo, le preocupa que las personas con discapacidad y las personas lesbianas, gais, bisexuales, transgénero</w:t>
      </w:r>
      <w:r w:rsidR="008364BE">
        <w:t xml:space="preserve"> e Intersexuales (LGBTI)</w:t>
      </w:r>
      <w:r w:rsidR="00F93B7A">
        <w:t xml:space="preserve"> continúen siendo víctimas de </w:t>
      </w:r>
      <w:r>
        <w:t>estigmatización y discriminación</w:t>
      </w:r>
      <w:r w:rsidR="00F93B7A">
        <w:t xml:space="preserve"> impidiéndoles gozar de sus derechos económicos sociales y culturales en condiciones de igualdad. El Comité expresa su preocupación respecto de la Iniciativa de ley 5940 “</w:t>
      </w:r>
      <w:r w:rsidR="00FB2CBE">
        <w:t xml:space="preserve">ley para garantizar la protección integral de la niñez y adolescencia contra los </w:t>
      </w:r>
      <w:r w:rsidR="00FB2CBE">
        <w:lastRenderedPageBreak/>
        <w:t>trast</w:t>
      </w:r>
      <w:r w:rsidR="00F93B7A">
        <w:t>ornos de la identidad de género” presentada al Congreso Nacional</w:t>
      </w:r>
      <w:r w:rsidR="008364BE">
        <w:t xml:space="preserve"> por su impacto en el reforzamiento de estigmas en contra de la población LGBTI</w:t>
      </w:r>
      <w:r w:rsidR="00B966E3">
        <w:t xml:space="preserve"> (art. 2, párr. 2)</w:t>
      </w:r>
      <w:r w:rsidR="00F93B7A">
        <w:t xml:space="preserve">. </w:t>
      </w:r>
    </w:p>
    <w:p w14:paraId="0168E9F6" w14:textId="0E9ED911" w:rsidR="00B966E3" w:rsidRDefault="00F93B7A" w:rsidP="004B0ADD">
      <w:pPr>
        <w:pStyle w:val="SingleTxtG"/>
        <w:numPr>
          <w:ilvl w:val="0"/>
          <w:numId w:val="46"/>
        </w:numPr>
        <w:tabs>
          <w:tab w:val="clear" w:pos="1701"/>
          <w:tab w:val="clear" w:pos="2268"/>
          <w:tab w:val="clear" w:pos="2835"/>
        </w:tabs>
        <w:ind w:left="1134" w:firstLine="0"/>
        <w:rPr>
          <w:b/>
        </w:rPr>
      </w:pPr>
      <w:r>
        <w:rPr>
          <w:b/>
        </w:rPr>
        <w:t>El Comité recomienda al Estado parte que</w:t>
      </w:r>
      <w:r w:rsidR="005B1669">
        <w:rPr>
          <w:b/>
        </w:rPr>
        <w:t xml:space="preserve">: </w:t>
      </w:r>
    </w:p>
    <w:p w14:paraId="24660C1E" w14:textId="19763A11" w:rsidR="00F93B7A" w:rsidRPr="005B1669" w:rsidRDefault="005B1669" w:rsidP="004B0ADD">
      <w:pPr>
        <w:pStyle w:val="SingleTxtG"/>
        <w:numPr>
          <w:ilvl w:val="0"/>
          <w:numId w:val="24"/>
        </w:numPr>
        <w:tabs>
          <w:tab w:val="clear" w:pos="1701"/>
          <w:tab w:val="clear" w:pos="2268"/>
          <w:tab w:val="clear" w:pos="2835"/>
        </w:tabs>
        <w:ind w:left="1134" w:firstLine="567"/>
        <w:rPr>
          <w:rFonts w:eastAsia="Times New Roman"/>
          <w:b/>
        </w:rPr>
      </w:pPr>
      <w:r>
        <w:rPr>
          <w:b/>
        </w:rPr>
        <w:t>A</w:t>
      </w:r>
      <w:r w:rsidR="00F93B7A">
        <w:rPr>
          <w:b/>
        </w:rPr>
        <w:t>dopte una ley integral contra la discriminación que garantice una protección suficiente contra la discriminación de conformidad al artículo 2 del Pacto</w:t>
      </w:r>
      <w:r>
        <w:rPr>
          <w:b/>
        </w:rPr>
        <w:t xml:space="preserve"> que: i) i</w:t>
      </w:r>
      <w:r w:rsidR="00F93B7A" w:rsidRPr="005B1669">
        <w:rPr>
          <w:b/>
        </w:rPr>
        <w:t>ncluya explícitamente todos los motivos de discriminación prohibidos que se enumeran en el artículo 2 del Pacto y en la Observación General</w:t>
      </w:r>
      <w:r>
        <w:rPr>
          <w:b/>
        </w:rPr>
        <w:t xml:space="preserve"> N° 20</w:t>
      </w:r>
      <w:r w:rsidR="00787A85">
        <w:rPr>
          <w:b/>
        </w:rPr>
        <w:t xml:space="preserve"> (2009)</w:t>
      </w:r>
      <w:r w:rsidR="00EC3F04">
        <w:rPr>
          <w:rStyle w:val="FootnoteReference"/>
          <w:b/>
        </w:rPr>
        <w:footnoteReference w:id="8"/>
      </w:r>
      <w:r w:rsidR="00787A85">
        <w:rPr>
          <w:b/>
        </w:rPr>
        <w:t xml:space="preserve"> sobre la no discriminación y los derechos económicos, sociales y culturales</w:t>
      </w:r>
      <w:r>
        <w:rPr>
          <w:b/>
        </w:rPr>
        <w:t>; ii) d</w:t>
      </w:r>
      <w:r w:rsidR="00F93B7A" w:rsidRPr="005B1669">
        <w:rPr>
          <w:b/>
        </w:rPr>
        <w:t>efina la discriminación directa e indirecta de acuerdo a las obligaciones que incumben al Estado parte en virtud del Pacto</w:t>
      </w:r>
      <w:r>
        <w:rPr>
          <w:b/>
        </w:rPr>
        <w:t>; iii) p</w:t>
      </w:r>
      <w:r w:rsidR="00F93B7A" w:rsidRPr="005B1669">
        <w:rPr>
          <w:b/>
        </w:rPr>
        <w:t xml:space="preserve">rohíba la discriminación tanto en el ámbito público como en el privado; </w:t>
      </w:r>
      <w:r>
        <w:rPr>
          <w:rFonts w:eastAsia="Times New Roman"/>
          <w:b/>
        </w:rPr>
        <w:t xml:space="preserve">iv) </w:t>
      </w:r>
      <w:r>
        <w:rPr>
          <w:b/>
        </w:rPr>
        <w:t>d</w:t>
      </w:r>
      <w:r w:rsidR="00F93B7A" w:rsidRPr="005B1669">
        <w:rPr>
          <w:b/>
        </w:rPr>
        <w:t>etermine mecanismos judiciales y administrativos efectivos para la protección contra la discriminación, incluso mediante la incorporación de disposiciones que permitan obtener reparació</w:t>
      </w:r>
      <w:r w:rsidR="00295145" w:rsidRPr="005B1669">
        <w:rPr>
          <w:b/>
        </w:rPr>
        <w:t xml:space="preserve">n en casos de discriminación; </w:t>
      </w:r>
    </w:p>
    <w:p w14:paraId="5CA961EF" w14:textId="004E3A22" w:rsidR="005B1669" w:rsidRDefault="005B1669" w:rsidP="004B0ADD">
      <w:pPr>
        <w:pStyle w:val="SingleTxtG"/>
        <w:numPr>
          <w:ilvl w:val="0"/>
          <w:numId w:val="24"/>
        </w:numPr>
        <w:tabs>
          <w:tab w:val="clear" w:pos="1701"/>
          <w:tab w:val="clear" w:pos="2268"/>
          <w:tab w:val="clear" w:pos="2835"/>
        </w:tabs>
        <w:ind w:left="1134" w:firstLine="567"/>
        <w:rPr>
          <w:b/>
        </w:rPr>
      </w:pPr>
      <w:r>
        <w:rPr>
          <w:b/>
        </w:rPr>
        <w:t xml:space="preserve">Adopte las medidas necesarias, incluyendo medidas especiales de acción afirmativa para prevenir y combatir la persistente discriminación contra todas las personas o grupos desfavorecidos o marginados, en particular los pueblos indígenas y afrodescendientes, inclusive mediante campañas de sensibilización, a fin de garantizarles pleno ejercicio de los derechos reconocidos por el Pacto; </w:t>
      </w:r>
    </w:p>
    <w:p w14:paraId="419B867B" w14:textId="77777777" w:rsidR="004B0ADD" w:rsidRPr="004B0ADD" w:rsidRDefault="005B1669" w:rsidP="004B0ADD">
      <w:pPr>
        <w:pStyle w:val="SingleTxtG"/>
        <w:numPr>
          <w:ilvl w:val="0"/>
          <w:numId w:val="24"/>
        </w:numPr>
        <w:tabs>
          <w:tab w:val="clear" w:pos="1701"/>
          <w:tab w:val="clear" w:pos="2268"/>
          <w:tab w:val="clear" w:pos="2835"/>
        </w:tabs>
        <w:ind w:left="1134" w:firstLine="567"/>
        <w:rPr>
          <w:b/>
        </w:rPr>
      </w:pPr>
      <w:r>
        <w:rPr>
          <w:b/>
        </w:rPr>
        <w:t>Remueva de su ordenamiento jurídico toda norma o iniciativa de ley que pudiera discriminar por razones de orientación sexual o identidad de género.</w:t>
      </w:r>
    </w:p>
    <w:p w14:paraId="4C84C206" w14:textId="77777777" w:rsidR="00295145" w:rsidRPr="004B0ADD" w:rsidRDefault="00295145" w:rsidP="004B0ADD">
      <w:pPr>
        <w:pStyle w:val="H23G"/>
        <w:ind w:firstLine="0"/>
        <w:rPr>
          <w:lang w:val="es-419"/>
        </w:rPr>
      </w:pPr>
      <w:r w:rsidRPr="004B0ADD">
        <w:rPr>
          <w:lang w:val="es-419"/>
        </w:rPr>
        <w:t xml:space="preserve">Igualdad entre hombres y mujeres </w:t>
      </w:r>
    </w:p>
    <w:p w14:paraId="1C144B54" w14:textId="30409C5C" w:rsidR="00295145" w:rsidRDefault="00E93A18" w:rsidP="004B0ADD">
      <w:pPr>
        <w:pStyle w:val="SingleTxtG"/>
        <w:numPr>
          <w:ilvl w:val="0"/>
          <w:numId w:val="46"/>
        </w:numPr>
        <w:tabs>
          <w:tab w:val="clear" w:pos="1701"/>
          <w:tab w:val="clear" w:pos="2268"/>
          <w:tab w:val="clear" w:pos="2835"/>
        </w:tabs>
        <w:ind w:left="1134" w:firstLine="0"/>
      </w:pPr>
      <w:r>
        <w:t>Preocupa al Comité las p</w:t>
      </w:r>
      <w:r w:rsidR="00295145">
        <w:t xml:space="preserve">ersistentes desigualdades </w:t>
      </w:r>
      <w:r>
        <w:t xml:space="preserve">entre hombres y mujeres </w:t>
      </w:r>
      <w:r w:rsidR="00295145">
        <w:t>basad</w:t>
      </w:r>
      <w:r w:rsidR="00012BF8">
        <w:t>a</w:t>
      </w:r>
      <w:r w:rsidR="00295145">
        <w:t>s en los estereotipos</w:t>
      </w:r>
      <w:r>
        <w:t xml:space="preserve"> de género que continúan </w:t>
      </w:r>
      <w:r w:rsidR="00D57F28">
        <w:t xml:space="preserve">profundamente arraigados en la familia y la </w:t>
      </w:r>
      <w:r w:rsidR="008847C3">
        <w:t>socieda</w:t>
      </w:r>
      <w:r w:rsidR="00D57F28">
        <w:t>d</w:t>
      </w:r>
      <w:r w:rsidR="008847C3">
        <w:t xml:space="preserve"> </w:t>
      </w:r>
      <w:r w:rsidR="008847C3" w:rsidRPr="00576377">
        <w:t xml:space="preserve">lo que </w:t>
      </w:r>
      <w:r w:rsidR="008847C3">
        <w:t xml:space="preserve">les </w:t>
      </w:r>
      <w:r w:rsidR="008847C3" w:rsidRPr="00576377">
        <w:t>dificulta el pleno goce de los derechos económicos, sociales y cul</w:t>
      </w:r>
      <w:r w:rsidR="008847C3">
        <w:t>turales, en particular el acceso al trabajo, a la seguridad social, a un nivel de vida adecuado, a la salud</w:t>
      </w:r>
      <w:r w:rsidR="00E91BD6">
        <w:t xml:space="preserve"> y a la educación</w:t>
      </w:r>
      <w:r w:rsidR="00012BF8">
        <w:t xml:space="preserve"> (art. 3)</w:t>
      </w:r>
      <w:r w:rsidR="008847C3">
        <w:t xml:space="preserve">. </w:t>
      </w:r>
    </w:p>
    <w:p w14:paraId="519AA59D" w14:textId="7465B29F" w:rsidR="00E91BD6" w:rsidRPr="00012BF8" w:rsidRDefault="00E91BD6" w:rsidP="004B0ADD">
      <w:pPr>
        <w:pStyle w:val="SingleTxtG"/>
        <w:numPr>
          <w:ilvl w:val="0"/>
          <w:numId w:val="46"/>
        </w:numPr>
        <w:tabs>
          <w:tab w:val="clear" w:pos="1701"/>
          <w:tab w:val="clear" w:pos="2268"/>
          <w:tab w:val="clear" w:pos="2835"/>
        </w:tabs>
        <w:ind w:left="1134" w:firstLine="0"/>
        <w:rPr>
          <w:rFonts w:eastAsia="Times New Roman"/>
          <w:lang w:eastAsia="es-ES_tradnl"/>
        </w:rPr>
      </w:pPr>
      <w:r w:rsidRPr="00012BF8">
        <w:rPr>
          <w:b/>
        </w:rPr>
        <w:t>El Comité recomienda al Estado parte que</w:t>
      </w:r>
      <w:r w:rsidR="00035C80">
        <w:rPr>
          <w:b/>
        </w:rPr>
        <w:t xml:space="preserve"> tome</w:t>
      </w:r>
      <w:r w:rsidRPr="00012BF8">
        <w:rPr>
          <w:b/>
        </w:rPr>
        <w:t xml:space="preserve"> todas las medidas necesarias para eliminar la persistente desigualdad entre hombres y mujeres, y promueva el pleno acceso de las mujeres al empleo, </w:t>
      </w:r>
      <w:r w:rsidR="00012BF8" w:rsidRPr="00012BF8">
        <w:rPr>
          <w:b/>
        </w:rPr>
        <w:t xml:space="preserve">a la </w:t>
      </w:r>
      <w:r w:rsidRPr="00012BF8">
        <w:rPr>
          <w:b/>
        </w:rPr>
        <w:t>seguridad social,</w:t>
      </w:r>
      <w:r w:rsidR="00012BF8" w:rsidRPr="00012BF8">
        <w:rPr>
          <w:b/>
        </w:rPr>
        <w:t xml:space="preserve"> a</w:t>
      </w:r>
      <w:r w:rsidRPr="00012BF8">
        <w:rPr>
          <w:b/>
        </w:rPr>
        <w:t xml:space="preserve"> </w:t>
      </w:r>
      <w:r w:rsidR="00012BF8" w:rsidRPr="00012BF8">
        <w:rPr>
          <w:b/>
        </w:rPr>
        <w:t xml:space="preserve">servicios de salud, </w:t>
      </w:r>
      <w:r w:rsidRPr="00012BF8">
        <w:rPr>
          <w:b/>
        </w:rPr>
        <w:t xml:space="preserve">educación, así como acceso a la tierra y a proyectos productivos. El Comité insta al Estado parte a acelerar el proceso de discusión y aprobación de la iniciativa de ley 5452 </w:t>
      </w:r>
      <w:r w:rsidR="00035C80">
        <w:rPr>
          <w:b/>
        </w:rPr>
        <w:t>“</w:t>
      </w:r>
      <w:r w:rsidRPr="00012BF8">
        <w:rPr>
          <w:b/>
        </w:rPr>
        <w:t>Ley para el Empoderamiento Económico de las Mujeres.</w:t>
      </w:r>
      <w:r w:rsidR="00035C80">
        <w:rPr>
          <w:b/>
        </w:rPr>
        <w:t>”</w:t>
      </w:r>
      <w:r w:rsidRPr="00012BF8">
        <w:rPr>
          <w:b/>
        </w:rPr>
        <w:t xml:space="preserve"> </w:t>
      </w:r>
      <w:r w:rsidR="00012BF8" w:rsidRPr="00012BF8">
        <w:rPr>
          <w:b/>
        </w:rPr>
        <w:t>El Comité remite al Estado parte a su observación general núm. 16 (2005)</w:t>
      </w:r>
      <w:r w:rsidR="00035C80">
        <w:rPr>
          <w:rStyle w:val="FootnoteReference"/>
          <w:b/>
        </w:rPr>
        <w:footnoteReference w:id="9"/>
      </w:r>
      <w:r w:rsidR="00012BF8" w:rsidRPr="00012BF8">
        <w:rPr>
          <w:b/>
        </w:rPr>
        <w:t xml:space="preserve"> sobre la igualdad de derechos del hombre y la mujer al disfrute de los derechos económicos, sociales y culturales.</w:t>
      </w:r>
      <w:r w:rsidR="00012BF8" w:rsidRPr="00012BF8">
        <w:rPr>
          <w:rFonts w:ascii="TimesNewRomanBold" w:eastAsia="Times New Roman" w:hAnsi="TimesNewRomanBold"/>
          <w:sz w:val="22"/>
          <w:szCs w:val="22"/>
          <w:lang w:eastAsia="es-ES_tradnl"/>
        </w:rPr>
        <w:t xml:space="preserve"> </w:t>
      </w:r>
    </w:p>
    <w:p w14:paraId="34D0588B" w14:textId="77777777" w:rsidR="00903607" w:rsidRPr="004B0ADD" w:rsidRDefault="00903607" w:rsidP="004B0ADD">
      <w:pPr>
        <w:pStyle w:val="H23G"/>
        <w:ind w:firstLine="0"/>
        <w:rPr>
          <w:lang w:val="es-419"/>
        </w:rPr>
      </w:pPr>
      <w:r w:rsidRPr="00A51030">
        <w:rPr>
          <w:lang w:val="es-419"/>
        </w:rPr>
        <w:t>Derecho</w:t>
      </w:r>
      <w:r w:rsidRPr="004B0ADD">
        <w:rPr>
          <w:lang w:val="es-419"/>
        </w:rPr>
        <w:t xml:space="preserve"> al trabajo</w:t>
      </w:r>
    </w:p>
    <w:p w14:paraId="37E1A48A" w14:textId="5CCDCBD1" w:rsidR="00FF4E28" w:rsidRDefault="00A51030" w:rsidP="004B0ADD">
      <w:pPr>
        <w:pStyle w:val="SingleTxtG"/>
        <w:numPr>
          <w:ilvl w:val="0"/>
          <w:numId w:val="46"/>
        </w:numPr>
        <w:tabs>
          <w:tab w:val="clear" w:pos="1701"/>
          <w:tab w:val="clear" w:pos="2268"/>
          <w:tab w:val="clear" w:pos="2835"/>
        </w:tabs>
        <w:ind w:left="1134" w:firstLine="0"/>
        <w:rPr>
          <w:lang w:val="es-419"/>
        </w:rPr>
      </w:pPr>
      <w:r>
        <w:rPr>
          <w:lang w:val="es-419"/>
        </w:rPr>
        <w:t>Preocupa al C</w:t>
      </w:r>
      <w:r w:rsidR="00301705">
        <w:rPr>
          <w:lang w:val="es-419"/>
        </w:rPr>
        <w:t xml:space="preserve">omité </w:t>
      </w:r>
      <w:r w:rsidR="004B0ADD">
        <w:rPr>
          <w:lang w:val="es-419"/>
        </w:rPr>
        <w:t>el número significativo de</w:t>
      </w:r>
      <w:r w:rsidR="00012BF8">
        <w:rPr>
          <w:lang w:val="es-419"/>
        </w:rPr>
        <w:t xml:space="preserve"> personas que </w:t>
      </w:r>
      <w:r w:rsidR="00301705">
        <w:rPr>
          <w:lang w:val="es-419"/>
        </w:rPr>
        <w:t xml:space="preserve">labora en el sector informal de la economía </w:t>
      </w:r>
      <w:r>
        <w:rPr>
          <w:lang w:val="es-419"/>
        </w:rPr>
        <w:t>y que</w:t>
      </w:r>
      <w:r w:rsidR="008364BE">
        <w:rPr>
          <w:lang w:val="es-419"/>
        </w:rPr>
        <w:t xml:space="preserve"> por</w:t>
      </w:r>
      <w:r>
        <w:rPr>
          <w:lang w:val="es-419"/>
        </w:rPr>
        <w:t xml:space="preserve"> lo tanto no gozan de protección laboral ni tienen acceso a la seguridad social</w:t>
      </w:r>
      <w:r w:rsidR="00012BF8">
        <w:rPr>
          <w:lang w:val="es-419"/>
        </w:rPr>
        <w:t xml:space="preserve"> (art. 6)</w:t>
      </w:r>
      <w:r w:rsidR="00903607" w:rsidRPr="00903607">
        <w:rPr>
          <w:lang w:val="es-419"/>
        </w:rPr>
        <w:t>.</w:t>
      </w:r>
      <w:r w:rsidR="00FF4E28">
        <w:rPr>
          <w:lang w:val="es-419"/>
        </w:rPr>
        <w:t xml:space="preserve"> </w:t>
      </w:r>
    </w:p>
    <w:p w14:paraId="66720604" w14:textId="39BB4FA3" w:rsidR="00FF4E28" w:rsidRDefault="00FF4E28" w:rsidP="004B0ADD">
      <w:pPr>
        <w:pStyle w:val="SingleTxtG"/>
        <w:numPr>
          <w:ilvl w:val="0"/>
          <w:numId w:val="46"/>
        </w:numPr>
        <w:tabs>
          <w:tab w:val="clear" w:pos="1701"/>
          <w:tab w:val="clear" w:pos="2268"/>
          <w:tab w:val="clear" w:pos="2835"/>
        </w:tabs>
        <w:ind w:left="1134" w:firstLine="0"/>
        <w:rPr>
          <w:rFonts w:eastAsia="Times New Roman"/>
          <w:b/>
          <w:bCs/>
        </w:rPr>
      </w:pPr>
      <w:r>
        <w:rPr>
          <w:b/>
          <w:bCs/>
          <w:lang w:val="es-419"/>
        </w:rPr>
        <w:t xml:space="preserve">El Comité recomienda al Estado parte que </w:t>
      </w:r>
      <w:r>
        <w:rPr>
          <w:b/>
          <w:bCs/>
        </w:rPr>
        <w:t xml:space="preserve">adopte una estrategia integral sobre el empleo que incluya un plan de acción con metas específicas para favorecer </w:t>
      </w:r>
      <w:r w:rsidR="009B7E9D">
        <w:rPr>
          <w:b/>
          <w:bCs/>
        </w:rPr>
        <w:t xml:space="preserve">la creación de </w:t>
      </w:r>
      <w:r>
        <w:rPr>
          <w:b/>
          <w:bCs/>
        </w:rPr>
        <w:t>empleo en el sector formal de la economía</w:t>
      </w:r>
      <w:r w:rsidR="009B7E9D">
        <w:rPr>
          <w:b/>
          <w:bCs/>
        </w:rPr>
        <w:t xml:space="preserve"> a fin de reducir </w:t>
      </w:r>
      <w:r w:rsidR="008364BE">
        <w:rPr>
          <w:b/>
          <w:bCs/>
        </w:rPr>
        <w:t xml:space="preserve">progresivamente </w:t>
      </w:r>
      <w:r w:rsidR="009B7E9D">
        <w:rPr>
          <w:b/>
          <w:bCs/>
        </w:rPr>
        <w:t xml:space="preserve">el número de trabajadores del sector informal. Asimismo, le recomienda que adopte las medidas necesarias </w:t>
      </w:r>
      <w:r w:rsidR="008364BE">
        <w:rPr>
          <w:b/>
          <w:bCs/>
        </w:rPr>
        <w:t xml:space="preserve">para </w:t>
      </w:r>
      <w:r w:rsidR="009B7E9D">
        <w:rPr>
          <w:b/>
          <w:bCs/>
        </w:rPr>
        <w:t>garantizar que las personas que trabajan en el sector informal tengan acceso a los beneficios básicos laborales, a la seguridad social y demás derechos contemplados en el Pacto.</w:t>
      </w:r>
      <w:r w:rsidR="006741D8">
        <w:rPr>
          <w:b/>
          <w:bCs/>
        </w:rPr>
        <w:t xml:space="preserve"> Le recomienda que, en la medida de lo posible, realice inspecciones sobre las condiciones de trabajo en el sector informal.</w:t>
      </w:r>
      <w:r w:rsidR="009B7E9D">
        <w:rPr>
          <w:b/>
          <w:bCs/>
        </w:rPr>
        <w:t xml:space="preserve"> </w:t>
      </w:r>
      <w:r w:rsidR="006741D8">
        <w:rPr>
          <w:b/>
          <w:bCs/>
        </w:rPr>
        <w:t xml:space="preserve">Finalmente, el </w:t>
      </w:r>
      <w:r w:rsidR="009B7E9D">
        <w:rPr>
          <w:b/>
          <w:bCs/>
        </w:rPr>
        <w:t xml:space="preserve">Comité recomienda al Estado parte que diseñe e implemente </w:t>
      </w:r>
      <w:r>
        <w:rPr>
          <w:b/>
          <w:bCs/>
        </w:rPr>
        <w:t xml:space="preserve">programas de </w:t>
      </w:r>
      <w:r w:rsidRPr="00E32B38">
        <w:rPr>
          <w:b/>
          <w:bCs/>
        </w:rPr>
        <w:t xml:space="preserve">formación </w:t>
      </w:r>
      <w:r>
        <w:rPr>
          <w:b/>
          <w:bCs/>
        </w:rPr>
        <w:t>y capacitación técnica y profes</w:t>
      </w:r>
      <w:r w:rsidRPr="00E32B38">
        <w:rPr>
          <w:b/>
          <w:bCs/>
        </w:rPr>
        <w:t xml:space="preserve">ional </w:t>
      </w:r>
      <w:r>
        <w:rPr>
          <w:b/>
          <w:bCs/>
        </w:rPr>
        <w:t xml:space="preserve">de calidad adaptados a las necesidades del mercado </w:t>
      </w:r>
      <w:r>
        <w:rPr>
          <w:b/>
          <w:bCs/>
        </w:rPr>
        <w:lastRenderedPageBreak/>
        <w:t xml:space="preserve">del trabajo y </w:t>
      </w:r>
      <w:r w:rsidRPr="00E32B38">
        <w:rPr>
          <w:b/>
          <w:bCs/>
        </w:rPr>
        <w:t>teniendo en cuenta las necesidades de las personas y los grupos</w:t>
      </w:r>
      <w:r>
        <w:rPr>
          <w:b/>
          <w:bCs/>
        </w:rPr>
        <w:t xml:space="preserve"> más desfavorecidos y marginados. </w:t>
      </w:r>
    </w:p>
    <w:p w14:paraId="3F5DB706" w14:textId="4BA7D982" w:rsidR="00F82613" w:rsidRPr="004B0ADD" w:rsidRDefault="009B7E9D" w:rsidP="004B0ADD">
      <w:pPr>
        <w:pStyle w:val="H23G"/>
        <w:ind w:firstLine="0"/>
        <w:rPr>
          <w:lang w:val="es-419"/>
        </w:rPr>
      </w:pPr>
      <w:r>
        <w:rPr>
          <w:lang w:val="es-419"/>
        </w:rPr>
        <w:t>Salario</w:t>
      </w:r>
      <w:r w:rsidR="005B7A0F">
        <w:rPr>
          <w:lang w:val="es-419"/>
        </w:rPr>
        <w:t xml:space="preserve"> mínimo </w:t>
      </w:r>
    </w:p>
    <w:p w14:paraId="0943266B" w14:textId="2E482837" w:rsidR="005B7A0F" w:rsidRDefault="005B7A0F" w:rsidP="004B0ADD">
      <w:pPr>
        <w:pStyle w:val="SingleTxtG"/>
        <w:numPr>
          <w:ilvl w:val="0"/>
          <w:numId w:val="46"/>
        </w:numPr>
        <w:tabs>
          <w:tab w:val="clear" w:pos="1701"/>
          <w:tab w:val="clear" w:pos="2268"/>
          <w:tab w:val="clear" w:pos="2835"/>
        </w:tabs>
        <w:ind w:left="1134" w:firstLine="0"/>
        <w:rPr>
          <w:rFonts w:eastAsia="Times New Roman"/>
        </w:rPr>
      </w:pPr>
      <w:r>
        <w:t>Preocupa al Comité</w:t>
      </w:r>
      <w:r w:rsidR="008364BE">
        <w:t xml:space="preserve"> los impactos desproporcionados que pueda tener sobre </w:t>
      </w:r>
      <w:r w:rsidR="00E762DA">
        <w:t xml:space="preserve">el ingreso </w:t>
      </w:r>
      <w:r w:rsidR="008364BE">
        <w:t xml:space="preserve">los trabajadores el ajuste al salario mínimo por circunscripciones y que éste </w:t>
      </w:r>
      <w:r w:rsidR="009B7E9D">
        <w:t>continúe siendo in</w:t>
      </w:r>
      <w:r>
        <w:t>suficiente para asegurar un nivel de vida digno para los trabajadores y sus familias</w:t>
      </w:r>
      <w:r w:rsidR="000B6F77">
        <w:t>. Le preocupa, además,</w:t>
      </w:r>
      <w:r w:rsidR="008364BE">
        <w:t xml:space="preserve"> el</w:t>
      </w:r>
      <w:r>
        <w:t xml:space="preserve"> número significativo de trabajadores</w:t>
      </w:r>
      <w:r w:rsidR="008364BE">
        <w:t xml:space="preserve"> que</w:t>
      </w:r>
      <w:r>
        <w:t xml:space="preserve"> recib</w:t>
      </w:r>
      <w:r w:rsidR="008364BE">
        <w:t>e</w:t>
      </w:r>
      <w:r>
        <w:t xml:space="preserve"> menos de lo que corresponde </w:t>
      </w:r>
      <w:r w:rsidR="009B7E9D">
        <w:rPr>
          <w:rStyle w:val="CommentReference"/>
          <w:sz w:val="20"/>
          <w:szCs w:val="20"/>
          <w:lang w:eastAsia="en-US"/>
        </w:rPr>
        <w:t>al</w:t>
      </w:r>
      <w:r>
        <w:t xml:space="preserve"> salario mínimo</w:t>
      </w:r>
      <w:r w:rsidR="00B45DA9">
        <w:t xml:space="preserve"> </w:t>
      </w:r>
      <w:r>
        <w:rPr>
          <w:rStyle w:val="FootnoteReference"/>
        </w:rPr>
        <w:t xml:space="preserve"> </w:t>
      </w:r>
      <w:r>
        <w:t>(Art. 7).</w:t>
      </w:r>
    </w:p>
    <w:p w14:paraId="7025840D" w14:textId="62C8DA3B" w:rsidR="005B7A0F" w:rsidRDefault="005B7A0F" w:rsidP="004B0ADD">
      <w:pPr>
        <w:pStyle w:val="SingleTxtG"/>
        <w:numPr>
          <w:ilvl w:val="0"/>
          <w:numId w:val="46"/>
        </w:numPr>
        <w:tabs>
          <w:tab w:val="clear" w:pos="1701"/>
          <w:tab w:val="clear" w:pos="2268"/>
          <w:tab w:val="clear" w:pos="2835"/>
        </w:tabs>
        <w:ind w:left="1134" w:firstLine="0"/>
        <w:rPr>
          <w:b/>
        </w:rPr>
      </w:pPr>
      <w:r>
        <w:rPr>
          <w:b/>
        </w:rPr>
        <w:t xml:space="preserve">El Comité insta </w:t>
      </w:r>
      <w:r>
        <w:rPr>
          <w:b/>
          <w:lang w:val="es-ES_tradnl"/>
        </w:rPr>
        <w:t>al</w:t>
      </w:r>
      <w:r>
        <w:rPr>
          <w:b/>
        </w:rPr>
        <w:t xml:space="preserve"> Estado parte a tomar las medidas legislativas y administrativas necesarias para garantizar que todos los trabajadores perciban un salario mínimo que les permita tener condiciones de vida dignas para ellos y sus familias de acuerdo a lo establecido en el artículo 7, apartado a), inciso ii) del Pacto</w:t>
      </w:r>
      <w:r w:rsidR="008364BE">
        <w:rPr>
          <w:b/>
        </w:rPr>
        <w:t xml:space="preserve"> y a tomar las medidas necesarias para que los ajustes en el salario mínimo no impacten de manera desproporcionada el ingreso que reciben los trabajadores más desfavorecidos y marginados</w:t>
      </w:r>
      <w:r>
        <w:rPr>
          <w:b/>
        </w:rPr>
        <w:t xml:space="preserve">. </w:t>
      </w:r>
    </w:p>
    <w:p w14:paraId="6843188A" w14:textId="2B35732D" w:rsidR="00B45DA9" w:rsidRPr="004B0ADD" w:rsidRDefault="00B45DA9" w:rsidP="004B0ADD">
      <w:pPr>
        <w:pStyle w:val="H23G"/>
        <w:ind w:firstLine="0"/>
        <w:rPr>
          <w:lang w:val="es-419"/>
        </w:rPr>
      </w:pPr>
      <w:r w:rsidRPr="004B0ADD">
        <w:rPr>
          <w:lang w:val="es-419"/>
        </w:rPr>
        <w:t>Condiciones laborales</w:t>
      </w:r>
    </w:p>
    <w:p w14:paraId="6A47D4DD" w14:textId="0A742D24" w:rsidR="005B7A0F" w:rsidRDefault="005B7A0F" w:rsidP="004B0ADD">
      <w:pPr>
        <w:pStyle w:val="SingleTxtG"/>
        <w:numPr>
          <w:ilvl w:val="0"/>
          <w:numId w:val="46"/>
        </w:numPr>
        <w:tabs>
          <w:tab w:val="clear" w:pos="1701"/>
          <w:tab w:val="clear" w:pos="2268"/>
          <w:tab w:val="clear" w:pos="2835"/>
        </w:tabs>
        <w:ind w:left="1134" w:firstLine="0"/>
        <w:rPr>
          <w:rFonts w:eastAsia="Times New Roman"/>
        </w:rPr>
      </w:pPr>
      <w:r>
        <w:t>El Comité lamenta que las condiciones laborales en algunos sectores tales como el sector agr</w:t>
      </w:r>
      <w:r w:rsidR="00B73072">
        <w:t>ícola</w:t>
      </w:r>
      <w:r w:rsidR="00B45DA9">
        <w:t>, principalmente los que trabajan en el cultivo de la palma aceitera y el sector del tr</w:t>
      </w:r>
      <w:r w:rsidR="00B73072">
        <w:t>abajo doméstico sigan siendo precarias</w:t>
      </w:r>
      <w:r w:rsidR="00B45DA9">
        <w:t>. E</w:t>
      </w:r>
      <w:r w:rsidR="002B35E6">
        <w:t>l</w:t>
      </w:r>
      <w:r w:rsidR="00B45DA9">
        <w:t xml:space="preserve"> Comité observa con preocupación que </w:t>
      </w:r>
      <w:r w:rsidR="00B73072">
        <w:t xml:space="preserve">las personas que trabajan en estos sectores </w:t>
      </w:r>
      <w:r w:rsidR="00B45DA9">
        <w:t xml:space="preserve">estén </w:t>
      </w:r>
      <w:r>
        <w:t xml:space="preserve">expuestas a malas condiciones de trabajo, </w:t>
      </w:r>
      <w:r w:rsidR="00B45DA9">
        <w:t>con horarios excesivos, baja remuneración</w:t>
      </w:r>
      <w:r>
        <w:t xml:space="preserve">, </w:t>
      </w:r>
      <w:r w:rsidR="00B45DA9">
        <w:t xml:space="preserve">limitada </w:t>
      </w:r>
      <w:r>
        <w:t>seguridad en el empleo y en riesgo de explotación y violencia</w:t>
      </w:r>
      <w:r w:rsidR="002B35E6">
        <w:t>, así como</w:t>
      </w:r>
      <w:r w:rsidR="008364BE">
        <w:t xml:space="preserve"> que el Estado parte no cuente con los recursos humanos suficientes para realizar las labores de inspección que permitan proponer las soluciones efectivas a los trabajadores</w:t>
      </w:r>
      <w:r>
        <w:t xml:space="preserve"> (Art 7).</w:t>
      </w:r>
    </w:p>
    <w:p w14:paraId="60BE2316" w14:textId="0C7A9DF8" w:rsidR="005B7A0F" w:rsidRDefault="00B73072" w:rsidP="004B0ADD">
      <w:pPr>
        <w:pStyle w:val="SingleTxtG"/>
        <w:numPr>
          <w:ilvl w:val="0"/>
          <w:numId w:val="46"/>
        </w:numPr>
        <w:tabs>
          <w:tab w:val="clear" w:pos="1701"/>
          <w:tab w:val="clear" w:pos="2268"/>
          <w:tab w:val="clear" w:pos="2835"/>
        </w:tabs>
        <w:ind w:left="1134" w:firstLine="0"/>
        <w:rPr>
          <w:b/>
        </w:rPr>
      </w:pPr>
      <w:r>
        <w:rPr>
          <w:b/>
        </w:rPr>
        <w:t>E</w:t>
      </w:r>
      <w:r w:rsidR="005B7A0F">
        <w:rPr>
          <w:b/>
        </w:rPr>
        <w:t>l Comité recomienda al Estado parte</w:t>
      </w:r>
      <w:r w:rsidR="002B35E6">
        <w:rPr>
          <w:b/>
        </w:rPr>
        <w:t xml:space="preserve"> que</w:t>
      </w:r>
      <w:r w:rsidR="005B7A0F">
        <w:rPr>
          <w:b/>
        </w:rPr>
        <w:t xml:space="preserve">:  </w:t>
      </w:r>
    </w:p>
    <w:p w14:paraId="7954E60B" w14:textId="5BC31B54" w:rsidR="005B7A0F" w:rsidRDefault="005B7A0F" w:rsidP="004B0ADD">
      <w:pPr>
        <w:pStyle w:val="SingleTxtG"/>
        <w:numPr>
          <w:ilvl w:val="0"/>
          <w:numId w:val="28"/>
        </w:numPr>
        <w:tabs>
          <w:tab w:val="clear" w:pos="1701"/>
          <w:tab w:val="clear" w:pos="2268"/>
          <w:tab w:val="clear" w:pos="2835"/>
        </w:tabs>
        <w:ind w:left="1134" w:firstLine="567"/>
        <w:rPr>
          <w:b/>
        </w:rPr>
      </w:pPr>
      <w:r>
        <w:rPr>
          <w:b/>
        </w:rPr>
        <w:t xml:space="preserve">Adopte las medidas necesarias para mejorar las condiciones </w:t>
      </w:r>
      <w:r w:rsidR="00E2615C">
        <w:rPr>
          <w:b/>
        </w:rPr>
        <w:t>laborales</w:t>
      </w:r>
      <w:r>
        <w:rPr>
          <w:b/>
        </w:rPr>
        <w:t xml:space="preserve"> de l</w:t>
      </w:r>
      <w:r w:rsidR="007E7A06">
        <w:rPr>
          <w:b/>
        </w:rPr>
        <w:t>os trabajadores</w:t>
      </w:r>
      <w:r>
        <w:rPr>
          <w:b/>
        </w:rPr>
        <w:t xml:space="preserve">, en particular en el sector </w:t>
      </w:r>
      <w:r w:rsidR="007E7A06">
        <w:rPr>
          <w:b/>
        </w:rPr>
        <w:t>agrícola</w:t>
      </w:r>
      <w:r>
        <w:rPr>
          <w:b/>
        </w:rPr>
        <w:t xml:space="preserve"> y en el sector del trabajo doméstico a fin de que gocen de las mismas condiciones laborales que los demás trabajadores; </w:t>
      </w:r>
    </w:p>
    <w:p w14:paraId="490A3925" w14:textId="7D248DE3" w:rsidR="005B7A0F" w:rsidRDefault="00EE2E5B" w:rsidP="004B0ADD">
      <w:pPr>
        <w:pStyle w:val="SingleTxtG"/>
        <w:numPr>
          <w:ilvl w:val="0"/>
          <w:numId w:val="28"/>
        </w:numPr>
        <w:tabs>
          <w:tab w:val="clear" w:pos="1701"/>
          <w:tab w:val="clear" w:pos="2268"/>
          <w:tab w:val="clear" w:pos="2835"/>
        </w:tabs>
        <w:ind w:left="1134" w:firstLine="567"/>
        <w:rPr>
          <w:b/>
        </w:rPr>
      </w:pPr>
      <w:r>
        <w:rPr>
          <w:b/>
        </w:rPr>
        <w:t>Continue sus esfuerzos para reforzar</w:t>
      </w:r>
      <w:r w:rsidR="005B7A0F">
        <w:rPr>
          <w:b/>
        </w:rPr>
        <w:t xml:space="preserve"> el mandato y la capacidad de los inspectores laborales para que lleven a cabo una supervisión eficaz de las condiciones de trabajo </w:t>
      </w:r>
      <w:r w:rsidR="007E7A06">
        <w:rPr>
          <w:b/>
        </w:rPr>
        <w:t>en estos sectores</w:t>
      </w:r>
      <w:r w:rsidR="006741D8">
        <w:rPr>
          <w:b/>
        </w:rPr>
        <w:t xml:space="preserve"> y en la medida de lo posible, en el sector informal</w:t>
      </w:r>
      <w:r w:rsidR="005B7A0F">
        <w:rPr>
          <w:b/>
        </w:rPr>
        <w:t xml:space="preserve">; </w:t>
      </w:r>
    </w:p>
    <w:p w14:paraId="283F11BE" w14:textId="31C4DBC3" w:rsidR="005B7A0F" w:rsidRDefault="005B7A0F" w:rsidP="004B0ADD">
      <w:pPr>
        <w:pStyle w:val="SingleTxtG"/>
        <w:numPr>
          <w:ilvl w:val="0"/>
          <w:numId w:val="28"/>
        </w:numPr>
        <w:tabs>
          <w:tab w:val="clear" w:pos="1701"/>
          <w:tab w:val="clear" w:pos="2268"/>
          <w:tab w:val="clear" w:pos="2835"/>
        </w:tabs>
        <w:ind w:left="1134" w:firstLine="567"/>
        <w:rPr>
          <w:b/>
        </w:rPr>
      </w:pPr>
      <w:r>
        <w:rPr>
          <w:b/>
        </w:rPr>
        <w:t>Establezca mecanismos eficaces para denunciar los abusos y la explotación, teniendo en cuenta la vulnerabilidad en que se encuentran l</w:t>
      </w:r>
      <w:r w:rsidR="00EE2E5B">
        <w:rPr>
          <w:b/>
        </w:rPr>
        <w:t>o</w:t>
      </w:r>
      <w:r>
        <w:rPr>
          <w:b/>
        </w:rPr>
        <w:t>s trabajador</w:t>
      </w:r>
      <w:r w:rsidR="00EE2E5B">
        <w:rPr>
          <w:b/>
        </w:rPr>
        <w:t>es en estos sectores</w:t>
      </w:r>
      <w:r>
        <w:rPr>
          <w:b/>
        </w:rPr>
        <w:t xml:space="preserve">; </w:t>
      </w:r>
    </w:p>
    <w:p w14:paraId="16985C93" w14:textId="77777777" w:rsidR="005B7A0F" w:rsidRDefault="005B7A0F" w:rsidP="004B0ADD">
      <w:pPr>
        <w:pStyle w:val="SingleTxtG"/>
        <w:numPr>
          <w:ilvl w:val="0"/>
          <w:numId w:val="28"/>
        </w:numPr>
        <w:tabs>
          <w:tab w:val="clear" w:pos="1701"/>
          <w:tab w:val="clear" w:pos="2268"/>
          <w:tab w:val="clear" w:pos="2835"/>
        </w:tabs>
        <w:ind w:left="1134" w:firstLine="567"/>
        <w:rPr>
          <w:b/>
        </w:rPr>
      </w:pPr>
      <w:r>
        <w:rPr>
          <w:b/>
        </w:rPr>
        <w:t>Ratifique el Convenio 189 de la Organización Internacional del Trabajo,</w:t>
      </w:r>
      <w:r w:rsidR="00B73072">
        <w:rPr>
          <w:b/>
        </w:rPr>
        <w:t xml:space="preserve"> sobre trabajadores domésticos; </w:t>
      </w:r>
    </w:p>
    <w:p w14:paraId="6E242FDE" w14:textId="30CBE5F7" w:rsidR="005B7A0F" w:rsidRPr="00DF4D27" w:rsidRDefault="00B73072" w:rsidP="004B0ADD">
      <w:pPr>
        <w:pStyle w:val="SingleTxtG"/>
        <w:numPr>
          <w:ilvl w:val="0"/>
          <w:numId w:val="28"/>
        </w:numPr>
        <w:tabs>
          <w:tab w:val="clear" w:pos="1701"/>
          <w:tab w:val="clear" w:pos="2268"/>
          <w:tab w:val="clear" w:pos="2835"/>
        </w:tabs>
        <w:ind w:left="1134" w:firstLine="567"/>
        <w:rPr>
          <w:b/>
        </w:rPr>
      </w:pPr>
      <w:r>
        <w:rPr>
          <w:b/>
        </w:rPr>
        <w:t>Tome en cuenta su Observación General N° 23 (2016),</w:t>
      </w:r>
      <w:r w:rsidR="002B35E6">
        <w:rPr>
          <w:rStyle w:val="FootnoteReference"/>
          <w:b/>
        </w:rPr>
        <w:footnoteReference w:id="10"/>
      </w:r>
      <w:r>
        <w:rPr>
          <w:b/>
        </w:rPr>
        <w:t xml:space="preserve"> sobre el derecho a condiciones de trabajo equitativas y satisfactorias.</w:t>
      </w:r>
    </w:p>
    <w:p w14:paraId="18CBD391" w14:textId="77777777" w:rsidR="001556D7" w:rsidRPr="004B0ADD" w:rsidRDefault="001556D7" w:rsidP="004B0ADD">
      <w:pPr>
        <w:pStyle w:val="H23G"/>
        <w:ind w:firstLine="0"/>
        <w:rPr>
          <w:lang w:val="es-419"/>
        </w:rPr>
      </w:pPr>
      <w:r w:rsidRPr="001556D7">
        <w:rPr>
          <w:lang w:val="es-419"/>
        </w:rPr>
        <w:t xml:space="preserve">Derechos sindicales </w:t>
      </w:r>
    </w:p>
    <w:p w14:paraId="5E801E24" w14:textId="7FFB0E40" w:rsidR="00411D10" w:rsidRDefault="00EE2E5B" w:rsidP="004B0ADD">
      <w:pPr>
        <w:pStyle w:val="SingleTxtG"/>
        <w:numPr>
          <w:ilvl w:val="0"/>
          <w:numId w:val="46"/>
        </w:numPr>
        <w:tabs>
          <w:tab w:val="clear" w:pos="1701"/>
          <w:tab w:val="clear" w:pos="2268"/>
          <w:tab w:val="clear" w:pos="2835"/>
        </w:tabs>
        <w:ind w:left="1134" w:firstLine="0"/>
      </w:pPr>
      <w:r>
        <w:rPr>
          <w:lang w:val="es-419"/>
        </w:rPr>
        <w:t xml:space="preserve">Aun cuando el Comité toma nota de los esfuerzos realizados por el Estado parte para garantizar </w:t>
      </w:r>
      <w:r w:rsidR="00F8338A">
        <w:rPr>
          <w:lang w:val="es-419"/>
        </w:rPr>
        <w:t>el respeto de los derechos sindicales mediante el est</w:t>
      </w:r>
      <w:r w:rsidR="009B7E9D">
        <w:t>ablecimiento de la Comisión Nacional Tripartita de Relaciones Laborales y Libertad Sindical</w:t>
      </w:r>
      <w:r>
        <w:t>,</w:t>
      </w:r>
      <w:r w:rsidR="00F8338A">
        <w:t xml:space="preserve"> le preocupan que e</w:t>
      </w:r>
      <w:r w:rsidR="00411D10">
        <w:t>l derecho a la negociación colectiva, el derecho a huelga y sindicalización en el Estado parte</w:t>
      </w:r>
      <w:r w:rsidR="00F8338A">
        <w:t xml:space="preserve"> continúan siendo restringidos</w:t>
      </w:r>
      <w:r w:rsidR="00411D10">
        <w:t>.</w:t>
      </w:r>
      <w:r w:rsidR="00F8338A">
        <w:t xml:space="preserve"> De manera particular</w:t>
      </w:r>
      <w:r w:rsidR="00411D10">
        <w:t>, le preocupan las informaciones sobre las amenazas</w:t>
      </w:r>
      <w:r w:rsidR="00F8338A">
        <w:t xml:space="preserve"> y actos de violencia, incluyendo muertes</w:t>
      </w:r>
      <w:r w:rsidR="00411D10">
        <w:t xml:space="preserve"> sufridas por dirigentes y miembros de organizaciones sindicales</w:t>
      </w:r>
      <w:r w:rsidR="00F8338A">
        <w:t xml:space="preserve"> (art. 8)</w:t>
      </w:r>
      <w:r w:rsidR="00411D10">
        <w:t xml:space="preserve">. </w:t>
      </w:r>
    </w:p>
    <w:p w14:paraId="74113B51" w14:textId="213B922F" w:rsidR="00411D10" w:rsidRDefault="00411D10" w:rsidP="004B0ADD">
      <w:pPr>
        <w:pStyle w:val="SingleTxtG"/>
        <w:numPr>
          <w:ilvl w:val="0"/>
          <w:numId w:val="46"/>
        </w:numPr>
        <w:tabs>
          <w:tab w:val="clear" w:pos="1701"/>
          <w:tab w:val="clear" w:pos="2268"/>
          <w:tab w:val="clear" w:pos="2835"/>
        </w:tabs>
        <w:ind w:left="1134" w:firstLine="0"/>
        <w:rPr>
          <w:b/>
        </w:rPr>
      </w:pPr>
      <w:r>
        <w:rPr>
          <w:b/>
        </w:rPr>
        <w:t xml:space="preserve">El Comité recomienda al Estado parte garantizar el respeto de los derechos sindicales de todos los trabajadores de conformidad con el artículo 8 del Pacto y con las </w:t>
      </w:r>
      <w:r>
        <w:rPr>
          <w:b/>
        </w:rPr>
        <w:lastRenderedPageBreak/>
        <w:t xml:space="preserve">disposiciones de los Convenios sobre la libertad sindical y la protección del derecho de sindicación, 1948 (núm. 87), y sobre el derecho de sindicación y de negociación colectiva, 1949 (núm. 98), de la Organización Internacional del Trabajo. </w:t>
      </w:r>
      <w:r w:rsidR="00F8338A">
        <w:rPr>
          <w:b/>
        </w:rPr>
        <w:t xml:space="preserve">Le insta a continuar sus esfuerzos por fortalecer el trabajo de </w:t>
      </w:r>
      <w:r w:rsidR="00F8338A" w:rsidRPr="00F8338A">
        <w:rPr>
          <w:b/>
          <w:bCs/>
        </w:rPr>
        <w:t>la Comisión Nacional Tripartita de Relaciones Laborales y Libertad Sindical</w:t>
      </w:r>
      <w:r w:rsidR="00F8338A">
        <w:rPr>
          <w:b/>
        </w:rPr>
        <w:t xml:space="preserve"> a fin de</w:t>
      </w:r>
      <w:r w:rsidR="009C2C74">
        <w:rPr>
          <w:b/>
        </w:rPr>
        <w:t xml:space="preserve"> fortalecer el diálogo social y</w:t>
      </w:r>
      <w:r w:rsidR="00F8338A">
        <w:rPr>
          <w:b/>
        </w:rPr>
        <w:t xml:space="preserve"> garantizar en la pr</w:t>
      </w:r>
      <w:r w:rsidR="009C2C74">
        <w:rPr>
          <w:b/>
        </w:rPr>
        <w:t>á</w:t>
      </w:r>
      <w:r w:rsidR="00F8338A">
        <w:rPr>
          <w:b/>
        </w:rPr>
        <w:t xml:space="preserve">ctica el respeto de los derechos sindicales. </w:t>
      </w:r>
      <w:r>
        <w:rPr>
          <w:b/>
        </w:rPr>
        <w:t>Asimismo, le insta a establecer mecanismos efectivos de protección de los derechos sindicales, entre otros, mediante la investigación efectiva de todas las denuncias que se señalen a su atención y la determinación de una indemnización adecuada para los trabajadores afectados.</w:t>
      </w:r>
    </w:p>
    <w:p w14:paraId="541D9660" w14:textId="77777777" w:rsidR="008531CF" w:rsidRPr="004B0ADD" w:rsidRDefault="008531CF" w:rsidP="004B0ADD">
      <w:pPr>
        <w:pStyle w:val="H23G"/>
        <w:ind w:firstLine="0"/>
        <w:rPr>
          <w:lang w:val="es-419"/>
        </w:rPr>
      </w:pPr>
      <w:r w:rsidRPr="004B0ADD">
        <w:rPr>
          <w:lang w:val="es-419"/>
        </w:rPr>
        <w:t xml:space="preserve">Seguridad Social </w:t>
      </w:r>
    </w:p>
    <w:p w14:paraId="0E1EB5C6" w14:textId="7570475D" w:rsidR="00903607" w:rsidRDefault="003C7103" w:rsidP="004B0ADD">
      <w:pPr>
        <w:pStyle w:val="SingleTxtG"/>
        <w:numPr>
          <w:ilvl w:val="0"/>
          <w:numId w:val="46"/>
        </w:numPr>
        <w:tabs>
          <w:tab w:val="clear" w:pos="1701"/>
          <w:tab w:val="clear" w:pos="2268"/>
          <w:tab w:val="clear" w:pos="2835"/>
        </w:tabs>
        <w:ind w:left="1134" w:firstLine="0"/>
      </w:pPr>
      <w:r>
        <w:t xml:space="preserve">Preocupa al Comité la estrecha </w:t>
      </w:r>
      <w:r w:rsidR="00903607" w:rsidRPr="00903607">
        <w:t xml:space="preserve">vinculación entre el empleo </w:t>
      </w:r>
      <w:r>
        <w:t>forma</w:t>
      </w:r>
      <w:r w:rsidR="00E2615C">
        <w:t>l</w:t>
      </w:r>
      <w:r w:rsidR="00903607" w:rsidRPr="00903607">
        <w:t xml:space="preserve"> y la seguridad social,</w:t>
      </w:r>
      <w:r>
        <w:t xml:space="preserve"> lo cual se refleja en la baja cobertura del sistema de seguridad social afectando</w:t>
      </w:r>
      <w:r w:rsidR="00903607" w:rsidRPr="00903607">
        <w:t xml:space="preserve"> especialmente </w:t>
      </w:r>
      <w:r>
        <w:t xml:space="preserve">a los trabajadores informales y los trabajadores por cuenta propia. Preocupa además al Comité que no se brinden niveles adecuados de protección </w:t>
      </w:r>
      <w:r w:rsidR="007D7962">
        <w:t>en todas las ramas de la seguridad social (art. 9).</w:t>
      </w:r>
    </w:p>
    <w:p w14:paraId="4B3018B0" w14:textId="25F467BD" w:rsidR="003C7103" w:rsidRDefault="003C7103" w:rsidP="004B0ADD">
      <w:pPr>
        <w:pStyle w:val="SingleTxtG"/>
        <w:numPr>
          <w:ilvl w:val="0"/>
          <w:numId w:val="46"/>
        </w:numPr>
        <w:tabs>
          <w:tab w:val="clear" w:pos="1701"/>
          <w:tab w:val="clear" w:pos="2268"/>
          <w:tab w:val="clear" w:pos="2835"/>
        </w:tabs>
        <w:ind w:left="1134" w:firstLine="0"/>
      </w:pPr>
      <w:r w:rsidRPr="00EE5C3D">
        <w:rPr>
          <w:rFonts w:ascii="Times New Roman,Bold" w:eastAsia="Times New Roman" w:hAnsi="Times New Roman,Bold"/>
          <w:b/>
          <w:bCs/>
          <w:lang w:eastAsia="es-ES_tradnl"/>
        </w:rPr>
        <w:t>El Comité insta al Estado parte a elaborar un sistema de seguridad social que garantice una cobertura de protección social universal</w:t>
      </w:r>
      <w:r>
        <w:rPr>
          <w:rFonts w:ascii="Times New Roman,Bold" w:eastAsia="Times New Roman" w:hAnsi="Times New Roman,Bold"/>
          <w:b/>
          <w:bCs/>
          <w:lang w:eastAsia="es-ES_tradnl"/>
        </w:rPr>
        <w:t>,</w:t>
      </w:r>
      <w:r w:rsidRPr="00EE5C3D">
        <w:rPr>
          <w:rFonts w:ascii="Times New Roman,Bold" w:eastAsia="Times New Roman" w:hAnsi="Times New Roman,Bold"/>
          <w:b/>
          <w:bCs/>
          <w:lang w:eastAsia="es-ES_tradnl"/>
        </w:rPr>
        <w:t xml:space="preserve"> que asegure prestaciones adecuadas a todos los trabajadores y a todas las personas y </w:t>
      </w:r>
      <w:r w:rsidRPr="00EE5C3D">
        <w:rPr>
          <w:b/>
          <w:bCs/>
          <w:lang w:val="es-ES_tradnl"/>
        </w:rPr>
        <w:t>familias</w:t>
      </w:r>
      <w:r w:rsidRPr="00EE5C3D">
        <w:rPr>
          <w:rFonts w:ascii="Times New Roman,Bold" w:eastAsia="Times New Roman" w:hAnsi="Times New Roman,Bold"/>
          <w:b/>
          <w:bCs/>
          <w:lang w:eastAsia="es-ES_tradnl"/>
        </w:rPr>
        <w:t>, particularmente a los grupos m</w:t>
      </w:r>
      <w:r>
        <w:rPr>
          <w:rFonts w:ascii="Times New Roman,Bold" w:eastAsia="Times New Roman" w:hAnsi="Times New Roman,Bold"/>
          <w:b/>
          <w:bCs/>
          <w:lang w:eastAsia="es-ES_tradnl"/>
        </w:rPr>
        <w:t>á</w:t>
      </w:r>
      <w:r w:rsidRPr="00EE5C3D">
        <w:rPr>
          <w:rFonts w:ascii="Times New Roman,Bold" w:eastAsia="Times New Roman" w:hAnsi="Times New Roman,Bold"/>
          <w:b/>
          <w:bCs/>
          <w:lang w:eastAsia="es-ES_tradnl"/>
        </w:rPr>
        <w:t>s desfavorecidos y marginados</w:t>
      </w:r>
      <w:r>
        <w:rPr>
          <w:rFonts w:ascii="Times New Roman,Bold" w:eastAsia="Times New Roman" w:hAnsi="Times New Roman,Bold"/>
          <w:b/>
          <w:bCs/>
          <w:lang w:eastAsia="es-ES_tradnl"/>
        </w:rPr>
        <w:t>,</w:t>
      </w:r>
      <w:r w:rsidRPr="00EE5C3D">
        <w:rPr>
          <w:rFonts w:ascii="Times New Roman,Bold" w:eastAsia="Times New Roman" w:hAnsi="Times New Roman,Bold"/>
          <w:b/>
          <w:bCs/>
          <w:lang w:eastAsia="es-ES_tradnl"/>
        </w:rPr>
        <w:t xml:space="preserve"> con el objeto de garantizarles condiciones de vida dignas. El</w:t>
      </w:r>
      <w:r>
        <w:rPr>
          <w:rFonts w:ascii="Times New Roman,Bold" w:eastAsia="Times New Roman" w:hAnsi="Times New Roman,Bold"/>
          <w:b/>
          <w:bCs/>
          <w:lang w:eastAsia="es-ES_tradnl"/>
        </w:rPr>
        <w:t xml:space="preserve"> Comité </w:t>
      </w:r>
      <w:r w:rsidRPr="00EE5C3D">
        <w:rPr>
          <w:rFonts w:ascii="Times New Roman,Bold" w:eastAsia="Times New Roman" w:hAnsi="Times New Roman,Bold"/>
          <w:b/>
          <w:bCs/>
          <w:lang w:eastAsia="es-ES_tradnl"/>
        </w:rPr>
        <w:t xml:space="preserve">alienta </w:t>
      </w:r>
      <w:r>
        <w:rPr>
          <w:rFonts w:ascii="Times New Roman,Bold" w:eastAsia="Times New Roman" w:hAnsi="Times New Roman,Bold"/>
          <w:b/>
          <w:bCs/>
          <w:lang w:eastAsia="es-ES_tradnl"/>
        </w:rPr>
        <w:t>también</w:t>
      </w:r>
      <w:r w:rsidRPr="00EE5C3D">
        <w:rPr>
          <w:rFonts w:ascii="Times New Roman,Bold" w:eastAsia="Times New Roman" w:hAnsi="Times New Roman,Bold"/>
          <w:b/>
          <w:bCs/>
          <w:lang w:eastAsia="es-ES_tradnl"/>
        </w:rPr>
        <w:t xml:space="preserve"> al Estado parte</w:t>
      </w:r>
      <w:r>
        <w:rPr>
          <w:rFonts w:ascii="Times New Roman,Bold" w:eastAsia="Times New Roman" w:hAnsi="Times New Roman,Bold"/>
          <w:b/>
          <w:bCs/>
          <w:lang w:eastAsia="es-ES_tradnl"/>
        </w:rPr>
        <w:t xml:space="preserve"> a</w:t>
      </w:r>
      <w:r w:rsidRPr="00EE5C3D">
        <w:rPr>
          <w:rFonts w:ascii="Times New Roman,Bold" w:eastAsia="Times New Roman" w:hAnsi="Times New Roman,Bold"/>
          <w:b/>
          <w:bCs/>
          <w:lang w:eastAsia="es-ES_tradnl"/>
        </w:rPr>
        <w:t xml:space="preserve"> tomar las medidas </w:t>
      </w:r>
      <w:r>
        <w:rPr>
          <w:rFonts w:ascii="Times New Roman,Bold" w:eastAsia="Times New Roman" w:hAnsi="Times New Roman,Bold"/>
          <w:b/>
          <w:bCs/>
          <w:lang w:eastAsia="es-ES_tradnl"/>
        </w:rPr>
        <w:t>necesarias para la</w:t>
      </w:r>
      <w:r w:rsidRPr="00EE5C3D">
        <w:rPr>
          <w:rFonts w:ascii="Times New Roman,Bold" w:eastAsia="Times New Roman" w:hAnsi="Times New Roman,Bold"/>
          <w:b/>
          <w:bCs/>
          <w:lang w:eastAsia="es-ES_tradnl"/>
        </w:rPr>
        <w:t xml:space="preserve"> </w:t>
      </w:r>
      <w:r>
        <w:rPr>
          <w:rFonts w:ascii="Times New Roman,Bold" w:eastAsia="Times New Roman" w:hAnsi="Times New Roman,Bold"/>
          <w:b/>
          <w:bCs/>
          <w:lang w:eastAsia="es-ES_tradnl"/>
        </w:rPr>
        <w:t>determinación</w:t>
      </w:r>
      <w:r w:rsidRPr="00EE5C3D">
        <w:rPr>
          <w:rFonts w:ascii="Times New Roman,Bold" w:eastAsia="Times New Roman" w:hAnsi="Times New Roman,Bold"/>
          <w:b/>
          <w:bCs/>
          <w:lang w:eastAsia="es-ES_tradnl"/>
        </w:rPr>
        <w:t xml:space="preserve"> de un piso de </w:t>
      </w:r>
      <w:r>
        <w:rPr>
          <w:rFonts w:ascii="Times New Roman,Bold" w:eastAsia="Times New Roman" w:hAnsi="Times New Roman,Bold"/>
          <w:b/>
          <w:bCs/>
          <w:lang w:eastAsia="es-ES_tradnl"/>
        </w:rPr>
        <w:t>protección</w:t>
      </w:r>
      <w:r w:rsidRPr="00EE5C3D">
        <w:rPr>
          <w:rFonts w:ascii="Times New Roman,Bold" w:eastAsia="Times New Roman" w:hAnsi="Times New Roman,Bold"/>
          <w:b/>
          <w:bCs/>
          <w:lang w:eastAsia="es-ES_tradnl"/>
        </w:rPr>
        <w:t xml:space="preserve"> social que incluya </w:t>
      </w:r>
      <w:r>
        <w:rPr>
          <w:rFonts w:ascii="Times New Roman,Bold" w:eastAsia="Times New Roman" w:hAnsi="Times New Roman,Bold"/>
          <w:b/>
          <w:bCs/>
          <w:lang w:eastAsia="es-ES_tradnl"/>
        </w:rPr>
        <w:t>garantías</w:t>
      </w:r>
      <w:r w:rsidRPr="00EE5C3D">
        <w:rPr>
          <w:rFonts w:ascii="Times New Roman,Bold" w:eastAsia="Times New Roman" w:hAnsi="Times New Roman,Bold"/>
          <w:b/>
          <w:bCs/>
          <w:lang w:eastAsia="es-ES_tradnl"/>
        </w:rPr>
        <w:t xml:space="preserve"> sociales universales esenciales. El </w:t>
      </w:r>
      <w:r>
        <w:rPr>
          <w:rFonts w:ascii="Times New Roman,Bold" w:eastAsia="Times New Roman" w:hAnsi="Times New Roman,Bold"/>
          <w:b/>
          <w:bCs/>
          <w:lang w:eastAsia="es-ES_tradnl"/>
        </w:rPr>
        <w:t>Comité</w:t>
      </w:r>
      <w:r w:rsidRPr="00EE5C3D">
        <w:rPr>
          <w:rFonts w:ascii="Times New Roman,Bold" w:eastAsia="Times New Roman" w:hAnsi="Times New Roman,Bold"/>
          <w:b/>
          <w:bCs/>
          <w:lang w:eastAsia="es-ES_tradnl"/>
        </w:rPr>
        <w:t xml:space="preserve"> </w:t>
      </w:r>
      <w:r>
        <w:rPr>
          <w:rFonts w:ascii="Times New Roman,Bold" w:eastAsia="Times New Roman" w:hAnsi="Times New Roman,Bold"/>
          <w:b/>
          <w:bCs/>
          <w:lang w:eastAsia="es-ES_tradnl"/>
        </w:rPr>
        <w:t>señala</w:t>
      </w:r>
      <w:r w:rsidRPr="00EE5C3D">
        <w:rPr>
          <w:rFonts w:ascii="Times New Roman,Bold" w:eastAsia="Times New Roman" w:hAnsi="Times New Roman,Bold"/>
          <w:b/>
          <w:bCs/>
          <w:lang w:eastAsia="es-ES_tradnl"/>
        </w:rPr>
        <w:t xml:space="preserve"> a la atenc</w:t>
      </w:r>
      <w:r>
        <w:rPr>
          <w:rFonts w:ascii="Times New Roman,Bold" w:eastAsia="Times New Roman" w:hAnsi="Times New Roman,Bold"/>
          <w:b/>
          <w:bCs/>
          <w:lang w:eastAsia="es-ES_tradnl"/>
        </w:rPr>
        <w:t>ión</w:t>
      </w:r>
      <w:r w:rsidRPr="00EE5C3D">
        <w:rPr>
          <w:rFonts w:ascii="Times New Roman,Bold" w:eastAsia="Times New Roman" w:hAnsi="Times New Roman,Bold"/>
          <w:b/>
          <w:bCs/>
          <w:lang w:eastAsia="es-ES_tradnl"/>
        </w:rPr>
        <w:t xml:space="preserve"> del Estado parte, su observaci</w:t>
      </w:r>
      <w:r>
        <w:rPr>
          <w:rFonts w:ascii="Times New Roman,Bold" w:eastAsia="Times New Roman" w:hAnsi="Times New Roman,Bold"/>
          <w:b/>
          <w:bCs/>
          <w:lang w:eastAsia="es-ES_tradnl"/>
        </w:rPr>
        <w:t>ó</w:t>
      </w:r>
      <w:r w:rsidRPr="00EE5C3D">
        <w:rPr>
          <w:rFonts w:ascii="Times New Roman,Bold" w:eastAsia="Times New Roman" w:hAnsi="Times New Roman,Bold"/>
          <w:b/>
          <w:bCs/>
          <w:lang w:eastAsia="es-ES_tradnl"/>
        </w:rPr>
        <w:t>n general n</w:t>
      </w:r>
      <w:r>
        <w:rPr>
          <w:rFonts w:ascii="Times New Roman,Bold" w:eastAsia="Times New Roman" w:hAnsi="Times New Roman,Bold"/>
          <w:b/>
          <w:bCs/>
          <w:lang w:eastAsia="es-ES_tradnl"/>
        </w:rPr>
        <w:t>ú</w:t>
      </w:r>
      <w:r w:rsidRPr="00EE5C3D">
        <w:rPr>
          <w:rFonts w:ascii="Times New Roman,Bold" w:eastAsia="Times New Roman" w:hAnsi="Times New Roman,Bold"/>
          <w:b/>
          <w:bCs/>
          <w:lang w:eastAsia="es-ES_tradnl"/>
        </w:rPr>
        <w:t>m. 19 (2008)</w:t>
      </w:r>
      <w:r w:rsidR="00195146">
        <w:rPr>
          <w:rStyle w:val="FootnoteReference"/>
          <w:rFonts w:eastAsia="Times New Roman"/>
          <w:b/>
          <w:bCs/>
          <w:lang w:eastAsia="es-ES_tradnl"/>
        </w:rPr>
        <w:footnoteReference w:id="11"/>
      </w:r>
      <w:r w:rsidRPr="00EE5C3D">
        <w:rPr>
          <w:rFonts w:ascii="Times New Roman,Bold" w:eastAsia="Times New Roman" w:hAnsi="Times New Roman,Bold"/>
          <w:b/>
          <w:bCs/>
          <w:lang w:eastAsia="es-ES_tradnl"/>
        </w:rPr>
        <w:t xml:space="preserve"> sobre el derecho a la seguridad social y su Declaraci</w:t>
      </w:r>
      <w:r>
        <w:rPr>
          <w:rFonts w:ascii="Times New Roman,Bold" w:eastAsia="Times New Roman" w:hAnsi="Times New Roman,Bold"/>
          <w:b/>
          <w:bCs/>
          <w:lang w:eastAsia="es-ES_tradnl"/>
        </w:rPr>
        <w:t>ó</w:t>
      </w:r>
      <w:r w:rsidRPr="00EE5C3D">
        <w:rPr>
          <w:rFonts w:ascii="Times New Roman,Bold" w:eastAsia="Times New Roman" w:hAnsi="Times New Roman,Bold"/>
          <w:b/>
          <w:bCs/>
          <w:lang w:eastAsia="es-ES_tradnl"/>
        </w:rPr>
        <w:t>n</w:t>
      </w:r>
      <w:r w:rsidR="00195146">
        <w:rPr>
          <w:rStyle w:val="FootnoteReference"/>
          <w:rFonts w:eastAsia="Times New Roman"/>
          <w:b/>
          <w:bCs/>
          <w:lang w:eastAsia="es-ES_tradnl"/>
        </w:rPr>
        <w:footnoteReference w:id="12"/>
      </w:r>
      <w:r w:rsidRPr="00EE5C3D">
        <w:rPr>
          <w:rFonts w:ascii="Times New Roman,Bold" w:eastAsia="Times New Roman" w:hAnsi="Times New Roman,Bold"/>
          <w:b/>
          <w:bCs/>
          <w:lang w:eastAsia="es-ES_tradnl"/>
        </w:rPr>
        <w:t xml:space="preserve"> sobre niveles </w:t>
      </w:r>
      <w:r>
        <w:rPr>
          <w:rFonts w:ascii="Times New Roman,Bold" w:eastAsia="Times New Roman" w:hAnsi="Times New Roman,Bold"/>
          <w:b/>
          <w:bCs/>
          <w:lang w:eastAsia="es-ES_tradnl"/>
        </w:rPr>
        <w:t xml:space="preserve">mínimos </w:t>
      </w:r>
      <w:r w:rsidRPr="00EE5C3D">
        <w:rPr>
          <w:rFonts w:ascii="Times New Roman,Bold" w:eastAsia="Times New Roman" w:hAnsi="Times New Roman,Bold"/>
          <w:b/>
          <w:bCs/>
          <w:lang w:eastAsia="es-ES_tradnl"/>
        </w:rPr>
        <w:t xml:space="preserve">de </w:t>
      </w:r>
      <w:r>
        <w:rPr>
          <w:rFonts w:ascii="Times New Roman,Bold" w:eastAsia="Times New Roman" w:hAnsi="Times New Roman,Bold"/>
          <w:b/>
          <w:bCs/>
          <w:lang w:eastAsia="es-ES_tradnl"/>
        </w:rPr>
        <w:t>protección</w:t>
      </w:r>
      <w:r w:rsidRPr="00EE5C3D">
        <w:rPr>
          <w:rFonts w:ascii="Times New Roman,Bold" w:eastAsia="Times New Roman" w:hAnsi="Times New Roman,Bold"/>
          <w:b/>
          <w:bCs/>
          <w:lang w:eastAsia="es-ES_tradnl"/>
        </w:rPr>
        <w:t xml:space="preserve"> Social: un elemento esencial del derecho a la seguridad social y de los objetivos de desarrollo sostenible, de 2015.</w:t>
      </w:r>
    </w:p>
    <w:p w14:paraId="0F2FF4C7" w14:textId="784E9351" w:rsidR="00CC5C87" w:rsidRPr="004B0ADD" w:rsidRDefault="0003525F" w:rsidP="004B0ADD">
      <w:pPr>
        <w:pStyle w:val="H23G"/>
        <w:ind w:firstLine="0"/>
        <w:rPr>
          <w:lang w:val="es-419"/>
        </w:rPr>
      </w:pPr>
      <w:r w:rsidRPr="004B0ADD">
        <w:rPr>
          <w:lang w:val="es-419"/>
        </w:rPr>
        <w:t>Protección de la familia</w:t>
      </w:r>
    </w:p>
    <w:p w14:paraId="3DCE2BCB" w14:textId="66FC5D53" w:rsidR="00CC5C87" w:rsidRPr="00DD142B" w:rsidRDefault="00CC5C87" w:rsidP="004B0ADD">
      <w:pPr>
        <w:pStyle w:val="SingleTxtG"/>
        <w:numPr>
          <w:ilvl w:val="0"/>
          <w:numId w:val="46"/>
        </w:numPr>
        <w:tabs>
          <w:tab w:val="clear" w:pos="1701"/>
          <w:tab w:val="clear" w:pos="2268"/>
          <w:tab w:val="clear" w:pos="2835"/>
        </w:tabs>
        <w:ind w:left="1134" w:firstLine="0"/>
        <w:rPr>
          <w:b/>
        </w:rPr>
      </w:pPr>
      <w:r>
        <w:rPr>
          <w:bCs/>
          <w:lang w:val="es-ES_tradnl"/>
        </w:rPr>
        <w:t>P</w:t>
      </w:r>
      <w:r w:rsidRPr="00DD142B">
        <w:rPr>
          <w:bCs/>
          <w:lang w:val="es-ES_tradnl"/>
        </w:rPr>
        <w:t xml:space="preserve">reocupa </w:t>
      </w:r>
      <w:r w:rsidRPr="00DD142B">
        <w:t xml:space="preserve">al Comité la persistente violencia contra la mujer en todos los ámbitos, incluyendo </w:t>
      </w:r>
      <w:r>
        <w:t xml:space="preserve">en el ámbito </w:t>
      </w:r>
      <w:r w:rsidR="007D7962">
        <w:t>familiar</w:t>
      </w:r>
      <w:r>
        <w:t xml:space="preserve">. </w:t>
      </w:r>
      <w:r w:rsidR="0003525F">
        <w:t>Asimismo, le p</w:t>
      </w:r>
      <w:r w:rsidR="0003525F" w:rsidRPr="003A0A6F">
        <w:rPr>
          <w:lang w:val="es-ES_tradnl"/>
        </w:rPr>
        <w:t>reocupa</w:t>
      </w:r>
      <w:r w:rsidR="0003525F">
        <w:rPr>
          <w:lang w:val="es-ES_tradnl"/>
        </w:rPr>
        <w:t xml:space="preserve"> que niños, niñas y adolescentes, particularmente en las zonas rurales sigan siendo objeto </w:t>
      </w:r>
      <w:r w:rsidR="0003525F" w:rsidRPr="003A0A6F">
        <w:rPr>
          <w:lang w:val="es-ES_tradnl"/>
        </w:rPr>
        <w:t xml:space="preserve">explotación laboral </w:t>
      </w:r>
      <w:r w:rsidR="0003525F">
        <w:rPr>
          <w:lang w:val="es-ES_tradnl"/>
        </w:rPr>
        <w:t>y</w:t>
      </w:r>
      <w:r w:rsidR="0003525F" w:rsidRPr="003A0A6F">
        <w:rPr>
          <w:lang w:val="es-ES_tradnl"/>
        </w:rPr>
        <w:t xml:space="preserve"> víctimas de violencia física</w:t>
      </w:r>
      <w:r w:rsidR="00775E54">
        <w:rPr>
          <w:lang w:val="es-ES_tradnl"/>
        </w:rPr>
        <w:t>,</w:t>
      </w:r>
      <w:r w:rsidR="0003525F">
        <w:rPr>
          <w:lang w:val="es-ES_tradnl"/>
        </w:rPr>
        <w:t xml:space="preserve"> psicológica</w:t>
      </w:r>
      <w:r w:rsidR="00775E54">
        <w:rPr>
          <w:lang w:val="es-ES_tradnl"/>
        </w:rPr>
        <w:t xml:space="preserve"> y sexual</w:t>
      </w:r>
      <w:r w:rsidR="0003525F">
        <w:rPr>
          <w:lang w:val="es-ES_tradnl"/>
        </w:rPr>
        <w:t>, incluso en el seno de la familia</w:t>
      </w:r>
      <w:r w:rsidR="009C2C74">
        <w:rPr>
          <w:lang w:val="es-ES_tradnl"/>
        </w:rPr>
        <w:t>. El Comité lamenta la falta de precisión y especificidad de la información suministrada sobre las investigaciones judiciales de estas violencias contra mujeres, niños, niñas y adolescentes</w:t>
      </w:r>
      <w:r w:rsidR="0003525F" w:rsidRPr="003A0A6F">
        <w:rPr>
          <w:lang w:val="es-ES_tradnl"/>
        </w:rPr>
        <w:t xml:space="preserve"> </w:t>
      </w:r>
      <w:r>
        <w:t>(arts. 3 y 10).</w:t>
      </w:r>
    </w:p>
    <w:p w14:paraId="2972D8C0" w14:textId="5FDE12A4" w:rsidR="00CC5C87" w:rsidRDefault="00CC5C87" w:rsidP="004B0ADD">
      <w:pPr>
        <w:pStyle w:val="SingleTxtG"/>
        <w:numPr>
          <w:ilvl w:val="0"/>
          <w:numId w:val="46"/>
        </w:numPr>
        <w:tabs>
          <w:tab w:val="clear" w:pos="1701"/>
          <w:tab w:val="clear" w:pos="2268"/>
          <w:tab w:val="clear" w:pos="2835"/>
        </w:tabs>
        <w:ind w:left="1134" w:firstLine="0"/>
        <w:rPr>
          <w:b/>
        </w:rPr>
      </w:pPr>
      <w:r>
        <w:rPr>
          <w:b/>
        </w:rPr>
        <w:t xml:space="preserve">El Comité exhorta al Estado parte a que: </w:t>
      </w:r>
    </w:p>
    <w:p w14:paraId="35F1F499" w14:textId="49605D16" w:rsidR="00CC5C87" w:rsidRDefault="004B0ADD" w:rsidP="00CC5C87">
      <w:pPr>
        <w:pStyle w:val="SingleTxtG"/>
        <w:ind w:right="1133"/>
        <w:rPr>
          <w:b/>
        </w:rPr>
      </w:pPr>
      <w:r>
        <w:tab/>
      </w:r>
      <w:r w:rsidR="00CC5C87" w:rsidRPr="00582127">
        <w:t>a)</w:t>
      </w:r>
      <w:r w:rsidR="00CC5C87" w:rsidRPr="00582127">
        <w:tab/>
      </w:r>
      <w:r w:rsidR="00CC5C87" w:rsidRPr="0003525F">
        <w:rPr>
          <w:b/>
          <w:lang w:val="es-ES_tradnl"/>
        </w:rPr>
        <w:t xml:space="preserve">Lleve </w:t>
      </w:r>
      <w:r w:rsidR="00CC5C87" w:rsidRPr="0003525F">
        <w:rPr>
          <w:b/>
        </w:rPr>
        <w:t>a cabo investigaciones exhaustivas</w:t>
      </w:r>
      <w:r w:rsidR="0003525F" w:rsidRPr="0003525F">
        <w:rPr>
          <w:b/>
        </w:rPr>
        <w:t xml:space="preserve"> sobre</w:t>
      </w:r>
      <w:r w:rsidR="00CC5C87" w:rsidRPr="0003525F">
        <w:rPr>
          <w:b/>
        </w:rPr>
        <w:t xml:space="preserve"> los casos de violencia contra la mujer</w:t>
      </w:r>
      <w:r w:rsidR="0003525F" w:rsidRPr="0003525F">
        <w:rPr>
          <w:b/>
        </w:rPr>
        <w:t xml:space="preserve"> y contra </w:t>
      </w:r>
      <w:r w:rsidR="0003525F" w:rsidRPr="0003525F">
        <w:rPr>
          <w:b/>
          <w:lang w:val="es-ES_tradnl"/>
        </w:rPr>
        <w:t>niños, niñas y adolescentes</w:t>
      </w:r>
      <w:r w:rsidR="00CC5C87" w:rsidRPr="0003525F">
        <w:rPr>
          <w:b/>
        </w:rPr>
        <w:t>, asegurando que los responsables sean enjuiciados y debidamente castigados</w:t>
      </w:r>
      <w:r w:rsidR="00CC5C87">
        <w:rPr>
          <w:b/>
        </w:rPr>
        <w:t xml:space="preserve">; </w:t>
      </w:r>
    </w:p>
    <w:p w14:paraId="1E4169ED" w14:textId="1E770CDB" w:rsidR="00CC5C87" w:rsidRDefault="004B0ADD" w:rsidP="00CC5C87">
      <w:pPr>
        <w:pStyle w:val="SingleTxtG"/>
        <w:ind w:right="1133"/>
        <w:rPr>
          <w:b/>
        </w:rPr>
      </w:pPr>
      <w:r>
        <w:tab/>
      </w:r>
      <w:r w:rsidR="00CC5C87">
        <w:t>b</w:t>
      </w:r>
      <w:r w:rsidR="00CC5C87" w:rsidRPr="00582127">
        <w:t>)</w:t>
      </w:r>
      <w:r w:rsidR="00CC5C87" w:rsidRPr="00582127">
        <w:tab/>
      </w:r>
      <w:r w:rsidR="00CC5C87" w:rsidRPr="00341CA6">
        <w:rPr>
          <w:b/>
        </w:rPr>
        <w:t>Fortalezca los mecanismos existentes para prevenir los casos de violencia contra la mujer</w:t>
      </w:r>
      <w:r w:rsidR="00651722">
        <w:rPr>
          <w:b/>
        </w:rPr>
        <w:t xml:space="preserve"> </w:t>
      </w:r>
      <w:r w:rsidR="00651722" w:rsidRPr="0003525F">
        <w:rPr>
          <w:b/>
        </w:rPr>
        <w:t xml:space="preserve">y contra </w:t>
      </w:r>
      <w:r w:rsidR="00651722" w:rsidRPr="0003525F">
        <w:rPr>
          <w:b/>
          <w:lang w:val="es-ES_tradnl"/>
        </w:rPr>
        <w:t>niños, niñas y adolescentes</w:t>
      </w:r>
      <w:r w:rsidR="00CC5C87" w:rsidRPr="00341CA6">
        <w:rPr>
          <w:b/>
        </w:rPr>
        <w:t>, incluso mediante campañas de información a fin de aumentar la conciencia de la población</w:t>
      </w:r>
      <w:r w:rsidR="00CC5C87">
        <w:rPr>
          <w:b/>
        </w:rPr>
        <w:t xml:space="preserve"> sobre su gravedad y efectos negativos; </w:t>
      </w:r>
    </w:p>
    <w:p w14:paraId="4E89627E" w14:textId="100A6C53" w:rsidR="00CC5C87" w:rsidRDefault="004B0ADD" w:rsidP="00CC5C87">
      <w:pPr>
        <w:pStyle w:val="SingleTxtG"/>
        <w:ind w:right="1133"/>
        <w:rPr>
          <w:b/>
        </w:rPr>
      </w:pPr>
      <w:r>
        <w:tab/>
      </w:r>
      <w:r w:rsidR="00CC5C87">
        <w:t>c</w:t>
      </w:r>
      <w:r w:rsidR="00CC5C87" w:rsidRPr="00582127">
        <w:t>)</w:t>
      </w:r>
      <w:r w:rsidR="00CC5C87" w:rsidRPr="00582127">
        <w:tab/>
      </w:r>
      <w:r w:rsidR="00CC5C87">
        <w:rPr>
          <w:b/>
        </w:rPr>
        <w:t xml:space="preserve">Lleve a cabo formaciones y </w:t>
      </w:r>
      <w:r w:rsidR="00CC5C87" w:rsidRPr="00341CA6">
        <w:rPr>
          <w:b/>
        </w:rPr>
        <w:t>capacitaci</w:t>
      </w:r>
      <w:r w:rsidR="00794A8A">
        <w:rPr>
          <w:b/>
        </w:rPr>
        <w:t>ones dirigidas a</w:t>
      </w:r>
      <w:r w:rsidR="00CC5C87">
        <w:rPr>
          <w:b/>
        </w:rPr>
        <w:t xml:space="preserve"> </w:t>
      </w:r>
      <w:r w:rsidR="00CC5C87" w:rsidRPr="00341CA6">
        <w:rPr>
          <w:b/>
        </w:rPr>
        <w:t>agentes del orden y jueces</w:t>
      </w:r>
      <w:r w:rsidR="00CC5C87">
        <w:rPr>
          <w:b/>
        </w:rPr>
        <w:t xml:space="preserve"> a fin de aumentar su </w:t>
      </w:r>
      <w:r w:rsidR="00CC5C87" w:rsidRPr="00341CA6">
        <w:rPr>
          <w:b/>
        </w:rPr>
        <w:t>conocimiento sobre la gravedad y el carácter delictivo de la violencia contra la mujer</w:t>
      </w:r>
      <w:r w:rsidR="0003525F">
        <w:rPr>
          <w:b/>
        </w:rPr>
        <w:t xml:space="preserve"> y contra </w:t>
      </w:r>
      <w:r w:rsidR="0003525F" w:rsidRPr="0003525F">
        <w:rPr>
          <w:b/>
          <w:bCs/>
          <w:lang w:val="es-ES_tradnl"/>
        </w:rPr>
        <w:t>niños, niñas y adolescentes</w:t>
      </w:r>
      <w:r w:rsidR="00CC5C87" w:rsidRPr="00341CA6">
        <w:rPr>
          <w:b/>
        </w:rPr>
        <w:t xml:space="preserve"> en todos los ámbitos</w:t>
      </w:r>
      <w:r w:rsidR="00CC5C87">
        <w:rPr>
          <w:b/>
        </w:rPr>
        <w:t xml:space="preserve">, incluyendo en el ámbito </w:t>
      </w:r>
      <w:r w:rsidR="0003525F">
        <w:rPr>
          <w:b/>
        </w:rPr>
        <w:t>familiar</w:t>
      </w:r>
      <w:r w:rsidR="00CC5C87">
        <w:rPr>
          <w:b/>
        </w:rPr>
        <w:t>;</w:t>
      </w:r>
    </w:p>
    <w:p w14:paraId="7C264FFF" w14:textId="295EB5E4" w:rsidR="0003525F" w:rsidRDefault="004B0ADD" w:rsidP="0003525F">
      <w:pPr>
        <w:pStyle w:val="SingleTxtG"/>
        <w:ind w:right="1133"/>
        <w:rPr>
          <w:b/>
        </w:rPr>
      </w:pPr>
      <w:r>
        <w:tab/>
      </w:r>
      <w:r w:rsidR="00CC5C87">
        <w:t>d</w:t>
      </w:r>
      <w:r w:rsidR="00CC5C87" w:rsidRPr="00582127">
        <w:t>)</w:t>
      </w:r>
      <w:r w:rsidR="00CC5C87" w:rsidRPr="00582127">
        <w:tab/>
      </w:r>
      <w:r w:rsidR="00CC5C87" w:rsidRPr="00AF7C5A">
        <w:rPr>
          <w:b/>
        </w:rPr>
        <w:t xml:space="preserve">Redoble sus esfuerzos para </w:t>
      </w:r>
      <w:r w:rsidR="00CC5C87">
        <w:rPr>
          <w:b/>
        </w:rPr>
        <w:t xml:space="preserve">garantizar una protección adecuada </w:t>
      </w:r>
      <w:r w:rsidR="00CC5C87" w:rsidRPr="00AF7C5A">
        <w:rPr>
          <w:b/>
        </w:rPr>
        <w:t xml:space="preserve">a todas las </w:t>
      </w:r>
      <w:r w:rsidR="00CC5C87">
        <w:rPr>
          <w:b/>
        </w:rPr>
        <w:t>mujeres</w:t>
      </w:r>
      <w:r w:rsidR="0057118B">
        <w:rPr>
          <w:b/>
        </w:rPr>
        <w:t xml:space="preserve">, </w:t>
      </w:r>
      <w:r w:rsidR="0057118B" w:rsidRPr="0003525F">
        <w:rPr>
          <w:b/>
          <w:bCs/>
          <w:lang w:val="es-ES_tradnl"/>
        </w:rPr>
        <w:t>niños, niñas y adolescentes</w:t>
      </w:r>
      <w:r w:rsidR="0057118B">
        <w:rPr>
          <w:b/>
          <w:lang w:val="es-ES_tradnl"/>
        </w:rPr>
        <w:t xml:space="preserve">, </w:t>
      </w:r>
      <w:r w:rsidR="00CC5C87" w:rsidRPr="00AF7C5A">
        <w:rPr>
          <w:b/>
        </w:rPr>
        <w:t>víctimas de violencia</w:t>
      </w:r>
      <w:r w:rsidR="00CC5C87">
        <w:rPr>
          <w:b/>
        </w:rPr>
        <w:t>,</w:t>
      </w:r>
      <w:r w:rsidR="00CC5C87" w:rsidRPr="00AF7C5A">
        <w:rPr>
          <w:b/>
        </w:rPr>
        <w:t xml:space="preserve"> </w:t>
      </w:r>
      <w:r w:rsidR="00CC5C87">
        <w:rPr>
          <w:b/>
        </w:rPr>
        <w:t xml:space="preserve">asegurándoles </w:t>
      </w:r>
      <w:r w:rsidR="00CC5C87" w:rsidRPr="00AF7C5A">
        <w:rPr>
          <w:b/>
        </w:rPr>
        <w:t xml:space="preserve">el acceso a la justicia, por medio de recursos efectivos que incluyan medios de reparación e indemnización, y proporcionándoles un acceso adecuado a centros de acogida para </w:t>
      </w:r>
      <w:r w:rsidR="00CC5C87" w:rsidRPr="00AF7C5A">
        <w:rPr>
          <w:b/>
        </w:rPr>
        <w:lastRenderedPageBreak/>
        <w:t>ofrecerles una protección física inmediata, asesoramiento jurídico y servicios médicos y psicológicos</w:t>
      </w:r>
      <w:r w:rsidR="0003525F">
        <w:rPr>
          <w:b/>
        </w:rPr>
        <w:t xml:space="preserve">; </w:t>
      </w:r>
    </w:p>
    <w:p w14:paraId="323A7DDD" w14:textId="76C2F802" w:rsidR="00411D10" w:rsidRPr="0003525F" w:rsidRDefault="004B0ADD" w:rsidP="0003525F">
      <w:pPr>
        <w:pStyle w:val="SingleTxtG"/>
        <w:ind w:right="1133"/>
        <w:rPr>
          <w:b/>
        </w:rPr>
      </w:pPr>
      <w:r>
        <w:tab/>
      </w:r>
      <w:r w:rsidR="0003525F">
        <w:t xml:space="preserve">e) </w:t>
      </w:r>
      <w:r>
        <w:tab/>
      </w:r>
      <w:r w:rsidR="0003525F">
        <w:rPr>
          <w:b/>
          <w:color w:val="000000"/>
        </w:rPr>
        <w:t>Tome</w:t>
      </w:r>
      <w:r w:rsidR="00411D10" w:rsidRPr="003A0A6F">
        <w:rPr>
          <w:b/>
          <w:color w:val="000000"/>
        </w:rPr>
        <w:t xml:space="preserve"> medidas eficaces</w:t>
      </w:r>
      <w:r w:rsidR="00411D10">
        <w:rPr>
          <w:b/>
          <w:color w:val="000000"/>
        </w:rPr>
        <w:t xml:space="preserve"> </w:t>
      </w:r>
      <w:r w:rsidR="00411D10">
        <w:rPr>
          <w:b/>
          <w:lang w:val="es-ES_tradnl"/>
        </w:rPr>
        <w:t>para</w:t>
      </w:r>
      <w:r w:rsidR="00411D10" w:rsidRPr="00C7094A">
        <w:rPr>
          <w:b/>
          <w:lang w:val="es-ES_tradnl"/>
        </w:rPr>
        <w:t xml:space="preserve"> </w:t>
      </w:r>
      <w:r w:rsidR="00411D10">
        <w:rPr>
          <w:b/>
        </w:rPr>
        <w:t>la</w:t>
      </w:r>
      <w:r w:rsidR="00411D10" w:rsidRPr="00744384">
        <w:rPr>
          <w:b/>
        </w:rPr>
        <w:t xml:space="preserve"> lucha contra el trabajo infantil, entre otras cosas</w:t>
      </w:r>
      <w:r w:rsidR="00411D10">
        <w:rPr>
          <w:b/>
        </w:rPr>
        <w:t>,</w:t>
      </w:r>
      <w:r w:rsidR="00411D10" w:rsidRPr="00744384">
        <w:rPr>
          <w:b/>
        </w:rPr>
        <w:t xml:space="preserve"> garantizando </w:t>
      </w:r>
      <w:r w:rsidR="00411D10">
        <w:rPr>
          <w:b/>
        </w:rPr>
        <w:t>que</w:t>
      </w:r>
      <w:r w:rsidR="00411D10" w:rsidRPr="00744384">
        <w:rPr>
          <w:b/>
        </w:rPr>
        <w:t xml:space="preserve"> la legislación que protege a los niños de la explotación económica </w:t>
      </w:r>
      <w:r w:rsidR="00411D10">
        <w:rPr>
          <w:b/>
        </w:rPr>
        <w:t xml:space="preserve">se aplique enérgicamente, fortaleciendo los </w:t>
      </w:r>
      <w:r w:rsidR="00411D10" w:rsidRPr="00C7094A">
        <w:rPr>
          <w:b/>
          <w:lang w:val="es-ES_tradnl"/>
        </w:rPr>
        <w:t>mecanismos de supervisión del trabajo infantil</w:t>
      </w:r>
      <w:r w:rsidR="00411D10">
        <w:rPr>
          <w:b/>
          <w:lang w:val="es-ES_tradnl"/>
        </w:rPr>
        <w:t xml:space="preserve"> y aumentando las medidas de apoyo a las familias pobres a fin de mantener a sus hijos en el sistema educativo.</w:t>
      </w:r>
    </w:p>
    <w:p w14:paraId="08FB42B5" w14:textId="59C4F55D" w:rsidR="00411D10" w:rsidRPr="004B0ADD" w:rsidRDefault="00411D10" w:rsidP="004B0ADD">
      <w:pPr>
        <w:pStyle w:val="H23G"/>
        <w:ind w:firstLine="0"/>
        <w:rPr>
          <w:lang w:val="es-419"/>
        </w:rPr>
      </w:pPr>
      <w:r w:rsidRPr="004B0ADD">
        <w:rPr>
          <w:lang w:val="es-419"/>
        </w:rPr>
        <w:t>Pobreza</w:t>
      </w:r>
    </w:p>
    <w:p w14:paraId="2A3ACECE" w14:textId="3AC093FF" w:rsidR="00411D10" w:rsidRDefault="00411D10" w:rsidP="004B0ADD">
      <w:pPr>
        <w:pStyle w:val="SingleTxtG"/>
        <w:numPr>
          <w:ilvl w:val="0"/>
          <w:numId w:val="46"/>
        </w:numPr>
        <w:tabs>
          <w:tab w:val="clear" w:pos="1701"/>
          <w:tab w:val="clear" w:pos="2268"/>
          <w:tab w:val="clear" w:pos="2835"/>
        </w:tabs>
        <w:ind w:left="1134" w:firstLine="0"/>
      </w:pPr>
      <w:r>
        <w:t>Al Comité le preocupa la persistencia del alto índice de pobreza y de pobreza extrema en el Estado parte que afecta especialmente a los pueblos indígenas y afrodescendientes, así como a las personas que habitan en las zonas rurales. Así mismo, preocupa al Comité la persistente desigualdad del ingreso y de la riqueza que existe en el Estado parte (Art. 11).</w:t>
      </w:r>
    </w:p>
    <w:p w14:paraId="2D1C7F64" w14:textId="14ED1717" w:rsidR="00411D10" w:rsidRDefault="0057118B" w:rsidP="004B0ADD">
      <w:pPr>
        <w:pStyle w:val="SingleTxtG"/>
        <w:numPr>
          <w:ilvl w:val="0"/>
          <w:numId w:val="46"/>
        </w:numPr>
        <w:tabs>
          <w:tab w:val="clear" w:pos="1701"/>
          <w:tab w:val="clear" w:pos="2268"/>
          <w:tab w:val="clear" w:pos="2835"/>
        </w:tabs>
        <w:ind w:left="1134" w:firstLine="0"/>
        <w:rPr>
          <w:b/>
        </w:rPr>
      </w:pPr>
      <w:r>
        <w:rPr>
          <w:b/>
        </w:rPr>
        <w:t>E</w:t>
      </w:r>
      <w:r w:rsidR="00411D10">
        <w:rPr>
          <w:b/>
        </w:rPr>
        <w:t xml:space="preserve">l Comité recomienda al Estado parte: </w:t>
      </w:r>
    </w:p>
    <w:p w14:paraId="394FEEE7" w14:textId="2C3C9733" w:rsidR="00411D10" w:rsidRDefault="0057118B" w:rsidP="00794A8A">
      <w:pPr>
        <w:pStyle w:val="SingleTxtG"/>
        <w:tabs>
          <w:tab w:val="clear" w:pos="1701"/>
          <w:tab w:val="clear" w:pos="2268"/>
          <w:tab w:val="clear" w:pos="2835"/>
        </w:tabs>
        <w:ind w:firstLine="567"/>
        <w:rPr>
          <w:b/>
        </w:rPr>
      </w:pPr>
      <w:r>
        <w:rPr>
          <w:b/>
        </w:rPr>
        <w:t xml:space="preserve">a) </w:t>
      </w:r>
      <w:r w:rsidR="004B0ADD">
        <w:rPr>
          <w:b/>
        </w:rPr>
        <w:tab/>
      </w:r>
      <w:r w:rsidR="00411D10">
        <w:rPr>
          <w:b/>
        </w:rPr>
        <w:t xml:space="preserve">Incrementar sus esfuerzos en la lucha contra la pobreza, especialmente la pobreza extrema, </w:t>
      </w:r>
      <w:r w:rsidR="00411D10" w:rsidRPr="00B6011F">
        <w:rPr>
          <w:b/>
          <w:lang w:val="es-ES_tradnl"/>
        </w:rPr>
        <w:t>adoptando</w:t>
      </w:r>
      <w:r w:rsidR="00411D10">
        <w:rPr>
          <w:b/>
        </w:rPr>
        <w:t xml:space="preserve"> un plan nacional de acción para combatir la pobreza, que integre un enfoque de derechos humanos</w:t>
      </w:r>
      <w:r w:rsidR="00775E54">
        <w:rPr>
          <w:b/>
        </w:rPr>
        <w:t xml:space="preserve"> y de género</w:t>
      </w:r>
      <w:r w:rsidR="00411D10">
        <w:rPr>
          <w:b/>
        </w:rPr>
        <w:t xml:space="preserve">, cuente con los recursos suficientes para su implementación y preste la debida atención a las diferencias y brechas existentes en las zonas urbanas y rurales; </w:t>
      </w:r>
    </w:p>
    <w:p w14:paraId="4A8CEA03" w14:textId="5DE824F6" w:rsidR="00B33313" w:rsidRDefault="0057118B" w:rsidP="00794A8A">
      <w:pPr>
        <w:pStyle w:val="SingleTxtG"/>
        <w:tabs>
          <w:tab w:val="clear" w:pos="1701"/>
          <w:tab w:val="clear" w:pos="2268"/>
          <w:tab w:val="clear" w:pos="2835"/>
        </w:tabs>
        <w:ind w:firstLine="567"/>
        <w:rPr>
          <w:b/>
        </w:rPr>
      </w:pPr>
      <w:r>
        <w:rPr>
          <w:b/>
        </w:rPr>
        <w:t xml:space="preserve">b) </w:t>
      </w:r>
      <w:r w:rsidR="004B0ADD">
        <w:rPr>
          <w:b/>
        </w:rPr>
        <w:tab/>
      </w:r>
      <w:r w:rsidR="00411D10">
        <w:rPr>
          <w:b/>
        </w:rPr>
        <w:t xml:space="preserve">Adoptar medidas </w:t>
      </w:r>
      <w:r w:rsidR="00411D10" w:rsidRPr="00B6011F">
        <w:rPr>
          <w:b/>
          <w:lang w:val="es-ES_tradnl"/>
        </w:rPr>
        <w:t>efectivas</w:t>
      </w:r>
      <w:r w:rsidR="00411D10">
        <w:rPr>
          <w:b/>
        </w:rPr>
        <w:t xml:space="preserve"> de lucha contra la desigualdad, teniendo en cuenta las necesidades de los sectores sociales más desfavorecidos y marginados, particularmente de los grupos con bajos ingresos, los pueblos indígenas y afrodescendientes, y de las personas que habitan en las zonas rurales</w:t>
      </w:r>
      <w:r w:rsidR="00651722">
        <w:rPr>
          <w:b/>
        </w:rPr>
        <w:t>;</w:t>
      </w:r>
    </w:p>
    <w:p w14:paraId="1AFA439E" w14:textId="1B31D449" w:rsidR="00411D10" w:rsidRDefault="0057118B" w:rsidP="00794A8A">
      <w:pPr>
        <w:pStyle w:val="SingleTxtG"/>
        <w:tabs>
          <w:tab w:val="clear" w:pos="1701"/>
          <w:tab w:val="clear" w:pos="2268"/>
          <w:tab w:val="clear" w:pos="2835"/>
        </w:tabs>
        <w:ind w:firstLine="567"/>
        <w:rPr>
          <w:b/>
        </w:rPr>
      </w:pPr>
      <w:r>
        <w:rPr>
          <w:b/>
        </w:rPr>
        <w:t xml:space="preserve">c) </w:t>
      </w:r>
      <w:r w:rsidR="004B0ADD">
        <w:rPr>
          <w:b/>
        </w:rPr>
        <w:tab/>
      </w:r>
      <w:r>
        <w:rPr>
          <w:b/>
        </w:rPr>
        <w:t xml:space="preserve">Tomar </w:t>
      </w:r>
      <w:r w:rsidR="00B33313">
        <w:rPr>
          <w:b/>
        </w:rPr>
        <w:t>en consideración su Declaración</w:t>
      </w:r>
      <w:r w:rsidR="006A301D">
        <w:rPr>
          <w:rStyle w:val="FootnoteReference"/>
          <w:b/>
        </w:rPr>
        <w:footnoteReference w:id="13"/>
      </w:r>
      <w:r w:rsidR="00B33313">
        <w:rPr>
          <w:b/>
        </w:rPr>
        <w:t xml:space="preserve"> sobre la Pobreza y el Pacto Internacional de Derechos Económicos, </w:t>
      </w:r>
      <w:r w:rsidR="00B33313" w:rsidRPr="00B6011F">
        <w:rPr>
          <w:b/>
          <w:lang w:val="es-ES_tradnl"/>
        </w:rPr>
        <w:t>Sociales</w:t>
      </w:r>
      <w:r w:rsidR="00B33313">
        <w:rPr>
          <w:b/>
        </w:rPr>
        <w:t xml:space="preserve"> y Culturales (2001)</w:t>
      </w:r>
      <w:r w:rsidR="00411D10">
        <w:rPr>
          <w:b/>
        </w:rPr>
        <w:t xml:space="preserve">. </w:t>
      </w:r>
    </w:p>
    <w:p w14:paraId="4EABC640" w14:textId="77777777" w:rsidR="00411D10" w:rsidRPr="004B0ADD" w:rsidRDefault="00411D10" w:rsidP="00411D10">
      <w:pPr>
        <w:pStyle w:val="H23G"/>
        <w:ind w:firstLine="0"/>
        <w:rPr>
          <w:lang w:val="es-419"/>
        </w:rPr>
      </w:pPr>
      <w:r w:rsidRPr="004B0ADD">
        <w:rPr>
          <w:lang w:val="es-419"/>
        </w:rPr>
        <w:t>Conflictos sobre tierra y desalojos forzosos</w:t>
      </w:r>
    </w:p>
    <w:p w14:paraId="2EE167A2" w14:textId="2B815BB1" w:rsidR="00411D10" w:rsidRDefault="00411D10" w:rsidP="004B0ADD">
      <w:pPr>
        <w:pStyle w:val="SingleTxtG"/>
        <w:numPr>
          <w:ilvl w:val="0"/>
          <w:numId w:val="46"/>
        </w:numPr>
        <w:tabs>
          <w:tab w:val="clear" w:pos="1701"/>
          <w:tab w:val="clear" w:pos="2268"/>
          <w:tab w:val="clear" w:pos="2835"/>
        </w:tabs>
        <w:ind w:left="1134" w:firstLine="0"/>
      </w:pPr>
      <w:r>
        <w:t xml:space="preserve">El Comité está preocupado </w:t>
      </w:r>
      <w:r w:rsidR="003F7626">
        <w:t xml:space="preserve">por </w:t>
      </w:r>
      <w:r w:rsidR="0036051A">
        <w:t>la falta de seguridad de la tenencia de la tierra lo cual ha provocado graves conflictos sociale</w:t>
      </w:r>
      <w:r w:rsidR="00D92A68">
        <w:t>s</w:t>
      </w:r>
      <w:r w:rsidR="0057118B">
        <w:t xml:space="preserve"> y afectado el derecho que tienen los pueblos indígenas sobre las tierras, territorios y recursos que tradicionalmente han ocupado o poseído</w:t>
      </w:r>
      <w:r w:rsidR="00D92A68">
        <w:t xml:space="preserve">. </w:t>
      </w:r>
      <w:r>
        <w:t>Al Comité le preocupan las informaciones sobre el elevado número de familias campesinas</w:t>
      </w:r>
      <w:r w:rsidR="0036051A">
        <w:t xml:space="preserve"> y familias indígenas que han sido víctimas de desalojos forzosos incompatibles con los estándares internacionales de derechos humanos</w:t>
      </w:r>
      <w:r w:rsidR="003F7626">
        <w:t>,</w:t>
      </w:r>
      <w:r w:rsidR="0036051A">
        <w:t xml:space="preserve"> </w:t>
      </w:r>
      <w:r w:rsidR="003F7626">
        <w:t xml:space="preserve">debido a </w:t>
      </w:r>
      <w:r w:rsidR="0036051A">
        <w:t xml:space="preserve">la falta de notificación previa, el uso desproporcionado de la fuerza y la ausencia de medidas de reubicación </w:t>
      </w:r>
      <w:r>
        <w:t>(art. 11).</w:t>
      </w:r>
    </w:p>
    <w:p w14:paraId="18517849" w14:textId="28D6B9D9" w:rsidR="00411D10" w:rsidRDefault="00411D10" w:rsidP="004B0ADD">
      <w:pPr>
        <w:pStyle w:val="SingleTxtG"/>
        <w:numPr>
          <w:ilvl w:val="0"/>
          <w:numId w:val="46"/>
        </w:numPr>
        <w:tabs>
          <w:tab w:val="clear" w:pos="1701"/>
          <w:tab w:val="clear" w:pos="2268"/>
          <w:tab w:val="clear" w:pos="2835"/>
        </w:tabs>
        <w:ind w:left="1134" w:firstLine="0"/>
      </w:pPr>
      <w:r>
        <w:rPr>
          <w:b/>
        </w:rPr>
        <w:t xml:space="preserve">El Comité recomienda al Estado parte que: </w:t>
      </w:r>
    </w:p>
    <w:p w14:paraId="08805879" w14:textId="1CA758D0" w:rsidR="00411D10" w:rsidRDefault="00411D10" w:rsidP="004B0ADD">
      <w:pPr>
        <w:pStyle w:val="SingleTxtG"/>
        <w:numPr>
          <w:ilvl w:val="0"/>
          <w:numId w:val="44"/>
        </w:numPr>
        <w:tabs>
          <w:tab w:val="clear" w:pos="1701"/>
          <w:tab w:val="clear" w:pos="2268"/>
          <w:tab w:val="clear" w:pos="2835"/>
        </w:tabs>
        <w:ind w:left="1134" w:firstLine="567"/>
        <w:rPr>
          <w:b/>
        </w:rPr>
      </w:pPr>
      <w:r>
        <w:rPr>
          <w:b/>
        </w:rPr>
        <w:t>Adopte l</w:t>
      </w:r>
      <w:r w:rsidR="00B6011F">
        <w:rPr>
          <w:b/>
        </w:rPr>
        <w:t xml:space="preserve">as medidas necesarias a fin de </w:t>
      </w:r>
      <w:r>
        <w:rPr>
          <w:b/>
        </w:rPr>
        <w:t>garantizar el acceso equitativo a la tierra y a los recursos naturales</w:t>
      </w:r>
      <w:r w:rsidR="003F7626">
        <w:rPr>
          <w:b/>
        </w:rPr>
        <w:t xml:space="preserve">, </w:t>
      </w:r>
      <w:r>
        <w:rPr>
          <w:b/>
        </w:rPr>
        <w:t xml:space="preserve">asegurando </w:t>
      </w:r>
      <w:r w:rsidR="00794A8A">
        <w:rPr>
          <w:b/>
        </w:rPr>
        <w:t xml:space="preserve">seguridad jurídica y </w:t>
      </w:r>
      <w:r>
        <w:rPr>
          <w:b/>
        </w:rPr>
        <w:t>los derechos agrarios, particularmente de los pequeños productores agrícolas;</w:t>
      </w:r>
    </w:p>
    <w:p w14:paraId="70D80BE7" w14:textId="1C058DFA" w:rsidR="00925B57" w:rsidRPr="00925B57" w:rsidRDefault="0057118B" w:rsidP="004B0ADD">
      <w:pPr>
        <w:pStyle w:val="SingleTxtG"/>
        <w:numPr>
          <w:ilvl w:val="0"/>
          <w:numId w:val="44"/>
        </w:numPr>
        <w:tabs>
          <w:tab w:val="clear" w:pos="1701"/>
          <w:tab w:val="clear" w:pos="2268"/>
          <w:tab w:val="clear" w:pos="2835"/>
        </w:tabs>
        <w:ind w:left="1134" w:firstLine="567"/>
        <w:rPr>
          <w:rFonts w:eastAsia="Times New Roman"/>
          <w:lang w:eastAsia="es-ES_tradnl"/>
        </w:rPr>
      </w:pPr>
      <w:r w:rsidRPr="00925B57">
        <w:rPr>
          <w:b/>
        </w:rPr>
        <w:t>Establezca un mecanismo eficaz para asegurar la protección que tienen los pueblos indígenas a poseer</w:t>
      </w:r>
      <w:r w:rsidR="00193A09">
        <w:rPr>
          <w:b/>
        </w:rPr>
        <w:t>,</w:t>
      </w:r>
      <w:r w:rsidRPr="00925B57">
        <w:rPr>
          <w:b/>
        </w:rPr>
        <w:t xml:space="preserve"> </w:t>
      </w:r>
      <w:r w:rsidR="00925B57" w:rsidRPr="00925B57">
        <w:rPr>
          <w:rFonts w:eastAsia="Times New Roman"/>
          <w:b/>
          <w:bCs/>
          <w:lang w:eastAsia="es-ES_tradnl"/>
        </w:rPr>
        <w:t>utilizar, desarrollar y controlar con plena seguridad sus tierras, territorios y recursos, incluso mediante el avance en el proceso de saneamiento territorial, el reconocimiento legal y la protección jurídica necesarios, de conformidad con los estándares internacionales;</w:t>
      </w:r>
    </w:p>
    <w:p w14:paraId="401700C2" w14:textId="281D2AE1" w:rsidR="00925B57" w:rsidRDefault="00411D10" w:rsidP="004B0ADD">
      <w:pPr>
        <w:pStyle w:val="SingleTxtG"/>
        <w:numPr>
          <w:ilvl w:val="0"/>
          <w:numId w:val="44"/>
        </w:numPr>
        <w:tabs>
          <w:tab w:val="clear" w:pos="1701"/>
          <w:tab w:val="clear" w:pos="2268"/>
          <w:tab w:val="clear" w:pos="2835"/>
        </w:tabs>
        <w:ind w:left="1134" w:firstLine="567"/>
        <w:rPr>
          <w:b/>
        </w:rPr>
      </w:pPr>
      <w:r w:rsidRPr="00925B57">
        <w:rPr>
          <w:b/>
        </w:rPr>
        <w:t xml:space="preserve">Adopte medidas eficaces contra los desalojos forzosos, de conformidad con la normativa internacional de los derechos humanos y garantice </w:t>
      </w:r>
      <w:r w:rsidR="00965178">
        <w:rPr>
          <w:b/>
        </w:rPr>
        <w:t>que</w:t>
      </w:r>
      <w:r w:rsidR="00965178" w:rsidRPr="00925B57">
        <w:rPr>
          <w:b/>
        </w:rPr>
        <w:t xml:space="preserve"> </w:t>
      </w:r>
      <w:r w:rsidRPr="00925B57">
        <w:rPr>
          <w:b/>
        </w:rPr>
        <w:t>las víctimas de esos desalojos tengan acceso a un recurso efectivo que permita la restitución de sus bienes, el retorno a sus casas o tierras</w:t>
      </w:r>
      <w:r w:rsidR="007A0079">
        <w:rPr>
          <w:b/>
        </w:rPr>
        <w:t xml:space="preserve"> o</w:t>
      </w:r>
      <w:r w:rsidR="00525161">
        <w:rPr>
          <w:b/>
        </w:rPr>
        <w:t xml:space="preserve"> bien </w:t>
      </w:r>
      <w:r w:rsidR="007A0079">
        <w:rPr>
          <w:b/>
        </w:rPr>
        <w:t>a una alternativa adecuada</w:t>
      </w:r>
      <w:r w:rsidR="00965178">
        <w:rPr>
          <w:b/>
        </w:rPr>
        <w:t xml:space="preserve">, así como </w:t>
      </w:r>
      <w:r w:rsidRPr="00925B57">
        <w:rPr>
          <w:b/>
        </w:rPr>
        <w:t xml:space="preserve">la concesión de una indemnización adecuada. </w:t>
      </w:r>
    </w:p>
    <w:p w14:paraId="1D95198B" w14:textId="3E3F0768" w:rsidR="00411D10" w:rsidRPr="00925B57" w:rsidRDefault="00925B57" w:rsidP="004B0ADD">
      <w:pPr>
        <w:pStyle w:val="SingleTxtG"/>
        <w:numPr>
          <w:ilvl w:val="0"/>
          <w:numId w:val="44"/>
        </w:numPr>
        <w:tabs>
          <w:tab w:val="clear" w:pos="1701"/>
          <w:tab w:val="clear" w:pos="2268"/>
          <w:tab w:val="clear" w:pos="2835"/>
        </w:tabs>
        <w:ind w:left="1134" w:firstLine="567"/>
        <w:rPr>
          <w:b/>
        </w:rPr>
      </w:pPr>
      <w:r>
        <w:rPr>
          <w:b/>
          <w:lang w:val="es-ES_tradnl"/>
        </w:rPr>
        <w:lastRenderedPageBreak/>
        <w:t xml:space="preserve">Tome en consideración </w:t>
      </w:r>
      <w:r w:rsidR="00411D10" w:rsidRPr="00925B57">
        <w:rPr>
          <w:b/>
          <w:lang w:val="es-ES_tradnl"/>
        </w:rPr>
        <w:t>su Observación general Nº 7 (1997), relativa a los desalojos forzosos, que incluye orientaciones, entre otras cosas, sobre recursos legales adecuados, indemnización adecuada y consultas.</w:t>
      </w:r>
    </w:p>
    <w:p w14:paraId="7C01ACA1" w14:textId="28778031" w:rsidR="000B7A1E" w:rsidRPr="004B0ADD" w:rsidRDefault="008531CF" w:rsidP="004B0ADD">
      <w:pPr>
        <w:pStyle w:val="H23G"/>
        <w:ind w:firstLine="0"/>
        <w:rPr>
          <w:lang w:val="es-419"/>
        </w:rPr>
      </w:pPr>
      <w:r w:rsidRPr="004B0ADD">
        <w:rPr>
          <w:lang w:val="es-419"/>
        </w:rPr>
        <w:t xml:space="preserve">Derecho a la alimentación </w:t>
      </w:r>
    </w:p>
    <w:p w14:paraId="66401499" w14:textId="64A06B0C" w:rsidR="00185C8F" w:rsidRDefault="008A6AAA" w:rsidP="004B0ADD">
      <w:pPr>
        <w:pStyle w:val="SingleTxtG"/>
        <w:numPr>
          <w:ilvl w:val="0"/>
          <w:numId w:val="46"/>
        </w:numPr>
        <w:tabs>
          <w:tab w:val="clear" w:pos="1701"/>
          <w:tab w:val="clear" w:pos="2268"/>
          <w:tab w:val="clear" w:pos="2835"/>
        </w:tabs>
        <w:ind w:left="1134" w:firstLine="0"/>
        <w:rPr>
          <w:lang w:val="es-ES_tradnl"/>
        </w:rPr>
      </w:pPr>
      <w:r>
        <w:t>El Comité observa con preocupación l</w:t>
      </w:r>
      <w:r w:rsidR="00567760">
        <w:t xml:space="preserve">a grave situación de inseguridad alimentaria y el alto índice de </w:t>
      </w:r>
      <w:r>
        <w:t xml:space="preserve">desnutrición crónica </w:t>
      </w:r>
      <w:r w:rsidR="00567760">
        <w:t xml:space="preserve">infantil en el Estado parte que </w:t>
      </w:r>
      <w:r w:rsidR="00E50CFB">
        <w:t xml:space="preserve">afecta principalmente a la población indígena. </w:t>
      </w:r>
    </w:p>
    <w:p w14:paraId="43632EB6" w14:textId="416A6737" w:rsidR="00185C8F" w:rsidRPr="0036051A" w:rsidRDefault="00185C8F" w:rsidP="004B0ADD">
      <w:pPr>
        <w:pStyle w:val="SingleTxtG"/>
        <w:numPr>
          <w:ilvl w:val="0"/>
          <w:numId w:val="46"/>
        </w:numPr>
        <w:tabs>
          <w:tab w:val="clear" w:pos="1701"/>
          <w:tab w:val="clear" w:pos="2268"/>
          <w:tab w:val="clear" w:pos="2835"/>
        </w:tabs>
        <w:ind w:left="1134" w:firstLine="0"/>
        <w:rPr>
          <w:rFonts w:eastAsia="Times New Roman"/>
          <w:b/>
        </w:rPr>
      </w:pPr>
      <w:r>
        <w:rPr>
          <w:b/>
          <w:lang w:val="es-ES_tradnl"/>
        </w:rPr>
        <w:t xml:space="preserve">El Comité recomienda al Estado parte que redoble sus esfuerzos para proteger el derecho a una alimentación adecuada e intensifique sus iniciativas para hacer frente de manera efectiva a la situación de inseguridad alimentaria y </w:t>
      </w:r>
      <w:r w:rsidR="00E50CFB">
        <w:rPr>
          <w:b/>
          <w:lang w:val="es-ES_tradnl"/>
        </w:rPr>
        <w:t>desnutrición crónica</w:t>
      </w:r>
      <w:r>
        <w:rPr>
          <w:b/>
          <w:lang w:val="es-ES_tradnl"/>
        </w:rPr>
        <w:t xml:space="preserve"> infantil, particularmente en las zonas rurales.</w:t>
      </w:r>
      <w:r w:rsidR="0036051A">
        <w:rPr>
          <w:b/>
          <w:lang w:val="es-ES_tradnl"/>
        </w:rPr>
        <w:t xml:space="preserve"> </w:t>
      </w:r>
      <w:r>
        <w:rPr>
          <w:b/>
        </w:rPr>
        <w:t>El Comité recomienda al Estado Parte que aumente su inversión en la producción agrícola local, mejorando la productividad de los pequeños productores agrícolas y su acceso a los mercados locales, con el fin de mejorar los ingresos en las zonas rurales</w:t>
      </w:r>
      <w:r w:rsidR="009C2C74">
        <w:rPr>
          <w:b/>
        </w:rPr>
        <w:t>, incluyendo la posibilidad de realizar una reforma agraria</w:t>
      </w:r>
      <w:r>
        <w:rPr>
          <w:b/>
        </w:rPr>
        <w:t xml:space="preserve">. </w:t>
      </w:r>
      <w:r>
        <w:rPr>
          <w:b/>
          <w:bCs/>
          <w:lang w:eastAsia="zh-CN"/>
        </w:rPr>
        <w:t>El Comit</w:t>
      </w:r>
      <w:r w:rsidR="00E50CFB">
        <w:rPr>
          <w:b/>
          <w:bCs/>
          <w:lang w:eastAsia="zh-CN"/>
        </w:rPr>
        <w:t>é</w:t>
      </w:r>
      <w:r>
        <w:rPr>
          <w:b/>
          <w:bCs/>
          <w:lang w:eastAsia="zh-CN"/>
        </w:rPr>
        <w:t xml:space="preserve"> </w:t>
      </w:r>
      <w:r>
        <w:rPr>
          <w:b/>
        </w:rPr>
        <w:t>remite</w:t>
      </w:r>
      <w:r w:rsidR="00E50CFB">
        <w:rPr>
          <w:b/>
        </w:rPr>
        <w:t xml:space="preserve"> al Estado parte</w:t>
      </w:r>
      <w:r>
        <w:rPr>
          <w:b/>
        </w:rPr>
        <w:t xml:space="preserve"> a su Observación general Nº 12 (1999)</w:t>
      </w:r>
      <w:r w:rsidR="00026280">
        <w:rPr>
          <w:rStyle w:val="FootnoteReference"/>
          <w:b/>
        </w:rPr>
        <w:footnoteReference w:id="14"/>
      </w:r>
      <w:r>
        <w:rPr>
          <w:b/>
        </w:rPr>
        <w:t xml:space="preserve"> sobre el derecho a una alimentación adecuada y a las directrices voluntarias en apoyo de la realización progresiva del derecho a una alimentación adecuada en el contexto de la seguridad alimentaria mundial, aprobadas por la Organización de las Naciones Unidas para la Alimentación y la Agricultura.</w:t>
      </w:r>
    </w:p>
    <w:p w14:paraId="4F03E2FE" w14:textId="77777777" w:rsidR="001556D7" w:rsidRPr="004B0ADD" w:rsidRDefault="001556D7" w:rsidP="004B0ADD">
      <w:pPr>
        <w:pStyle w:val="H23G"/>
        <w:ind w:firstLine="0"/>
        <w:rPr>
          <w:lang w:val="es-419"/>
        </w:rPr>
      </w:pPr>
      <w:r w:rsidRPr="004B0ADD">
        <w:rPr>
          <w:lang w:val="es-419"/>
        </w:rPr>
        <w:t xml:space="preserve">Derecho al agua </w:t>
      </w:r>
      <w:r w:rsidR="00335EA2" w:rsidRPr="004B0ADD">
        <w:rPr>
          <w:lang w:val="es-419"/>
        </w:rPr>
        <w:t xml:space="preserve">y saneamiento </w:t>
      </w:r>
    </w:p>
    <w:p w14:paraId="6328132C" w14:textId="12282E3F" w:rsidR="00185C8F" w:rsidRPr="00000125" w:rsidRDefault="00E50CFB" w:rsidP="004B0ADD">
      <w:pPr>
        <w:pStyle w:val="SingleTxtG"/>
        <w:numPr>
          <w:ilvl w:val="0"/>
          <w:numId w:val="46"/>
        </w:numPr>
        <w:tabs>
          <w:tab w:val="clear" w:pos="1701"/>
          <w:tab w:val="clear" w:pos="2268"/>
          <w:tab w:val="clear" w:pos="2835"/>
        </w:tabs>
        <w:ind w:left="1134" w:firstLine="0"/>
        <w:rPr>
          <w:color w:val="000000"/>
          <w:lang w:val="es-ES_tradnl"/>
        </w:rPr>
      </w:pPr>
      <w:r>
        <w:rPr>
          <w:color w:val="000000"/>
          <w:lang w:val="es-ES_tradnl"/>
        </w:rPr>
        <w:t xml:space="preserve">Preocupa al Comité el acceso limitado </w:t>
      </w:r>
      <w:r w:rsidR="00185C8F">
        <w:rPr>
          <w:color w:val="000000"/>
          <w:lang w:val="es-ES_tradnl"/>
        </w:rPr>
        <w:t>de</w:t>
      </w:r>
      <w:r w:rsidR="00185C8F" w:rsidRPr="00000125">
        <w:rPr>
          <w:color w:val="000000"/>
          <w:lang w:val="es-ES_tradnl"/>
        </w:rPr>
        <w:t xml:space="preserve"> </w:t>
      </w:r>
      <w:r w:rsidR="00185C8F">
        <w:rPr>
          <w:color w:val="000000"/>
          <w:lang w:val="es-ES_tradnl"/>
        </w:rPr>
        <w:t xml:space="preserve">agua potable de calidad y de servicios de saneamiento adecuados, </w:t>
      </w:r>
      <w:r w:rsidR="009C2C74">
        <w:rPr>
          <w:color w:val="000000"/>
          <w:lang w:val="es-ES_tradnl"/>
        </w:rPr>
        <w:t>lo cual afecta</w:t>
      </w:r>
      <w:r w:rsidR="00185C8F">
        <w:rPr>
          <w:color w:val="000000"/>
          <w:lang w:val="es-ES_tradnl"/>
        </w:rPr>
        <w:t xml:space="preserve"> de manera desproporcionada a los grupos más desfavorecidos y marginados</w:t>
      </w:r>
      <w:r w:rsidR="0036051A">
        <w:rPr>
          <w:color w:val="000000"/>
          <w:lang w:val="es-ES_tradnl"/>
        </w:rPr>
        <w:t>, en particular en las zonas rurales</w:t>
      </w:r>
      <w:r w:rsidR="00185C8F">
        <w:rPr>
          <w:color w:val="000000"/>
          <w:lang w:val="es-ES_tradnl"/>
        </w:rPr>
        <w:t>.</w:t>
      </w:r>
      <w:r>
        <w:rPr>
          <w:color w:val="000000"/>
          <w:lang w:val="es-ES_tradnl"/>
        </w:rPr>
        <w:t xml:space="preserve"> El Comité observa con preocupación la </w:t>
      </w:r>
      <w:r w:rsidR="00185C8F">
        <w:rPr>
          <w:color w:val="000000"/>
          <w:lang w:val="es-ES_tradnl"/>
        </w:rPr>
        <w:t xml:space="preserve">falta de protección adecuada de </w:t>
      </w:r>
      <w:r w:rsidR="00185C8F" w:rsidRPr="00000125">
        <w:rPr>
          <w:color w:val="000000"/>
          <w:lang w:val="es-ES_tradnl"/>
        </w:rPr>
        <w:t>los recursos hídricos</w:t>
      </w:r>
      <w:r w:rsidR="006741D8">
        <w:rPr>
          <w:color w:val="000000"/>
          <w:lang w:val="es-ES_tradnl"/>
        </w:rPr>
        <w:t xml:space="preserve">, particularmente respecto de los efectos del cambio climático </w:t>
      </w:r>
      <w:r>
        <w:rPr>
          <w:color w:val="000000"/>
          <w:lang w:val="es-ES_tradnl"/>
        </w:rPr>
        <w:t xml:space="preserve">y </w:t>
      </w:r>
      <w:r w:rsidR="00D92A68">
        <w:rPr>
          <w:color w:val="000000"/>
          <w:lang w:val="es-ES_tradnl"/>
        </w:rPr>
        <w:t>la falta de progreso en la adopción de una ley sobre el agua</w:t>
      </w:r>
      <w:r w:rsidR="006741D8">
        <w:rPr>
          <w:color w:val="000000"/>
          <w:lang w:val="es-ES_tradnl"/>
        </w:rPr>
        <w:t xml:space="preserve">, </w:t>
      </w:r>
      <w:r w:rsidR="00185C8F">
        <w:rPr>
          <w:color w:val="000000"/>
          <w:lang w:val="es-ES_tradnl"/>
        </w:rPr>
        <w:t>(art. 11).</w:t>
      </w:r>
    </w:p>
    <w:p w14:paraId="13746437" w14:textId="0BFB6173" w:rsidR="00185C8F" w:rsidRPr="00095504" w:rsidRDefault="00185C8F" w:rsidP="004B0ADD">
      <w:pPr>
        <w:pStyle w:val="SingleTxtG"/>
        <w:numPr>
          <w:ilvl w:val="0"/>
          <w:numId w:val="46"/>
        </w:numPr>
        <w:tabs>
          <w:tab w:val="clear" w:pos="1701"/>
          <w:tab w:val="clear" w:pos="2268"/>
          <w:tab w:val="clear" w:pos="2835"/>
        </w:tabs>
        <w:ind w:left="1134" w:firstLine="0"/>
        <w:rPr>
          <w:b/>
          <w:color w:val="000000"/>
        </w:rPr>
      </w:pPr>
      <w:r w:rsidRPr="00095504">
        <w:rPr>
          <w:b/>
          <w:color w:val="000000"/>
        </w:rPr>
        <w:t>El Comité insta al Estado parte a intensificar</w:t>
      </w:r>
      <w:r w:rsidRPr="00095504">
        <w:rPr>
          <w:b/>
          <w:bCs/>
        </w:rPr>
        <w:t xml:space="preserve"> sus esfuerzos para garantizar el acceso al agua potable y servicios de saneamiento de toda la población, en particular de los grupos más desfavorecidos y marginados y de los que viven en zonas rurales y remotas</w:t>
      </w:r>
      <w:r>
        <w:rPr>
          <w:b/>
          <w:bCs/>
        </w:rPr>
        <w:t>, entre otros, asegurando una coordinación efectiva entre los diferentes niveles de la administración y asignando recursos suficientes para el suministro adecuado de estos servicios</w:t>
      </w:r>
      <w:r w:rsidRPr="00095504">
        <w:rPr>
          <w:b/>
          <w:bCs/>
        </w:rPr>
        <w:t xml:space="preserve">. </w:t>
      </w:r>
      <w:r>
        <w:rPr>
          <w:b/>
          <w:bCs/>
        </w:rPr>
        <w:t>Asimismo, le recomienda</w:t>
      </w:r>
      <w:r w:rsidRPr="00095504">
        <w:rPr>
          <w:b/>
          <w:bCs/>
        </w:rPr>
        <w:t xml:space="preserve"> que asegure una debida protección de sus recursos hídricos, </w:t>
      </w:r>
      <w:r>
        <w:rPr>
          <w:b/>
          <w:bCs/>
        </w:rPr>
        <w:t xml:space="preserve">incluso </w:t>
      </w:r>
      <w:r w:rsidR="00302D4E">
        <w:rPr>
          <w:b/>
          <w:bCs/>
        </w:rPr>
        <w:t xml:space="preserve">mediante la adopción de una ley sobre el agua que: a) </w:t>
      </w:r>
      <w:r w:rsidR="00775E54">
        <w:rPr>
          <w:b/>
          <w:bCs/>
        </w:rPr>
        <w:t xml:space="preserve">reconozca el derecho al agua como un derecho humano que debe ser garantizado sin discriminación; b) </w:t>
      </w:r>
      <w:r w:rsidR="00302D4E">
        <w:rPr>
          <w:b/>
          <w:bCs/>
        </w:rPr>
        <w:t xml:space="preserve">sea concertada con todos los actores sociales; </w:t>
      </w:r>
      <w:r w:rsidR="00775E54">
        <w:rPr>
          <w:b/>
          <w:bCs/>
        </w:rPr>
        <w:t>c</w:t>
      </w:r>
      <w:r w:rsidR="00302D4E">
        <w:rPr>
          <w:b/>
          <w:bCs/>
        </w:rPr>
        <w:t xml:space="preserve">) aborde </w:t>
      </w:r>
      <w:r>
        <w:rPr>
          <w:b/>
          <w:bCs/>
        </w:rPr>
        <w:t xml:space="preserve">los efectos negativos generados por </w:t>
      </w:r>
      <w:r w:rsidRPr="00095504">
        <w:rPr>
          <w:b/>
          <w:bCs/>
        </w:rPr>
        <w:t>actividades económicas y de explotación de recursos naturales</w:t>
      </w:r>
      <w:r w:rsidR="006741D8">
        <w:rPr>
          <w:b/>
          <w:bCs/>
        </w:rPr>
        <w:t>, así como los efectos del cambio climático</w:t>
      </w:r>
      <w:r>
        <w:rPr>
          <w:b/>
          <w:bCs/>
        </w:rPr>
        <w:t xml:space="preserve">; </w:t>
      </w:r>
      <w:r w:rsidR="00775E54">
        <w:rPr>
          <w:b/>
          <w:bCs/>
        </w:rPr>
        <w:t>d</w:t>
      </w:r>
      <w:r w:rsidR="00302D4E">
        <w:rPr>
          <w:b/>
          <w:bCs/>
        </w:rPr>
        <w:t xml:space="preserve">) </w:t>
      </w:r>
      <w:r>
        <w:rPr>
          <w:b/>
          <w:bCs/>
        </w:rPr>
        <w:t xml:space="preserve">determine sanciones y penalidades para las empresas que, en su caso, por medio de sus actividades contaminen los recursos hídricos; y </w:t>
      </w:r>
      <w:r w:rsidR="00775E54">
        <w:rPr>
          <w:b/>
          <w:bCs/>
        </w:rPr>
        <w:t>e</w:t>
      </w:r>
      <w:r w:rsidR="00302D4E">
        <w:rPr>
          <w:b/>
          <w:bCs/>
        </w:rPr>
        <w:t xml:space="preserve">) </w:t>
      </w:r>
      <w:r>
        <w:rPr>
          <w:b/>
          <w:bCs/>
        </w:rPr>
        <w:t xml:space="preserve">establezca </w:t>
      </w:r>
      <w:r w:rsidRPr="00095504">
        <w:rPr>
          <w:b/>
          <w:color w:val="000000"/>
        </w:rPr>
        <w:t xml:space="preserve">un sistema adecuado y sostenible de gestión y tratamiento de aguas residuales. </w:t>
      </w:r>
      <w:r w:rsidR="00302D4E">
        <w:rPr>
          <w:b/>
          <w:bCs/>
        </w:rPr>
        <w:t xml:space="preserve">El Comité remite al Estado parte a </w:t>
      </w:r>
      <w:r w:rsidRPr="00095504">
        <w:rPr>
          <w:b/>
          <w:bCs/>
        </w:rPr>
        <w:t>su observación general núm. 15 (</w:t>
      </w:r>
      <w:r>
        <w:rPr>
          <w:b/>
          <w:bCs/>
        </w:rPr>
        <w:t>2002)</w:t>
      </w:r>
      <w:r w:rsidR="00ED5C3B">
        <w:rPr>
          <w:rStyle w:val="FootnoteReference"/>
          <w:b/>
          <w:bCs/>
        </w:rPr>
        <w:footnoteReference w:id="15"/>
      </w:r>
      <w:r>
        <w:rPr>
          <w:b/>
          <w:bCs/>
        </w:rPr>
        <w:t xml:space="preserve"> sobre el derecho al agua.</w:t>
      </w:r>
    </w:p>
    <w:p w14:paraId="733554AA" w14:textId="16C683D2" w:rsidR="00185C8F" w:rsidRPr="004B0ADD" w:rsidRDefault="00185C8F" w:rsidP="004B0ADD">
      <w:pPr>
        <w:pStyle w:val="H23G"/>
        <w:ind w:firstLine="0"/>
        <w:rPr>
          <w:lang w:val="es-419"/>
        </w:rPr>
      </w:pPr>
      <w:r w:rsidRPr="004B0ADD">
        <w:rPr>
          <w:lang w:val="es-419"/>
        </w:rPr>
        <w:tab/>
        <w:t xml:space="preserve">Derecho a la salud </w:t>
      </w:r>
    </w:p>
    <w:p w14:paraId="061338CA" w14:textId="4EFF647E" w:rsidR="005076C7" w:rsidRDefault="00185C8F" w:rsidP="004B0ADD">
      <w:pPr>
        <w:pStyle w:val="SingleTxtG"/>
        <w:numPr>
          <w:ilvl w:val="0"/>
          <w:numId w:val="46"/>
        </w:numPr>
        <w:tabs>
          <w:tab w:val="clear" w:pos="1701"/>
          <w:tab w:val="clear" w:pos="2268"/>
          <w:tab w:val="clear" w:pos="2835"/>
        </w:tabs>
        <w:ind w:left="1134" w:firstLine="0"/>
        <w:rPr>
          <w:b/>
        </w:rPr>
      </w:pPr>
      <w:r>
        <w:t xml:space="preserve">El Comité </w:t>
      </w:r>
      <w:r w:rsidR="005076C7">
        <w:t>observa con preocupación que, a pesar de los</w:t>
      </w:r>
      <w:r>
        <w:t xml:space="preserve"> esfuerzos realizados por el Estado part</w:t>
      </w:r>
      <w:r w:rsidR="005076C7">
        <w:t>e</w:t>
      </w:r>
      <w:r>
        <w:t xml:space="preserve"> para mejorar el acceso a los servicios de salud</w:t>
      </w:r>
      <w:r w:rsidR="001956EE">
        <w:t>,</w:t>
      </w:r>
      <w:r w:rsidR="005076C7">
        <w:t xml:space="preserve"> </w:t>
      </w:r>
      <w:r w:rsidR="00BA5F27">
        <w:t xml:space="preserve">la </w:t>
      </w:r>
      <w:r w:rsidR="001956EE">
        <w:t xml:space="preserve">baja </w:t>
      </w:r>
      <w:r w:rsidR="001956EE" w:rsidRPr="001956EE">
        <w:t>inversión asignada al ámbito de salud</w:t>
      </w:r>
      <w:r w:rsidR="00BA5F27">
        <w:t xml:space="preserve"> continúa afectando </w:t>
      </w:r>
      <w:r w:rsidR="001956EE">
        <w:t>l</w:t>
      </w:r>
      <w:r w:rsidR="001956EE" w:rsidRPr="001956EE">
        <w:t>a accesibilidad, calidad y disponibilidad de los servicios básicos de salud</w:t>
      </w:r>
      <w:r w:rsidR="00BA5F27">
        <w:t>. Le preocupan</w:t>
      </w:r>
      <w:r w:rsidR="00302D4E">
        <w:t>,</w:t>
      </w:r>
      <w:r w:rsidR="00BA5F27">
        <w:t xml:space="preserve"> además</w:t>
      </w:r>
      <w:r w:rsidR="00302D4E">
        <w:t>,</w:t>
      </w:r>
      <w:r w:rsidR="009C2C74">
        <w:t xml:space="preserve"> que el gasto en salud es realizado en una alta proporción por las propias personas, lo cual perpetúa</w:t>
      </w:r>
      <w:r w:rsidR="00BA5F27">
        <w:t xml:space="preserve"> las graves desigualdades en </w:t>
      </w:r>
      <w:r w:rsidR="00302D4E">
        <w:t xml:space="preserve">el </w:t>
      </w:r>
      <w:r w:rsidR="00BA5F27">
        <w:t>acceso y goce del derecho a la salud entre los individuos y grupos más desfavorecidos, principalmente los que tiene</w:t>
      </w:r>
      <w:r w:rsidR="00302D4E">
        <w:t xml:space="preserve">n bajos </w:t>
      </w:r>
      <w:r w:rsidR="00BA5F27">
        <w:t xml:space="preserve">ingresos, los pueblos indígenas y las personas que viven en las zonas </w:t>
      </w:r>
      <w:r w:rsidR="00BA5F27">
        <w:lastRenderedPageBreak/>
        <w:t>rurales y remotas. Asimismo, le preocupa que l</w:t>
      </w:r>
      <w:r w:rsidR="00C76640">
        <w:t>a mortalidad infantil</w:t>
      </w:r>
      <w:r w:rsidR="00BA5F27">
        <w:t xml:space="preserve"> </w:t>
      </w:r>
      <w:r w:rsidR="00C76640">
        <w:t>contin</w:t>
      </w:r>
      <w:r w:rsidR="00BA5F27">
        <w:t>ú</w:t>
      </w:r>
      <w:r w:rsidR="00C76640">
        <w:t>a siendo significativa en el Estado parte</w:t>
      </w:r>
      <w:r w:rsidR="00BA5F27">
        <w:t xml:space="preserve">, principalmente entre los grupos de </w:t>
      </w:r>
      <w:r w:rsidR="00302D4E">
        <w:t>bajos</w:t>
      </w:r>
      <w:r w:rsidR="00BA5F27">
        <w:t xml:space="preserve"> ingresos (Art. 12)</w:t>
      </w:r>
      <w:r w:rsidR="00302D4E">
        <w:t>.</w:t>
      </w:r>
    </w:p>
    <w:p w14:paraId="7E935AA3" w14:textId="128049B0" w:rsidR="004F0578" w:rsidRDefault="00185C8F" w:rsidP="004B0ADD">
      <w:pPr>
        <w:pStyle w:val="SingleTxtG"/>
        <w:numPr>
          <w:ilvl w:val="0"/>
          <w:numId w:val="46"/>
        </w:numPr>
        <w:tabs>
          <w:tab w:val="clear" w:pos="1701"/>
          <w:tab w:val="clear" w:pos="2268"/>
          <w:tab w:val="clear" w:pos="2835"/>
        </w:tabs>
        <w:ind w:left="1134" w:firstLine="0"/>
        <w:rPr>
          <w:b/>
        </w:rPr>
      </w:pPr>
      <w:r>
        <w:rPr>
          <w:b/>
        </w:rPr>
        <w:t>El Comité recomienda que el Estado parte</w:t>
      </w:r>
      <w:r w:rsidR="004F0578">
        <w:rPr>
          <w:b/>
        </w:rPr>
        <w:t xml:space="preserve">: </w:t>
      </w:r>
    </w:p>
    <w:p w14:paraId="6D620A75" w14:textId="2A0674BD" w:rsidR="004F0578" w:rsidRDefault="004F0578" w:rsidP="004B0ADD">
      <w:pPr>
        <w:pStyle w:val="SingleTxtG"/>
        <w:numPr>
          <w:ilvl w:val="0"/>
          <w:numId w:val="43"/>
        </w:numPr>
        <w:tabs>
          <w:tab w:val="clear" w:pos="1701"/>
          <w:tab w:val="clear" w:pos="2268"/>
          <w:tab w:val="clear" w:pos="2835"/>
        </w:tabs>
        <w:ind w:left="1134" w:firstLine="567"/>
        <w:rPr>
          <w:b/>
        </w:rPr>
      </w:pPr>
      <w:r>
        <w:rPr>
          <w:b/>
        </w:rPr>
        <w:t>C</w:t>
      </w:r>
      <w:r w:rsidR="00D305FC">
        <w:rPr>
          <w:b/>
        </w:rPr>
        <w:t xml:space="preserve">ontinue sus esfuerzos para </w:t>
      </w:r>
      <w:r w:rsidR="00D305FC">
        <w:rPr>
          <w:b/>
          <w:lang w:val="es-ES_tradnl"/>
        </w:rPr>
        <w:t xml:space="preserve">asignar </w:t>
      </w:r>
      <w:r w:rsidR="00185C8F">
        <w:rPr>
          <w:b/>
          <w:lang w:val="es-ES_tradnl"/>
        </w:rPr>
        <w:t>recursos suficientes al sector de salud</w:t>
      </w:r>
      <w:r w:rsidR="00185C8F">
        <w:rPr>
          <w:b/>
        </w:rPr>
        <w:t xml:space="preserve"> </w:t>
      </w:r>
      <w:r w:rsidR="00D305FC">
        <w:rPr>
          <w:b/>
        </w:rPr>
        <w:t xml:space="preserve">con el fin de extender </w:t>
      </w:r>
      <w:r w:rsidR="00302D4E">
        <w:rPr>
          <w:b/>
        </w:rPr>
        <w:t xml:space="preserve">y garantizar </w:t>
      </w:r>
      <w:r w:rsidR="00185C8F">
        <w:rPr>
          <w:b/>
        </w:rPr>
        <w:t>la accesibilidad, disponibilidad y calidad de la atención de salud</w:t>
      </w:r>
      <w:r w:rsidR="00302D4E">
        <w:rPr>
          <w:b/>
        </w:rPr>
        <w:t xml:space="preserve"> a todas las personas</w:t>
      </w:r>
      <w:r w:rsidR="002A55BF">
        <w:rPr>
          <w:b/>
        </w:rPr>
        <w:t xml:space="preserve"> sin discriminación</w:t>
      </w:r>
      <w:r w:rsidR="00302D4E">
        <w:rPr>
          <w:b/>
        </w:rPr>
        <w:t xml:space="preserve">, </w:t>
      </w:r>
      <w:r w:rsidR="00185C8F">
        <w:rPr>
          <w:b/>
        </w:rPr>
        <w:t xml:space="preserve">especialmente </w:t>
      </w:r>
      <w:r w:rsidR="002A55BF">
        <w:rPr>
          <w:b/>
        </w:rPr>
        <w:t>a aquell</w:t>
      </w:r>
      <w:r w:rsidR="00565A09">
        <w:rPr>
          <w:b/>
        </w:rPr>
        <w:t>a</w:t>
      </w:r>
      <w:r w:rsidR="002A55BF">
        <w:rPr>
          <w:b/>
        </w:rPr>
        <w:t>s que tienen bajos ingresos, los pueblos indígenas, y los que viven e</w:t>
      </w:r>
      <w:r w:rsidR="00185C8F">
        <w:rPr>
          <w:b/>
        </w:rPr>
        <w:t>n las zonas rurales y remotas</w:t>
      </w:r>
      <w:r>
        <w:rPr>
          <w:b/>
        </w:rPr>
        <w:t xml:space="preserve">; </w:t>
      </w:r>
    </w:p>
    <w:p w14:paraId="15901927" w14:textId="77777777" w:rsidR="004F0578" w:rsidRPr="004F0578" w:rsidRDefault="004F0578" w:rsidP="004B0ADD">
      <w:pPr>
        <w:pStyle w:val="SingleTxtG"/>
        <w:numPr>
          <w:ilvl w:val="0"/>
          <w:numId w:val="43"/>
        </w:numPr>
        <w:tabs>
          <w:tab w:val="clear" w:pos="1701"/>
          <w:tab w:val="clear" w:pos="2268"/>
          <w:tab w:val="clear" w:pos="2835"/>
        </w:tabs>
        <w:ind w:left="1134" w:firstLine="567"/>
        <w:rPr>
          <w:b/>
        </w:rPr>
      </w:pPr>
      <w:r>
        <w:rPr>
          <w:b/>
        </w:rPr>
        <w:t>M</w:t>
      </w:r>
      <w:r w:rsidR="00185C8F">
        <w:rPr>
          <w:b/>
        </w:rPr>
        <w:t xml:space="preserve">ejore la infraestructura del sistema de atención primaria </w:t>
      </w:r>
      <w:r w:rsidR="00185C8F">
        <w:rPr>
          <w:b/>
          <w:lang w:val="es-ES_tradnl"/>
        </w:rPr>
        <w:t>y garantice que los hospitales dispongan de personal médico, suministros y medicamentos de urgencia necesarios</w:t>
      </w:r>
      <w:r w:rsidR="00D305FC">
        <w:rPr>
          <w:b/>
          <w:lang w:val="es-ES_tradnl"/>
        </w:rPr>
        <w:t xml:space="preserve"> en todo el territorio del Estado parte</w:t>
      </w:r>
      <w:r>
        <w:rPr>
          <w:b/>
          <w:lang w:val="es-ES_tradnl"/>
        </w:rPr>
        <w:t xml:space="preserve">; </w:t>
      </w:r>
    </w:p>
    <w:p w14:paraId="3C562062" w14:textId="6CD3A29F" w:rsidR="004F0578" w:rsidRPr="004F0578" w:rsidRDefault="004F0578" w:rsidP="004B0ADD">
      <w:pPr>
        <w:pStyle w:val="SingleTxtG"/>
        <w:numPr>
          <w:ilvl w:val="0"/>
          <w:numId w:val="43"/>
        </w:numPr>
        <w:tabs>
          <w:tab w:val="clear" w:pos="1701"/>
          <w:tab w:val="clear" w:pos="2268"/>
          <w:tab w:val="clear" w:pos="2835"/>
        </w:tabs>
        <w:ind w:left="1134" w:firstLine="567"/>
        <w:rPr>
          <w:b/>
        </w:rPr>
      </w:pPr>
      <w:r>
        <w:rPr>
          <w:b/>
          <w:lang w:val="es-ES_tradnl"/>
        </w:rPr>
        <w:t>Adopte</w:t>
      </w:r>
      <w:r w:rsidR="00D305FC">
        <w:rPr>
          <w:b/>
          <w:lang w:val="es-ES_tradnl"/>
        </w:rPr>
        <w:t xml:space="preserve"> medidas</w:t>
      </w:r>
      <w:r>
        <w:rPr>
          <w:b/>
          <w:lang w:val="es-ES_tradnl"/>
        </w:rPr>
        <w:t>, incluyendo medidas</w:t>
      </w:r>
      <w:r w:rsidR="00D305FC">
        <w:rPr>
          <w:b/>
          <w:lang w:val="es-ES_tradnl"/>
        </w:rPr>
        <w:t xml:space="preserve"> especiales</w:t>
      </w:r>
      <w:r>
        <w:rPr>
          <w:b/>
          <w:lang w:val="es-ES_tradnl"/>
        </w:rPr>
        <w:t>,</w:t>
      </w:r>
      <w:r w:rsidR="00D305FC">
        <w:rPr>
          <w:b/>
          <w:lang w:val="es-ES_tradnl"/>
        </w:rPr>
        <w:t xml:space="preserve"> que permitan disminuir las desigualdades existentes en el acceso al derecho a la salud, incluso mediante la ampliación del seguro de salud a los grupos </w:t>
      </w:r>
      <w:r>
        <w:rPr>
          <w:b/>
          <w:lang w:val="es-ES_tradnl"/>
        </w:rPr>
        <w:t>más</w:t>
      </w:r>
      <w:r w:rsidR="00D305FC">
        <w:rPr>
          <w:b/>
          <w:lang w:val="es-ES_tradnl"/>
        </w:rPr>
        <w:t xml:space="preserve"> desfavorecidos y</w:t>
      </w:r>
      <w:r>
        <w:rPr>
          <w:b/>
          <w:lang w:val="es-ES_tradnl"/>
        </w:rPr>
        <w:t xml:space="preserve"> </w:t>
      </w:r>
      <w:r w:rsidR="00D305FC">
        <w:rPr>
          <w:b/>
          <w:lang w:val="es-ES_tradnl"/>
        </w:rPr>
        <w:t>marginados,</w:t>
      </w:r>
      <w:r>
        <w:rPr>
          <w:b/>
          <w:lang w:val="es-ES_tradnl"/>
        </w:rPr>
        <w:t xml:space="preserve"> principalmente a las personas de bajos ingresos, </w:t>
      </w:r>
      <w:r w:rsidR="00775E54">
        <w:rPr>
          <w:b/>
          <w:lang w:val="es-ES_tradnl"/>
        </w:rPr>
        <w:t xml:space="preserve">pueblos </w:t>
      </w:r>
      <w:r>
        <w:rPr>
          <w:b/>
          <w:lang w:val="es-ES_tradnl"/>
        </w:rPr>
        <w:t xml:space="preserve">indígenas y afrodescendientes; </w:t>
      </w:r>
    </w:p>
    <w:p w14:paraId="51C19345" w14:textId="77777777" w:rsidR="004F0578" w:rsidRDefault="004F0578" w:rsidP="004B0ADD">
      <w:pPr>
        <w:pStyle w:val="SingleTxtG"/>
        <w:numPr>
          <w:ilvl w:val="0"/>
          <w:numId w:val="43"/>
        </w:numPr>
        <w:tabs>
          <w:tab w:val="clear" w:pos="1701"/>
          <w:tab w:val="clear" w:pos="2268"/>
          <w:tab w:val="clear" w:pos="2835"/>
        </w:tabs>
        <w:ind w:left="1134" w:firstLine="567"/>
        <w:rPr>
          <w:b/>
        </w:rPr>
      </w:pPr>
      <w:r>
        <w:rPr>
          <w:b/>
        </w:rPr>
        <w:t xml:space="preserve">Redoble sus esfuerzos para continuar reduciendo la mortalidad infantil; </w:t>
      </w:r>
    </w:p>
    <w:p w14:paraId="2C106E9E" w14:textId="5320E2CC" w:rsidR="00185C8F" w:rsidRDefault="004F0578" w:rsidP="004B0ADD">
      <w:pPr>
        <w:pStyle w:val="SingleTxtG"/>
        <w:numPr>
          <w:ilvl w:val="0"/>
          <w:numId w:val="43"/>
        </w:numPr>
        <w:tabs>
          <w:tab w:val="clear" w:pos="1701"/>
          <w:tab w:val="clear" w:pos="2268"/>
          <w:tab w:val="clear" w:pos="2835"/>
        </w:tabs>
        <w:ind w:left="1134" w:firstLine="567"/>
        <w:rPr>
          <w:b/>
        </w:rPr>
      </w:pPr>
      <w:r>
        <w:rPr>
          <w:b/>
          <w:lang w:val="es-ES_tradnl"/>
        </w:rPr>
        <w:t xml:space="preserve">Tenga en consideración </w:t>
      </w:r>
      <w:r w:rsidR="00D305FC" w:rsidRPr="00D305FC">
        <w:rPr>
          <w:b/>
          <w:bCs/>
        </w:rPr>
        <w:t>su observación general núm. 14 (2000),</w:t>
      </w:r>
      <w:r w:rsidR="004407FD">
        <w:rPr>
          <w:rStyle w:val="FootnoteReference"/>
          <w:b/>
          <w:bCs/>
        </w:rPr>
        <w:footnoteReference w:id="16"/>
      </w:r>
      <w:r w:rsidR="00D305FC" w:rsidRPr="00D305FC">
        <w:rPr>
          <w:b/>
          <w:bCs/>
        </w:rPr>
        <w:t xml:space="preserve"> relativa al derecho al disfrute del más alto nivel posible de salud</w:t>
      </w:r>
      <w:r w:rsidR="00D305FC">
        <w:rPr>
          <w:b/>
          <w:bCs/>
        </w:rPr>
        <w:t>.</w:t>
      </w:r>
    </w:p>
    <w:p w14:paraId="59C6F221" w14:textId="2D5202EE" w:rsidR="00185C8F" w:rsidRPr="004B0ADD" w:rsidRDefault="00C76640" w:rsidP="004B0ADD">
      <w:pPr>
        <w:pStyle w:val="H23G"/>
        <w:ind w:firstLine="0"/>
        <w:rPr>
          <w:lang w:val="es-419"/>
        </w:rPr>
      </w:pPr>
      <w:r w:rsidRPr="004B0ADD">
        <w:rPr>
          <w:lang w:val="es-419"/>
        </w:rPr>
        <w:t>Política de drogas</w:t>
      </w:r>
    </w:p>
    <w:p w14:paraId="6B8AD565" w14:textId="5FF1029B" w:rsidR="00C76640" w:rsidRDefault="00C76640" w:rsidP="004B0ADD">
      <w:pPr>
        <w:pStyle w:val="SingleTxtG"/>
        <w:numPr>
          <w:ilvl w:val="0"/>
          <w:numId w:val="46"/>
        </w:numPr>
        <w:tabs>
          <w:tab w:val="clear" w:pos="1701"/>
          <w:tab w:val="clear" w:pos="2268"/>
          <w:tab w:val="clear" w:pos="2835"/>
        </w:tabs>
        <w:ind w:left="1134" w:firstLine="0"/>
      </w:pPr>
      <w:r>
        <w:t>Preocupa al Comité</w:t>
      </w:r>
      <w:r w:rsidR="00A9256F">
        <w:t xml:space="preserve"> </w:t>
      </w:r>
      <w:r w:rsidR="00F721D1">
        <w:t xml:space="preserve">que </w:t>
      </w:r>
      <w:r w:rsidR="00A9256F">
        <w:t>la penalización de</w:t>
      </w:r>
      <w:r w:rsidR="0091405F">
        <w:t xml:space="preserve">l consumo </w:t>
      </w:r>
      <w:r w:rsidR="00A9256F">
        <w:t>de</w:t>
      </w:r>
      <w:r w:rsidR="0091405F">
        <w:t xml:space="preserve"> </w:t>
      </w:r>
      <w:r w:rsidR="00A9256F">
        <w:t xml:space="preserve">drogas </w:t>
      </w:r>
      <w:r w:rsidR="00896FA5">
        <w:t xml:space="preserve">pudiera </w:t>
      </w:r>
      <w:r w:rsidR="00F721D1">
        <w:t>imp</w:t>
      </w:r>
      <w:r w:rsidR="00896FA5">
        <w:t>edir</w:t>
      </w:r>
      <w:r w:rsidR="00F721D1">
        <w:t xml:space="preserve"> a los consumidores tener acceso a programas adecuados de reducción de daño y a servicios de atención de la </w:t>
      </w:r>
      <w:r w:rsidR="009C2C74">
        <w:t>dependencia, fundados en evidencia y respetuosos de los derechos de los usuarios</w:t>
      </w:r>
      <w:r w:rsidR="002A55BF">
        <w:t xml:space="preserve"> </w:t>
      </w:r>
      <w:r w:rsidR="004B58AA">
        <w:t xml:space="preserve">(art. 12). </w:t>
      </w:r>
    </w:p>
    <w:p w14:paraId="63C2432A" w14:textId="3BFDF004" w:rsidR="00C76640" w:rsidRPr="00C76640" w:rsidRDefault="004B58AA" w:rsidP="004B0ADD">
      <w:pPr>
        <w:pStyle w:val="SingleTxtG"/>
        <w:numPr>
          <w:ilvl w:val="0"/>
          <w:numId w:val="46"/>
        </w:numPr>
        <w:tabs>
          <w:tab w:val="clear" w:pos="1701"/>
          <w:tab w:val="clear" w:pos="2268"/>
          <w:tab w:val="clear" w:pos="2835"/>
        </w:tabs>
        <w:ind w:left="1134" w:firstLine="0"/>
      </w:pPr>
      <w:r>
        <w:rPr>
          <w:b/>
          <w:bCs/>
        </w:rPr>
        <w:t xml:space="preserve">El Comité recomienda al Estado parte que </w:t>
      </w:r>
      <w:r w:rsidR="00896FA5">
        <w:rPr>
          <w:b/>
          <w:bCs/>
        </w:rPr>
        <w:t xml:space="preserve">considere despenalizar </w:t>
      </w:r>
      <w:r>
        <w:rPr>
          <w:b/>
          <w:bCs/>
        </w:rPr>
        <w:t xml:space="preserve">el consumo de drogas y asegure la </w:t>
      </w:r>
      <w:r w:rsidRPr="004B58AA">
        <w:rPr>
          <w:b/>
          <w:bCs/>
        </w:rPr>
        <w:t>disponibilidad, accesibilidad y calidad de los programas de</w:t>
      </w:r>
      <w:r w:rsidR="00E7782E">
        <w:rPr>
          <w:b/>
          <w:bCs/>
        </w:rPr>
        <w:t xml:space="preserve"> prevención </w:t>
      </w:r>
      <w:r w:rsidR="009C2C74">
        <w:rPr>
          <w:b/>
          <w:bCs/>
        </w:rPr>
        <w:t xml:space="preserve">del abuso de sustancias sicoactivas </w:t>
      </w:r>
      <w:r w:rsidR="00E7782E">
        <w:rPr>
          <w:b/>
          <w:bCs/>
        </w:rPr>
        <w:t>y</w:t>
      </w:r>
      <w:r w:rsidRPr="004B58AA">
        <w:rPr>
          <w:b/>
          <w:bCs/>
        </w:rPr>
        <w:t xml:space="preserve"> </w:t>
      </w:r>
      <w:r w:rsidR="009C2C74">
        <w:rPr>
          <w:b/>
          <w:bCs/>
        </w:rPr>
        <w:t xml:space="preserve">de </w:t>
      </w:r>
      <w:r w:rsidRPr="004B58AA">
        <w:rPr>
          <w:b/>
          <w:bCs/>
        </w:rPr>
        <w:t>reducción del dañ</w:t>
      </w:r>
      <w:r w:rsidR="00E7782E">
        <w:rPr>
          <w:b/>
          <w:bCs/>
        </w:rPr>
        <w:t>o</w:t>
      </w:r>
      <w:r w:rsidR="009C2C74">
        <w:rPr>
          <w:b/>
          <w:bCs/>
        </w:rPr>
        <w:t>. Igualmente, le recomienda que asegure a los consumidores que los requieran, el acceso a tratamientos de dependencia que estén basados en evidencia y sean respetuosos de los derechos de los usuarios</w:t>
      </w:r>
      <w:r w:rsidR="00ED2F2C">
        <w:rPr>
          <w:b/>
          <w:bCs/>
        </w:rPr>
        <w:t>.</w:t>
      </w:r>
      <w:r>
        <w:rPr>
          <w:b/>
          <w:bCs/>
        </w:rPr>
        <w:t xml:space="preserve"> </w:t>
      </w:r>
    </w:p>
    <w:p w14:paraId="01A83D0D" w14:textId="77777777" w:rsidR="001556D7" w:rsidRPr="004B0ADD" w:rsidRDefault="001556D7" w:rsidP="004B0ADD">
      <w:pPr>
        <w:pStyle w:val="H23G"/>
        <w:ind w:firstLine="0"/>
        <w:rPr>
          <w:lang w:val="es-419"/>
        </w:rPr>
      </w:pPr>
      <w:r w:rsidRPr="004B0ADD">
        <w:rPr>
          <w:lang w:val="es-419"/>
        </w:rPr>
        <w:t xml:space="preserve">Salud sexual y reproductiva </w:t>
      </w:r>
    </w:p>
    <w:p w14:paraId="2E3ACED4" w14:textId="5A79982E" w:rsidR="00076BC4" w:rsidRPr="002A55BF" w:rsidRDefault="00076BC4" w:rsidP="004B0ADD">
      <w:pPr>
        <w:pStyle w:val="SingleTxtG"/>
        <w:numPr>
          <w:ilvl w:val="0"/>
          <w:numId w:val="46"/>
        </w:numPr>
        <w:tabs>
          <w:tab w:val="clear" w:pos="1701"/>
          <w:tab w:val="clear" w:pos="2268"/>
          <w:tab w:val="clear" w:pos="2835"/>
        </w:tabs>
        <w:ind w:left="1134" w:firstLine="0"/>
        <w:rPr>
          <w:color w:val="000000"/>
        </w:rPr>
      </w:pPr>
      <w:r>
        <w:t xml:space="preserve">Preocupa al </w:t>
      </w:r>
      <w:r>
        <w:rPr>
          <w:color w:val="000000"/>
        </w:rPr>
        <w:t xml:space="preserve">Comité la prohibición restrictiva del aborto cuya única excepción es el aborto terapéutico para proteger la vida de la madre y bajo condiciones estrictas. Preocupa al Comité las altas </w:t>
      </w:r>
      <w:r w:rsidRPr="002A55BF">
        <w:rPr>
          <w:bCs/>
        </w:rPr>
        <w:t>tasas</w:t>
      </w:r>
      <w:r>
        <w:rPr>
          <w:color w:val="000000"/>
        </w:rPr>
        <w:t xml:space="preserve"> de embarazo en la adolescencia y las elevadas tasas de mortalidad materna </w:t>
      </w:r>
      <w:r w:rsidR="00764C6F">
        <w:rPr>
          <w:color w:val="000000"/>
        </w:rPr>
        <w:t>que,</w:t>
      </w:r>
      <w:r>
        <w:rPr>
          <w:color w:val="000000"/>
        </w:rPr>
        <w:t xml:space="preserve"> entre otros factores, se deben a la falta de </w:t>
      </w:r>
      <w:r w:rsidR="002A55BF">
        <w:rPr>
          <w:color w:val="000000"/>
        </w:rPr>
        <w:t xml:space="preserve">disponibilidad y accesibilidad de </w:t>
      </w:r>
      <w:r>
        <w:rPr>
          <w:color w:val="000000"/>
        </w:rPr>
        <w:t xml:space="preserve">servicios de salud sexual y reproductiva e información adecuados </w:t>
      </w:r>
      <w:r>
        <w:rPr>
          <w:bCs/>
          <w:color w:val="000000"/>
          <w:lang w:val="es-ES_tradnl"/>
        </w:rPr>
        <w:t>(Art. 12).</w:t>
      </w:r>
    </w:p>
    <w:p w14:paraId="211D5559" w14:textId="701A226A" w:rsidR="00076BC4" w:rsidRDefault="00C76640" w:rsidP="004B0ADD">
      <w:pPr>
        <w:pStyle w:val="SingleTxtG"/>
        <w:numPr>
          <w:ilvl w:val="0"/>
          <w:numId w:val="46"/>
        </w:numPr>
        <w:tabs>
          <w:tab w:val="clear" w:pos="1701"/>
          <w:tab w:val="clear" w:pos="2268"/>
          <w:tab w:val="clear" w:pos="2835"/>
        </w:tabs>
        <w:ind w:left="1134" w:firstLine="0"/>
        <w:rPr>
          <w:b/>
          <w:bCs/>
        </w:rPr>
      </w:pPr>
      <w:r>
        <w:rPr>
          <w:b/>
          <w:bCs/>
        </w:rPr>
        <w:t>El</w:t>
      </w:r>
      <w:r w:rsidR="00076BC4">
        <w:rPr>
          <w:b/>
          <w:bCs/>
        </w:rPr>
        <w:t xml:space="preserve"> Comité </w:t>
      </w:r>
      <w:r w:rsidR="00076BC4">
        <w:rPr>
          <w:b/>
        </w:rPr>
        <w:t>recomienda</w:t>
      </w:r>
      <w:r w:rsidR="00076BC4">
        <w:rPr>
          <w:b/>
          <w:bCs/>
        </w:rPr>
        <w:t xml:space="preserve"> al Estado parte que: </w:t>
      </w:r>
    </w:p>
    <w:p w14:paraId="7D5FF69B" w14:textId="11159E67" w:rsidR="00076BC4" w:rsidRDefault="002A55BF" w:rsidP="002A55BF">
      <w:pPr>
        <w:pStyle w:val="SingleTxtG"/>
        <w:tabs>
          <w:tab w:val="clear" w:pos="1701"/>
          <w:tab w:val="clear" w:pos="2268"/>
          <w:tab w:val="clear" w:pos="2835"/>
        </w:tabs>
        <w:ind w:firstLine="567"/>
      </w:pPr>
      <w:r>
        <w:rPr>
          <w:b/>
          <w:bCs/>
          <w:color w:val="000000"/>
        </w:rPr>
        <w:t xml:space="preserve">a) </w:t>
      </w:r>
      <w:r>
        <w:rPr>
          <w:b/>
          <w:bCs/>
          <w:color w:val="000000"/>
        </w:rPr>
        <w:tab/>
      </w:r>
      <w:r w:rsidR="00076BC4">
        <w:rPr>
          <w:b/>
          <w:bCs/>
          <w:color w:val="000000"/>
        </w:rPr>
        <w:t xml:space="preserve">Revise la actual prohibición del aborto a fin de hacerla compatible con otros derechos </w:t>
      </w:r>
      <w:r w:rsidR="00076BC4" w:rsidRPr="00B6011F">
        <w:rPr>
          <w:b/>
        </w:rPr>
        <w:t>fundamentales</w:t>
      </w:r>
      <w:r w:rsidR="00076BC4">
        <w:rPr>
          <w:b/>
          <w:bCs/>
          <w:color w:val="000000"/>
        </w:rPr>
        <w:t xml:space="preserve"> como el de la salud y la vida de la mujer, así como con su dignidad;</w:t>
      </w:r>
    </w:p>
    <w:p w14:paraId="65849480" w14:textId="3CCFF5CD" w:rsidR="00076BC4" w:rsidRDefault="002A55BF" w:rsidP="002A55BF">
      <w:pPr>
        <w:pStyle w:val="SingleTxtG"/>
        <w:tabs>
          <w:tab w:val="clear" w:pos="1701"/>
          <w:tab w:val="clear" w:pos="2268"/>
          <w:tab w:val="clear" w:pos="2835"/>
        </w:tabs>
        <w:ind w:firstLine="567"/>
        <w:rPr>
          <w:b/>
          <w:lang w:val="es-ES_tradnl"/>
        </w:rPr>
      </w:pPr>
      <w:r>
        <w:rPr>
          <w:b/>
          <w:lang w:val="es-ES_tradnl"/>
        </w:rPr>
        <w:t>b)</w:t>
      </w:r>
      <w:r>
        <w:rPr>
          <w:b/>
          <w:lang w:val="es-ES_tradnl"/>
        </w:rPr>
        <w:tab/>
      </w:r>
      <w:r w:rsidR="00076BC4">
        <w:rPr>
          <w:b/>
          <w:lang w:val="es-ES_tradnl"/>
        </w:rPr>
        <w:t>Garantice</w:t>
      </w:r>
      <w:r w:rsidR="00076BC4" w:rsidRPr="00191075">
        <w:rPr>
          <w:b/>
          <w:lang w:val="es-ES_tradnl"/>
        </w:rPr>
        <w:t xml:space="preserve"> la accesibilidad y disponibilidad de </w:t>
      </w:r>
      <w:r w:rsidR="00076BC4">
        <w:rPr>
          <w:b/>
          <w:lang w:val="es-ES_tradnl"/>
        </w:rPr>
        <w:t xml:space="preserve">información y </w:t>
      </w:r>
      <w:r w:rsidR="00076BC4" w:rsidRPr="00191075">
        <w:rPr>
          <w:b/>
          <w:lang w:val="es-ES_tradnl"/>
        </w:rPr>
        <w:t xml:space="preserve">servicios de salud sexual y </w:t>
      </w:r>
      <w:r w:rsidR="00076BC4" w:rsidRPr="00B6011F">
        <w:rPr>
          <w:b/>
        </w:rPr>
        <w:t>reproductiva</w:t>
      </w:r>
      <w:r w:rsidR="00076BC4" w:rsidRPr="00191075">
        <w:rPr>
          <w:b/>
          <w:lang w:val="es-ES_tradnl"/>
        </w:rPr>
        <w:t xml:space="preserve"> </w:t>
      </w:r>
      <w:r w:rsidR="00076BC4">
        <w:rPr>
          <w:b/>
          <w:lang w:val="es-ES_tradnl"/>
        </w:rPr>
        <w:t xml:space="preserve">adecuados y de calidad, incluyendo el acceso a planificación familiar, </w:t>
      </w:r>
      <w:r w:rsidR="00076BC4" w:rsidRPr="00191075">
        <w:rPr>
          <w:b/>
          <w:lang w:val="es-ES_tradnl"/>
        </w:rPr>
        <w:t>para todas las mujeres y adolescentes en</w:t>
      </w:r>
      <w:r w:rsidR="00076BC4">
        <w:rPr>
          <w:b/>
          <w:lang w:val="es-ES_tradnl"/>
        </w:rPr>
        <w:t xml:space="preserve"> el Estado parte, y </w:t>
      </w:r>
      <w:r w:rsidR="00076BC4" w:rsidRPr="00191075">
        <w:rPr>
          <w:b/>
          <w:lang w:val="es-ES_tradnl"/>
        </w:rPr>
        <w:t xml:space="preserve">especialmente </w:t>
      </w:r>
      <w:r w:rsidR="00076BC4">
        <w:rPr>
          <w:b/>
          <w:lang w:val="es-ES_tradnl"/>
        </w:rPr>
        <w:t>en</w:t>
      </w:r>
      <w:r w:rsidR="00076BC4" w:rsidRPr="00191075">
        <w:rPr>
          <w:b/>
          <w:lang w:val="es-ES_tradnl"/>
        </w:rPr>
        <w:t xml:space="preserve"> las zonas rurales</w:t>
      </w:r>
      <w:r w:rsidR="00076BC4">
        <w:rPr>
          <w:b/>
          <w:lang w:val="es-ES_tradnl"/>
        </w:rPr>
        <w:t xml:space="preserve"> y remotas;</w:t>
      </w:r>
    </w:p>
    <w:p w14:paraId="49AD4121" w14:textId="17ED9F06" w:rsidR="00C76640" w:rsidRDefault="002A55BF" w:rsidP="002A55BF">
      <w:pPr>
        <w:pStyle w:val="SingleTxtG"/>
        <w:tabs>
          <w:tab w:val="clear" w:pos="1701"/>
          <w:tab w:val="clear" w:pos="2268"/>
          <w:tab w:val="clear" w:pos="2835"/>
        </w:tabs>
        <w:ind w:firstLine="567"/>
        <w:rPr>
          <w:b/>
          <w:lang w:val="es-ES_tradnl"/>
        </w:rPr>
      </w:pPr>
      <w:r>
        <w:rPr>
          <w:b/>
          <w:bCs/>
        </w:rPr>
        <w:t>c)</w:t>
      </w:r>
      <w:r>
        <w:rPr>
          <w:b/>
          <w:bCs/>
        </w:rPr>
        <w:tab/>
      </w:r>
      <w:r w:rsidR="00C76640">
        <w:rPr>
          <w:b/>
          <w:bCs/>
        </w:rPr>
        <w:t xml:space="preserve">Tome las medidas legislativas y administrativas necesarias para prevenir la mortalidad y morbilidad materna, </w:t>
      </w:r>
      <w:r w:rsidR="00C76640">
        <w:rPr>
          <w:b/>
        </w:rPr>
        <w:t>tomando en consideración las orientaciones técnicas</w:t>
      </w:r>
      <w:r w:rsidR="005B6E66">
        <w:rPr>
          <w:rStyle w:val="FootnoteReference"/>
          <w:b/>
        </w:rPr>
        <w:footnoteReference w:id="17"/>
      </w:r>
      <w:r w:rsidR="00C76640">
        <w:rPr>
          <w:b/>
        </w:rPr>
        <w:t xml:space="preserve"> del </w:t>
      </w:r>
      <w:r w:rsidR="005A3CA6">
        <w:rPr>
          <w:b/>
        </w:rPr>
        <w:t>Alto Comisionado de Naciones Unidas para los Derechos Humanos (</w:t>
      </w:r>
      <w:r w:rsidR="00C76640">
        <w:rPr>
          <w:b/>
        </w:rPr>
        <w:t>ACNUDH</w:t>
      </w:r>
      <w:r w:rsidR="005A3CA6">
        <w:rPr>
          <w:b/>
        </w:rPr>
        <w:t>)</w:t>
      </w:r>
      <w:r w:rsidR="00C76640">
        <w:rPr>
          <w:b/>
        </w:rPr>
        <w:t xml:space="preserve"> sobre la aplicación de un enfoque basado en los derechos humanos a la </w:t>
      </w:r>
      <w:r w:rsidR="00C76640">
        <w:rPr>
          <w:b/>
        </w:rPr>
        <w:lastRenderedPageBreak/>
        <w:t xml:space="preserve">ejecución de las políticas y los programas destinados a reducir la mortalidad y morbilidad prevenibles asociadas a la maternidad; </w:t>
      </w:r>
    </w:p>
    <w:p w14:paraId="4AA736F4" w14:textId="601CE6E7" w:rsidR="00C76640" w:rsidRDefault="002A55BF" w:rsidP="002A55BF">
      <w:pPr>
        <w:pStyle w:val="SingleTxtG"/>
        <w:tabs>
          <w:tab w:val="clear" w:pos="1701"/>
          <w:tab w:val="clear" w:pos="2268"/>
          <w:tab w:val="clear" w:pos="2835"/>
        </w:tabs>
        <w:ind w:firstLine="567"/>
        <w:rPr>
          <w:b/>
          <w:lang w:val="es-ES_tradnl"/>
        </w:rPr>
      </w:pPr>
      <w:r>
        <w:rPr>
          <w:b/>
          <w:lang w:val="es-ES_tradnl"/>
        </w:rPr>
        <w:t xml:space="preserve">d) </w:t>
      </w:r>
      <w:r>
        <w:rPr>
          <w:b/>
          <w:lang w:val="es-ES_tradnl"/>
        </w:rPr>
        <w:tab/>
      </w:r>
      <w:r w:rsidR="00C76640">
        <w:rPr>
          <w:b/>
          <w:lang w:val="es-ES_tradnl"/>
        </w:rPr>
        <w:t xml:space="preserve">Tome en </w:t>
      </w:r>
      <w:r w:rsidR="00C76640" w:rsidRPr="002A09E2">
        <w:rPr>
          <w:b/>
        </w:rPr>
        <w:t>consideración</w:t>
      </w:r>
      <w:r w:rsidR="00C76640">
        <w:rPr>
          <w:b/>
          <w:lang w:val="es-ES_tradnl"/>
        </w:rPr>
        <w:t xml:space="preserve"> su </w:t>
      </w:r>
      <w:r w:rsidR="00C76640">
        <w:rPr>
          <w:b/>
          <w:bCs/>
        </w:rPr>
        <w:t>Observación General Número 22 (2016),</w:t>
      </w:r>
      <w:r w:rsidR="005B6E66">
        <w:rPr>
          <w:rStyle w:val="FootnoteReference"/>
          <w:b/>
          <w:bCs/>
        </w:rPr>
        <w:footnoteReference w:id="18"/>
      </w:r>
      <w:r w:rsidR="00C76640">
        <w:rPr>
          <w:b/>
          <w:bCs/>
        </w:rPr>
        <w:t xml:space="preserve"> sobre el derecho a la salud sexual y </w:t>
      </w:r>
      <w:r w:rsidR="00C76640">
        <w:rPr>
          <w:b/>
        </w:rPr>
        <w:t>reproductiva</w:t>
      </w:r>
      <w:r>
        <w:rPr>
          <w:b/>
        </w:rPr>
        <w:t>.</w:t>
      </w:r>
    </w:p>
    <w:p w14:paraId="2A41E238" w14:textId="77777777" w:rsidR="001556D7" w:rsidRPr="004B0ADD" w:rsidRDefault="00190434" w:rsidP="004B0ADD">
      <w:pPr>
        <w:pStyle w:val="H23G"/>
        <w:ind w:firstLine="0"/>
        <w:rPr>
          <w:lang w:val="es-419"/>
        </w:rPr>
      </w:pPr>
      <w:r w:rsidRPr="004B0ADD">
        <w:rPr>
          <w:lang w:val="es-419"/>
        </w:rPr>
        <w:t>Acceso a vacunas contra la COVID-19</w:t>
      </w:r>
    </w:p>
    <w:p w14:paraId="3C905184" w14:textId="7231C1DF" w:rsidR="00190434" w:rsidRPr="00190434" w:rsidRDefault="0058333D" w:rsidP="004B0ADD">
      <w:pPr>
        <w:pStyle w:val="SingleTxtG"/>
        <w:numPr>
          <w:ilvl w:val="0"/>
          <w:numId w:val="46"/>
        </w:numPr>
        <w:tabs>
          <w:tab w:val="clear" w:pos="1701"/>
          <w:tab w:val="clear" w:pos="2268"/>
          <w:tab w:val="clear" w:pos="2835"/>
        </w:tabs>
        <w:ind w:left="1134" w:firstLine="0"/>
      </w:pPr>
      <w:r>
        <w:t>Aun</w:t>
      </w:r>
      <w:r w:rsidR="009C2C74">
        <w:t xml:space="preserve"> </w:t>
      </w:r>
      <w:r w:rsidR="00190434">
        <w:t xml:space="preserve">cuando el Comité toma nota de las explicaciones brindadas por la delegación, le preocupa el limitado número de personas que han sido vacunadas contra la COVID-19 en el Estado parte. </w:t>
      </w:r>
    </w:p>
    <w:p w14:paraId="07940043" w14:textId="34C70291" w:rsidR="001556D7" w:rsidRDefault="00D37EF6" w:rsidP="004B0ADD">
      <w:pPr>
        <w:pStyle w:val="SingleTxtG"/>
        <w:numPr>
          <w:ilvl w:val="0"/>
          <w:numId w:val="46"/>
        </w:numPr>
        <w:tabs>
          <w:tab w:val="clear" w:pos="1701"/>
          <w:tab w:val="clear" w:pos="2268"/>
          <w:tab w:val="clear" w:pos="2835"/>
        </w:tabs>
        <w:ind w:left="1134" w:firstLine="0"/>
        <w:rPr>
          <w:b/>
        </w:rPr>
      </w:pPr>
      <w:r>
        <w:rPr>
          <w:b/>
        </w:rPr>
        <w:t>E</w:t>
      </w:r>
      <w:r w:rsidR="00190434" w:rsidRPr="0007221A">
        <w:rPr>
          <w:b/>
        </w:rPr>
        <w:t xml:space="preserve">l Comité recomienda al Estado parte que adopte un plan de vacunación que </w:t>
      </w:r>
      <w:r w:rsidR="00190434" w:rsidRPr="00BA5BDF">
        <w:rPr>
          <w:b/>
          <w:bCs/>
          <w:lang w:val="es-419"/>
        </w:rPr>
        <w:t>garantice</w:t>
      </w:r>
      <w:r w:rsidR="00190434" w:rsidRPr="0007221A">
        <w:rPr>
          <w:b/>
        </w:rPr>
        <w:t xml:space="preserve"> el acceso de todas las pe</w:t>
      </w:r>
      <w:r w:rsidR="00190434">
        <w:rPr>
          <w:b/>
        </w:rPr>
        <w:t>rsonas, sin discriminación,</w:t>
      </w:r>
      <w:r w:rsidR="00190434" w:rsidRPr="0007221A">
        <w:rPr>
          <w:b/>
        </w:rPr>
        <w:t xml:space="preserve"> </w:t>
      </w:r>
      <w:r w:rsidR="00190434">
        <w:rPr>
          <w:b/>
        </w:rPr>
        <w:t xml:space="preserve">a </w:t>
      </w:r>
      <w:r w:rsidR="00190434" w:rsidRPr="0007221A">
        <w:rPr>
          <w:b/>
        </w:rPr>
        <w:t xml:space="preserve">vacunas </w:t>
      </w:r>
      <w:r w:rsidR="00190434">
        <w:rPr>
          <w:b/>
        </w:rPr>
        <w:t xml:space="preserve">efectivas y seguras </w:t>
      </w:r>
      <w:r w:rsidR="00190434" w:rsidRPr="0007221A">
        <w:rPr>
          <w:b/>
        </w:rPr>
        <w:t>contra la COVID-19</w:t>
      </w:r>
      <w:r w:rsidR="00190434">
        <w:rPr>
          <w:b/>
        </w:rPr>
        <w:t>, así como a información adecuada y culturalmente accesible para los pueblos indígenas y afrodescendientes</w:t>
      </w:r>
      <w:r w:rsidR="00190434" w:rsidRPr="0007221A">
        <w:rPr>
          <w:b/>
        </w:rPr>
        <w:t>.</w:t>
      </w:r>
    </w:p>
    <w:p w14:paraId="53DAAC82" w14:textId="1B44BFFB" w:rsidR="001556D7" w:rsidRPr="004B0ADD" w:rsidRDefault="008B5899" w:rsidP="004B0ADD">
      <w:pPr>
        <w:pStyle w:val="H23G"/>
        <w:ind w:firstLine="0"/>
        <w:rPr>
          <w:lang w:val="es-419"/>
        </w:rPr>
      </w:pPr>
      <w:r w:rsidRPr="004B0ADD">
        <w:rPr>
          <w:lang w:val="es-419"/>
        </w:rPr>
        <w:t>Impacto de la pandemia en el d</w:t>
      </w:r>
      <w:r w:rsidR="001556D7" w:rsidRPr="004B0ADD">
        <w:rPr>
          <w:lang w:val="es-419"/>
        </w:rPr>
        <w:t xml:space="preserve">erecho a la educación </w:t>
      </w:r>
    </w:p>
    <w:p w14:paraId="0718CA7A" w14:textId="368DA2DE" w:rsidR="00190434" w:rsidRPr="00D153C3" w:rsidRDefault="00190434" w:rsidP="004B0ADD">
      <w:pPr>
        <w:pStyle w:val="SingleTxtG"/>
        <w:numPr>
          <w:ilvl w:val="0"/>
          <w:numId w:val="46"/>
        </w:numPr>
        <w:tabs>
          <w:tab w:val="clear" w:pos="1701"/>
          <w:tab w:val="clear" w:pos="2268"/>
          <w:tab w:val="clear" w:pos="2835"/>
        </w:tabs>
        <w:ind w:left="1134" w:firstLine="0"/>
        <w:rPr>
          <w:rFonts w:ascii="Times New Roman,Bold" w:eastAsia="Times New Roman" w:hAnsi="Times New Roman,Bold"/>
          <w:bCs/>
          <w:lang w:eastAsia="es-ES_tradnl"/>
        </w:rPr>
      </w:pPr>
      <w:r>
        <w:rPr>
          <w:rFonts w:ascii="Times New Roman,Bold" w:eastAsia="Times New Roman" w:hAnsi="Times New Roman,Bold"/>
          <w:bCs/>
          <w:lang w:eastAsia="es-ES_tradnl"/>
        </w:rPr>
        <w:t xml:space="preserve">El Comité nota con preocupación </w:t>
      </w:r>
      <w:r w:rsidR="00D37EF6">
        <w:rPr>
          <w:rFonts w:ascii="Times New Roman,Bold" w:eastAsia="Times New Roman" w:hAnsi="Times New Roman,Bold"/>
          <w:bCs/>
          <w:lang w:eastAsia="es-ES_tradnl"/>
        </w:rPr>
        <w:t xml:space="preserve">el impacto negativo de las medidas de prevención adoptadas en el contexto de la pandemia de COVID-19 en el derecho a la educación, en virtud que </w:t>
      </w:r>
      <w:r>
        <w:rPr>
          <w:rFonts w:ascii="Times New Roman,Bold" w:eastAsia="Times New Roman" w:hAnsi="Times New Roman,Bold"/>
          <w:bCs/>
          <w:lang w:eastAsia="es-ES_tradnl"/>
        </w:rPr>
        <w:t xml:space="preserve">la mayoría de </w:t>
      </w:r>
      <w:r w:rsidR="00D37EF6">
        <w:rPr>
          <w:rFonts w:ascii="Times New Roman,Bold" w:eastAsia="Times New Roman" w:hAnsi="Times New Roman,Bold"/>
          <w:bCs/>
          <w:lang w:eastAsia="es-ES_tradnl"/>
        </w:rPr>
        <w:t>los estudiantes</w:t>
      </w:r>
      <w:r>
        <w:rPr>
          <w:rFonts w:ascii="Times New Roman,Bold" w:eastAsia="Times New Roman" w:hAnsi="Times New Roman,Bold"/>
          <w:bCs/>
          <w:lang w:eastAsia="es-ES_tradnl"/>
        </w:rPr>
        <w:t xml:space="preserve"> no </w:t>
      </w:r>
      <w:r w:rsidR="00D37EF6">
        <w:rPr>
          <w:rFonts w:ascii="Times New Roman,Bold" w:eastAsia="Times New Roman" w:hAnsi="Times New Roman,Bold"/>
          <w:bCs/>
          <w:lang w:eastAsia="es-ES_tradnl"/>
        </w:rPr>
        <w:t xml:space="preserve">contaba ni </w:t>
      </w:r>
      <w:r>
        <w:rPr>
          <w:rFonts w:ascii="Times New Roman,Bold" w:eastAsia="Times New Roman" w:hAnsi="Times New Roman,Bold"/>
          <w:bCs/>
          <w:lang w:eastAsia="es-ES_tradnl"/>
        </w:rPr>
        <w:t xml:space="preserve">cuenta con acceso a internet </w:t>
      </w:r>
      <w:r w:rsidR="00D37EF6">
        <w:rPr>
          <w:rFonts w:ascii="Times New Roman,Bold" w:eastAsia="Times New Roman" w:hAnsi="Times New Roman,Bold"/>
          <w:bCs/>
          <w:lang w:eastAsia="es-ES_tradnl"/>
        </w:rPr>
        <w:t>ni a recursos tecnológicos</w:t>
      </w:r>
      <w:r w:rsidR="008A03CE">
        <w:rPr>
          <w:rFonts w:ascii="Times New Roman,Bold" w:eastAsia="Times New Roman" w:hAnsi="Times New Roman,Bold"/>
          <w:bCs/>
          <w:lang w:eastAsia="es-ES_tradnl"/>
        </w:rPr>
        <w:t xml:space="preserve"> y digitales</w:t>
      </w:r>
      <w:r w:rsidR="00D37EF6">
        <w:rPr>
          <w:rFonts w:ascii="Times New Roman,Bold" w:eastAsia="Times New Roman" w:hAnsi="Times New Roman,Bold"/>
          <w:bCs/>
          <w:lang w:eastAsia="es-ES_tradnl"/>
        </w:rPr>
        <w:t xml:space="preserve"> para continuar con sus estudios en línea </w:t>
      </w:r>
      <w:r w:rsidRPr="00D153C3">
        <w:rPr>
          <w:rFonts w:ascii="Times New Roman,Bold" w:eastAsia="Times New Roman" w:hAnsi="Times New Roman,Bold"/>
          <w:bCs/>
          <w:lang w:eastAsia="es-ES_tradnl"/>
        </w:rPr>
        <w:t xml:space="preserve">(art. </w:t>
      </w:r>
      <w:r w:rsidR="00D37EF6">
        <w:rPr>
          <w:rFonts w:ascii="Times New Roman,Bold" w:eastAsia="Times New Roman" w:hAnsi="Times New Roman,Bold"/>
          <w:bCs/>
          <w:lang w:eastAsia="es-ES_tradnl"/>
        </w:rPr>
        <w:t>13 y 14)</w:t>
      </w:r>
      <w:r w:rsidRPr="00D153C3">
        <w:rPr>
          <w:rFonts w:ascii="Times New Roman,Bold" w:eastAsia="Times New Roman" w:hAnsi="Times New Roman,Bold"/>
          <w:bCs/>
          <w:lang w:eastAsia="es-ES_tradnl"/>
        </w:rPr>
        <w:t xml:space="preserve">. </w:t>
      </w:r>
    </w:p>
    <w:p w14:paraId="5D1C563A" w14:textId="2B65A4F2" w:rsidR="001556D7" w:rsidRDefault="00190434" w:rsidP="004B0ADD">
      <w:pPr>
        <w:pStyle w:val="SingleTxtG"/>
        <w:numPr>
          <w:ilvl w:val="0"/>
          <w:numId w:val="46"/>
        </w:numPr>
        <w:tabs>
          <w:tab w:val="clear" w:pos="1701"/>
          <w:tab w:val="clear" w:pos="2268"/>
          <w:tab w:val="clear" w:pos="2835"/>
        </w:tabs>
        <w:ind w:left="1134" w:firstLine="0"/>
        <w:rPr>
          <w:b/>
          <w:bCs/>
          <w:shd w:val="clear" w:color="auto" w:fill="FFFFFF"/>
        </w:rPr>
      </w:pPr>
      <w:r w:rsidRPr="00D153C3">
        <w:rPr>
          <w:b/>
          <w:bCs/>
          <w:shd w:val="clear" w:color="auto" w:fill="FFFFFF"/>
        </w:rPr>
        <w:t>El Comité recomienda al Estado parte que adopte todas las medidas necesarias para mejorar el acceso a Internet</w:t>
      </w:r>
      <w:r w:rsidR="00D37EF6">
        <w:rPr>
          <w:b/>
          <w:bCs/>
          <w:shd w:val="clear" w:color="auto" w:fill="FFFFFF"/>
        </w:rPr>
        <w:t xml:space="preserve"> y recursos tecnológicos</w:t>
      </w:r>
      <w:r w:rsidR="008A03CE">
        <w:rPr>
          <w:b/>
          <w:bCs/>
          <w:shd w:val="clear" w:color="auto" w:fill="FFFFFF"/>
        </w:rPr>
        <w:t xml:space="preserve"> y digitales</w:t>
      </w:r>
      <w:r w:rsidR="00D37EF6">
        <w:rPr>
          <w:b/>
          <w:bCs/>
          <w:shd w:val="clear" w:color="auto" w:fill="FFFFFF"/>
        </w:rPr>
        <w:t xml:space="preserve"> para los estudiantes</w:t>
      </w:r>
      <w:r w:rsidRPr="00D153C3">
        <w:rPr>
          <w:b/>
          <w:bCs/>
          <w:shd w:val="clear" w:color="auto" w:fill="FFFFFF"/>
        </w:rPr>
        <w:t>, en particular</w:t>
      </w:r>
      <w:r w:rsidR="00D37EF6">
        <w:rPr>
          <w:b/>
          <w:bCs/>
          <w:shd w:val="clear" w:color="auto" w:fill="FFFFFF"/>
        </w:rPr>
        <w:t xml:space="preserve"> a aquellos pertenecientes a familias de bajos ingresos</w:t>
      </w:r>
      <w:r w:rsidR="00775E54">
        <w:rPr>
          <w:b/>
          <w:bCs/>
          <w:shd w:val="clear" w:color="auto" w:fill="FFFFFF"/>
        </w:rPr>
        <w:t>, los pueblos indígenas y afrodescendientes</w:t>
      </w:r>
      <w:r w:rsidR="00D37EF6">
        <w:rPr>
          <w:b/>
          <w:bCs/>
          <w:shd w:val="clear" w:color="auto" w:fill="FFFFFF"/>
        </w:rPr>
        <w:t>, y los que viven</w:t>
      </w:r>
      <w:r w:rsidRPr="00D153C3">
        <w:rPr>
          <w:b/>
          <w:bCs/>
          <w:shd w:val="clear" w:color="auto" w:fill="FFFFFF"/>
        </w:rPr>
        <w:t xml:space="preserve"> en zonas rurales</w:t>
      </w:r>
      <w:r w:rsidR="00D37EF6">
        <w:rPr>
          <w:b/>
          <w:bCs/>
          <w:shd w:val="clear" w:color="auto" w:fill="FFFFFF"/>
        </w:rPr>
        <w:t xml:space="preserve"> y remotas</w:t>
      </w:r>
      <w:r w:rsidRPr="00D153C3">
        <w:rPr>
          <w:b/>
          <w:bCs/>
          <w:shd w:val="clear" w:color="auto" w:fill="FFFFFF"/>
        </w:rPr>
        <w:t xml:space="preserve"> a fin de lograr</w:t>
      </w:r>
      <w:r>
        <w:rPr>
          <w:b/>
          <w:bCs/>
          <w:shd w:val="clear" w:color="auto" w:fill="FFFFFF"/>
        </w:rPr>
        <w:t xml:space="preserve"> la accesibilidad, disponibilidad y asequibilidad de </w:t>
      </w:r>
      <w:r w:rsidR="00384E5C">
        <w:rPr>
          <w:b/>
          <w:bCs/>
          <w:shd w:val="clear" w:color="auto" w:fill="FFFFFF"/>
        </w:rPr>
        <w:t xml:space="preserve">la educación </w:t>
      </w:r>
      <w:r>
        <w:rPr>
          <w:b/>
          <w:bCs/>
          <w:shd w:val="clear" w:color="auto" w:fill="FFFFFF"/>
        </w:rPr>
        <w:t>sin discriminación.</w:t>
      </w:r>
    </w:p>
    <w:p w14:paraId="138C2F1E" w14:textId="2EE7E1B4" w:rsidR="008B5899" w:rsidRPr="004B0ADD" w:rsidRDefault="008B5899" w:rsidP="004B0ADD">
      <w:pPr>
        <w:pStyle w:val="H23G"/>
        <w:ind w:firstLine="0"/>
        <w:rPr>
          <w:lang w:val="es-419"/>
        </w:rPr>
      </w:pPr>
      <w:r w:rsidRPr="004B0ADD">
        <w:rPr>
          <w:lang w:val="es-419"/>
        </w:rPr>
        <w:t xml:space="preserve">Derecho a la educación </w:t>
      </w:r>
    </w:p>
    <w:p w14:paraId="2324D9D8" w14:textId="5D7D3A4C" w:rsidR="00D41544" w:rsidRDefault="00EF090A" w:rsidP="004B0ADD">
      <w:pPr>
        <w:pStyle w:val="SingleTxtG"/>
        <w:numPr>
          <w:ilvl w:val="0"/>
          <w:numId w:val="46"/>
        </w:numPr>
        <w:tabs>
          <w:tab w:val="clear" w:pos="1701"/>
          <w:tab w:val="clear" w:pos="2268"/>
          <w:tab w:val="clear" w:pos="2835"/>
        </w:tabs>
        <w:ind w:left="1134" w:firstLine="0"/>
        <w:rPr>
          <w:rFonts w:eastAsia="Times New Roman"/>
          <w:bCs/>
          <w:lang w:eastAsia="es-ES_tradnl"/>
        </w:rPr>
      </w:pPr>
      <w:r>
        <w:rPr>
          <w:rFonts w:eastAsia="Times New Roman"/>
          <w:bCs/>
          <w:lang w:eastAsia="es-ES_tradnl"/>
        </w:rPr>
        <w:t>El Comité observa con p</w:t>
      </w:r>
      <w:r w:rsidR="00D41544">
        <w:rPr>
          <w:rFonts w:eastAsia="Times New Roman"/>
          <w:bCs/>
          <w:lang w:eastAsia="es-ES_tradnl"/>
        </w:rPr>
        <w:t>reocupa</w:t>
      </w:r>
      <w:r>
        <w:rPr>
          <w:rFonts w:eastAsia="Times New Roman"/>
          <w:bCs/>
          <w:lang w:eastAsia="es-ES_tradnl"/>
        </w:rPr>
        <w:t xml:space="preserve">ción </w:t>
      </w:r>
      <w:r w:rsidR="00D41544">
        <w:rPr>
          <w:rFonts w:eastAsia="Times New Roman"/>
          <w:bCs/>
          <w:lang w:eastAsia="es-ES_tradnl"/>
        </w:rPr>
        <w:t>el alto índice de deserción escolar entre niñas y adolescentes</w:t>
      </w:r>
      <w:r>
        <w:rPr>
          <w:rFonts w:eastAsia="Times New Roman"/>
          <w:bCs/>
          <w:lang w:eastAsia="es-ES_tradnl"/>
        </w:rPr>
        <w:t xml:space="preserve">, particularmente en las zonas rurales ya que no pueden </w:t>
      </w:r>
      <w:r w:rsidR="00D41544">
        <w:rPr>
          <w:rFonts w:eastAsia="Times New Roman"/>
          <w:bCs/>
          <w:lang w:eastAsia="es-ES_tradnl"/>
        </w:rPr>
        <w:t>continuar sus estudios debido a embaraz</w:t>
      </w:r>
      <w:r>
        <w:rPr>
          <w:rFonts w:eastAsia="Times New Roman"/>
          <w:bCs/>
          <w:lang w:eastAsia="es-ES_tradnl"/>
        </w:rPr>
        <w:t>o</w:t>
      </w:r>
      <w:r w:rsidR="009044B4">
        <w:rPr>
          <w:rFonts w:eastAsia="Times New Roman"/>
          <w:bCs/>
          <w:lang w:eastAsia="es-ES_tradnl"/>
        </w:rPr>
        <w:t>s</w:t>
      </w:r>
      <w:r>
        <w:rPr>
          <w:rFonts w:eastAsia="Times New Roman"/>
          <w:bCs/>
          <w:lang w:eastAsia="es-ES_tradnl"/>
        </w:rPr>
        <w:t xml:space="preserve"> precoces</w:t>
      </w:r>
      <w:r w:rsidR="0028153A">
        <w:rPr>
          <w:rFonts w:eastAsia="Times New Roman"/>
          <w:bCs/>
          <w:lang w:eastAsia="es-ES_tradnl"/>
        </w:rPr>
        <w:t xml:space="preserve"> y la fa</w:t>
      </w:r>
      <w:r w:rsidR="0058333D">
        <w:rPr>
          <w:rFonts w:eastAsia="Times New Roman"/>
          <w:bCs/>
          <w:lang w:eastAsia="es-ES_tradnl"/>
        </w:rPr>
        <w:t>l</w:t>
      </w:r>
      <w:r w:rsidR="0028153A">
        <w:rPr>
          <w:rFonts w:eastAsia="Times New Roman"/>
          <w:bCs/>
          <w:lang w:eastAsia="es-ES_tradnl"/>
        </w:rPr>
        <w:t xml:space="preserve">ta de programas de educación sexual y reproductiva adecuados. Asimismo, preocupa al Comité que la tasa de analfabetismo </w:t>
      </w:r>
      <w:r w:rsidR="005578A2">
        <w:rPr>
          <w:rFonts w:eastAsia="Times New Roman"/>
          <w:bCs/>
          <w:lang w:eastAsia="es-ES_tradnl"/>
        </w:rPr>
        <w:t>continúa</w:t>
      </w:r>
      <w:r w:rsidR="0028153A">
        <w:rPr>
          <w:rFonts w:eastAsia="Times New Roman"/>
          <w:bCs/>
          <w:lang w:eastAsia="es-ES_tradnl"/>
        </w:rPr>
        <w:t xml:space="preserve"> siendo elevada afectando significativamente a pueblos indígenas </w:t>
      </w:r>
      <w:r w:rsidR="00AE137D">
        <w:rPr>
          <w:rFonts w:eastAsia="Times New Roman"/>
          <w:bCs/>
          <w:lang w:eastAsia="es-ES_tradnl"/>
        </w:rPr>
        <w:t xml:space="preserve">(art. 13 y 14). </w:t>
      </w:r>
    </w:p>
    <w:p w14:paraId="7C99F648" w14:textId="6F887998" w:rsidR="0028153A" w:rsidRDefault="0028153A" w:rsidP="004B0ADD">
      <w:pPr>
        <w:pStyle w:val="SingleTxtG"/>
        <w:numPr>
          <w:ilvl w:val="0"/>
          <w:numId w:val="46"/>
        </w:numPr>
        <w:tabs>
          <w:tab w:val="clear" w:pos="1701"/>
          <w:tab w:val="clear" w:pos="2268"/>
          <w:tab w:val="clear" w:pos="2835"/>
        </w:tabs>
        <w:ind w:left="1134" w:firstLine="0"/>
        <w:rPr>
          <w:b/>
          <w:bCs/>
        </w:rPr>
      </w:pPr>
      <w:r>
        <w:rPr>
          <w:b/>
          <w:bCs/>
        </w:rPr>
        <w:t>El Comité recomienda al Estado parte</w:t>
      </w:r>
      <w:r w:rsidR="009044B4">
        <w:rPr>
          <w:b/>
          <w:bCs/>
        </w:rPr>
        <w:t xml:space="preserve"> que</w:t>
      </w:r>
      <w:r>
        <w:rPr>
          <w:b/>
          <w:bCs/>
        </w:rPr>
        <w:t xml:space="preserve">: </w:t>
      </w:r>
    </w:p>
    <w:p w14:paraId="57C60716" w14:textId="230F6CFC" w:rsidR="00D41544" w:rsidRPr="005578A2" w:rsidRDefault="00384E5C" w:rsidP="005578A2">
      <w:pPr>
        <w:pStyle w:val="SingleTxtG"/>
        <w:rPr>
          <w:rFonts w:eastAsia="Times New Roman"/>
          <w:lang w:eastAsia="es-ES_tradnl"/>
        </w:rPr>
      </w:pPr>
      <w:r>
        <w:rPr>
          <w:b/>
          <w:bCs/>
        </w:rPr>
        <w:tab/>
        <w:t xml:space="preserve">a) </w:t>
      </w:r>
      <w:r w:rsidR="004B0ADD">
        <w:rPr>
          <w:b/>
          <w:bCs/>
        </w:rPr>
        <w:tab/>
      </w:r>
      <w:r w:rsidR="0028153A">
        <w:rPr>
          <w:b/>
          <w:bCs/>
        </w:rPr>
        <w:t xml:space="preserve">Adopte las medidas necesarias para </w:t>
      </w:r>
      <w:r w:rsidR="005578A2">
        <w:rPr>
          <w:b/>
          <w:bCs/>
        </w:rPr>
        <w:t xml:space="preserve">reducir </w:t>
      </w:r>
      <w:r w:rsidR="005578A2" w:rsidRPr="005578A2">
        <w:rPr>
          <w:rFonts w:ascii="TimesNewRomanPS" w:eastAsia="Times New Roman" w:hAnsi="TimesNewRomanPS"/>
          <w:b/>
          <w:bCs/>
          <w:lang w:eastAsia="es-ES_tradnl"/>
        </w:rPr>
        <w:t xml:space="preserve">la elevada tasa de abandono escolar que </w:t>
      </w:r>
      <w:r w:rsidR="005578A2">
        <w:rPr>
          <w:rFonts w:ascii="TimesNewRomanPS" w:eastAsia="Times New Roman" w:hAnsi="TimesNewRomanPS"/>
          <w:b/>
          <w:bCs/>
          <w:lang w:eastAsia="es-ES_tradnl"/>
        </w:rPr>
        <w:t xml:space="preserve">afecta a las niñas y adolescentes a causa de embarazos precoces y garantice que puedan tener acceso a la educación; </w:t>
      </w:r>
    </w:p>
    <w:p w14:paraId="630ACC1A" w14:textId="2516A2C4" w:rsidR="00D41544" w:rsidRDefault="00384E5C" w:rsidP="00B6011F">
      <w:pPr>
        <w:pStyle w:val="SingleTxtG"/>
        <w:rPr>
          <w:b/>
          <w:color w:val="000000"/>
        </w:rPr>
      </w:pPr>
      <w:r>
        <w:rPr>
          <w:b/>
          <w:color w:val="000000"/>
        </w:rPr>
        <w:tab/>
        <w:t xml:space="preserve">b) </w:t>
      </w:r>
      <w:r w:rsidR="004B0ADD">
        <w:rPr>
          <w:b/>
          <w:color w:val="000000"/>
        </w:rPr>
        <w:tab/>
      </w:r>
      <w:r w:rsidR="00D41544">
        <w:rPr>
          <w:b/>
          <w:color w:val="000000"/>
        </w:rPr>
        <w:t xml:space="preserve">Incorpore en los programas escolares de la enseñanza primaria y secundaria para ambos </w:t>
      </w:r>
      <w:r w:rsidR="00D41544" w:rsidRPr="00B6011F">
        <w:rPr>
          <w:b/>
          <w:bCs/>
        </w:rPr>
        <w:t>sexos</w:t>
      </w:r>
      <w:r w:rsidR="00D41544">
        <w:rPr>
          <w:b/>
          <w:color w:val="000000"/>
        </w:rPr>
        <w:t xml:space="preserve"> una formación, integral y apropiada a cada edad, sobre salud sexual y reproductiva</w:t>
      </w:r>
      <w:r w:rsidR="005578A2">
        <w:rPr>
          <w:b/>
          <w:color w:val="000000"/>
        </w:rPr>
        <w:t xml:space="preserve">; </w:t>
      </w:r>
    </w:p>
    <w:p w14:paraId="47274C73" w14:textId="0E12AEA4" w:rsidR="00C76640" w:rsidRPr="00AE137D" w:rsidRDefault="00384E5C" w:rsidP="00AE137D">
      <w:pPr>
        <w:pStyle w:val="SingleTxtG"/>
        <w:rPr>
          <w:b/>
          <w:lang w:val="es-ES_tradnl"/>
        </w:rPr>
      </w:pPr>
      <w:r>
        <w:rPr>
          <w:b/>
          <w:color w:val="000000"/>
        </w:rPr>
        <w:tab/>
        <w:t xml:space="preserve">c) </w:t>
      </w:r>
      <w:r w:rsidR="004B0ADD">
        <w:rPr>
          <w:b/>
          <w:color w:val="000000"/>
        </w:rPr>
        <w:tab/>
      </w:r>
      <w:r w:rsidR="005578A2">
        <w:rPr>
          <w:b/>
          <w:color w:val="000000"/>
        </w:rPr>
        <w:t xml:space="preserve">Redoble sus esfuerzos para </w:t>
      </w:r>
      <w:r w:rsidR="003640A0">
        <w:rPr>
          <w:b/>
          <w:color w:val="000000"/>
        </w:rPr>
        <w:t>garantizar que</w:t>
      </w:r>
      <w:r w:rsidR="005578A2">
        <w:rPr>
          <w:b/>
          <w:color w:val="000000"/>
        </w:rPr>
        <w:t xml:space="preserve"> todos los niños, </w:t>
      </w:r>
      <w:r w:rsidR="00AE137D">
        <w:rPr>
          <w:b/>
          <w:color w:val="000000"/>
        </w:rPr>
        <w:t>niñas</w:t>
      </w:r>
      <w:r w:rsidR="00A0205C">
        <w:rPr>
          <w:b/>
          <w:color w:val="000000"/>
        </w:rPr>
        <w:t xml:space="preserve">, </w:t>
      </w:r>
      <w:r w:rsidR="00775E54">
        <w:rPr>
          <w:b/>
          <w:color w:val="000000"/>
        </w:rPr>
        <w:t xml:space="preserve">adolescentes </w:t>
      </w:r>
      <w:r w:rsidR="00A0205C">
        <w:rPr>
          <w:b/>
          <w:color w:val="000000"/>
        </w:rPr>
        <w:t>y los adultos que carecen de educación básica</w:t>
      </w:r>
      <w:r w:rsidR="005578A2">
        <w:rPr>
          <w:b/>
          <w:color w:val="000000"/>
        </w:rPr>
        <w:t xml:space="preserve"> tengan acceso a la educación, a fin de reducir el analfabetismo</w:t>
      </w:r>
      <w:r w:rsidR="00AE137D">
        <w:rPr>
          <w:b/>
          <w:color w:val="000000"/>
        </w:rPr>
        <w:t xml:space="preserve">. </w:t>
      </w:r>
    </w:p>
    <w:p w14:paraId="61D03550" w14:textId="77777777" w:rsidR="008531CF" w:rsidRPr="004B0ADD" w:rsidRDefault="008531CF" w:rsidP="004B0ADD">
      <w:pPr>
        <w:pStyle w:val="H23G"/>
        <w:ind w:firstLine="0"/>
        <w:rPr>
          <w:lang w:val="es-419"/>
        </w:rPr>
      </w:pPr>
      <w:r w:rsidRPr="004B0ADD">
        <w:rPr>
          <w:lang w:val="es-419"/>
        </w:rPr>
        <w:t xml:space="preserve">Derechos culturales </w:t>
      </w:r>
    </w:p>
    <w:p w14:paraId="0B9A2192" w14:textId="4D0B9BBF" w:rsidR="008531CF" w:rsidRDefault="00D41544" w:rsidP="004B0ADD">
      <w:pPr>
        <w:pStyle w:val="SingleTxtG"/>
        <w:numPr>
          <w:ilvl w:val="0"/>
          <w:numId w:val="46"/>
        </w:numPr>
        <w:tabs>
          <w:tab w:val="clear" w:pos="1701"/>
          <w:tab w:val="clear" w:pos="2268"/>
          <w:tab w:val="clear" w:pos="2835"/>
        </w:tabs>
        <w:ind w:left="1134" w:firstLine="0"/>
      </w:pPr>
      <w:r>
        <w:t>Preocupa al Comité la constante persecución de la que han sido objeto las r</w:t>
      </w:r>
      <w:r w:rsidR="008531CF" w:rsidRPr="008531CF">
        <w:t>adios comunitarias indígenas</w:t>
      </w:r>
      <w:r>
        <w:t xml:space="preserve"> en el Estado parte lo cual ha limitado de manera significativa sus derechos a la libertad de expresión y sus derechos culturales</w:t>
      </w:r>
      <w:r w:rsidR="008531CF" w:rsidRPr="008531CF">
        <w:t>.</w:t>
      </w:r>
    </w:p>
    <w:p w14:paraId="23B59545" w14:textId="4E62AFB1" w:rsidR="00AF30A0" w:rsidRPr="008B5899" w:rsidRDefault="00D41544" w:rsidP="004B0ADD">
      <w:pPr>
        <w:pStyle w:val="SingleTxtG"/>
        <w:numPr>
          <w:ilvl w:val="0"/>
          <w:numId w:val="46"/>
        </w:numPr>
        <w:tabs>
          <w:tab w:val="clear" w:pos="1701"/>
          <w:tab w:val="clear" w:pos="2268"/>
          <w:tab w:val="clear" w:pos="2835"/>
        </w:tabs>
        <w:ind w:left="1134" w:firstLine="0"/>
        <w:rPr>
          <w:b/>
        </w:rPr>
      </w:pPr>
      <w:r>
        <w:rPr>
          <w:b/>
        </w:rPr>
        <w:t xml:space="preserve">El Comité insta al Estado parte a que, con la participación de los pueblos indígenas, adopte un marco legal sobre los medios de comunicación comunitarios </w:t>
      </w:r>
      <w:r w:rsidR="009C2C74">
        <w:rPr>
          <w:b/>
        </w:rPr>
        <w:t xml:space="preserve">que sea respetuoso de su derecho a participar en la vida cultural. Igualmente, le insta a que </w:t>
      </w:r>
      <w:r>
        <w:rPr>
          <w:b/>
        </w:rPr>
        <w:t xml:space="preserve">adopte las medidas necesarias para prevenir la utilización arbitraria del derecho penal </w:t>
      </w:r>
      <w:r>
        <w:rPr>
          <w:b/>
        </w:rPr>
        <w:lastRenderedPageBreak/>
        <w:t xml:space="preserve">para la criminalización de los operadores de las radios comunitarias indígenas. </w:t>
      </w:r>
      <w:r w:rsidR="00384E5C">
        <w:rPr>
          <w:b/>
        </w:rPr>
        <w:t>Le insta además a adoptar</w:t>
      </w:r>
      <w:r>
        <w:rPr>
          <w:b/>
        </w:rPr>
        <w:t xml:space="preserve"> las medidas necesarias para dar cumplimiento a la sentencia </w:t>
      </w:r>
      <w:r w:rsidRPr="00D41544">
        <w:rPr>
          <w:b/>
          <w:bCs/>
          <w:lang w:val="es-419"/>
        </w:rPr>
        <w:t>la Corte Interamericana de Derechos Humanos, caso Pueblos Indígenas Maya Kaqchikel de Sumpango y otros vs. Guatemala</w:t>
      </w:r>
      <w:r>
        <w:rPr>
          <w:b/>
          <w:bCs/>
          <w:lang w:val="es-419"/>
        </w:rPr>
        <w:t xml:space="preserve">, emitida el 6 de octubre de 2021. </w:t>
      </w:r>
    </w:p>
    <w:p w14:paraId="082C49E4" w14:textId="77777777" w:rsidR="0022171A" w:rsidRPr="00425F5C" w:rsidRDefault="0022171A" w:rsidP="0022171A">
      <w:pPr>
        <w:pStyle w:val="H1G"/>
        <w:rPr>
          <w:b w:val="0"/>
          <w:bCs/>
          <w:i/>
          <w:iCs/>
          <w:lang w:val="es-419"/>
        </w:rPr>
      </w:pPr>
      <w:r w:rsidRPr="00AF30A0">
        <w:rPr>
          <w:lang w:val="es-419"/>
        </w:rPr>
        <w:tab/>
      </w:r>
      <w:r w:rsidRPr="00425F5C">
        <w:rPr>
          <w:lang w:val="es-419"/>
        </w:rPr>
        <w:t>D.</w:t>
      </w:r>
      <w:r w:rsidRPr="00425F5C">
        <w:rPr>
          <w:lang w:val="es-419"/>
        </w:rPr>
        <w:tab/>
      </w:r>
      <w:r w:rsidR="00AF30A0" w:rsidRPr="00425F5C">
        <w:rPr>
          <w:lang w:val="es-419"/>
        </w:rPr>
        <w:t>Otras recomendaciones</w:t>
      </w:r>
    </w:p>
    <w:p w14:paraId="261B70CB" w14:textId="05F8162F" w:rsidR="00AF30A0" w:rsidRDefault="00AF30A0" w:rsidP="004B0ADD">
      <w:pPr>
        <w:pStyle w:val="SingleTxtG"/>
        <w:numPr>
          <w:ilvl w:val="0"/>
          <w:numId w:val="46"/>
        </w:numPr>
        <w:tabs>
          <w:tab w:val="clear" w:pos="1701"/>
          <w:tab w:val="clear" w:pos="2268"/>
          <w:tab w:val="clear" w:pos="2835"/>
        </w:tabs>
        <w:ind w:left="1134" w:firstLine="0"/>
        <w:rPr>
          <w:b/>
          <w:bCs/>
          <w:lang w:val="es-419"/>
        </w:rPr>
      </w:pPr>
      <w:r>
        <w:rPr>
          <w:b/>
          <w:bCs/>
          <w:lang w:val="es-ES_tradnl"/>
        </w:rPr>
        <w:t>El Comité alienta al Estado parte a que ratifique el Protocolo Facultativo del Pacto Internacional de Derechos Económicos, Sociales y Culturales.</w:t>
      </w:r>
      <w:r>
        <w:rPr>
          <w:b/>
          <w:bCs/>
          <w:lang w:val="es-419"/>
        </w:rPr>
        <w:t xml:space="preserve"> </w:t>
      </w:r>
    </w:p>
    <w:p w14:paraId="05C2E1BC" w14:textId="2EDE7216" w:rsidR="00AF30A0" w:rsidRPr="00FA3069" w:rsidRDefault="00AF30A0" w:rsidP="004B0ADD">
      <w:pPr>
        <w:pStyle w:val="SingleTxtG"/>
        <w:numPr>
          <w:ilvl w:val="0"/>
          <w:numId w:val="46"/>
        </w:numPr>
        <w:tabs>
          <w:tab w:val="clear" w:pos="1701"/>
          <w:tab w:val="clear" w:pos="2268"/>
          <w:tab w:val="clear" w:pos="2835"/>
        </w:tabs>
        <w:ind w:left="1134" w:firstLine="0"/>
        <w:rPr>
          <w:b/>
          <w:bCs/>
        </w:rPr>
      </w:pPr>
      <w:r>
        <w:rPr>
          <w:b/>
          <w:bCs/>
          <w:lang w:val="es-419"/>
        </w:rPr>
        <w:t>El Comité recomienda al Estado parte a que considere la ratificación de l</w:t>
      </w:r>
      <w:r w:rsidR="00384E5C">
        <w:rPr>
          <w:b/>
          <w:bCs/>
          <w:lang w:val="es-419"/>
        </w:rPr>
        <w:t>a Convención Internacional para la protección de todas las personas contra las desapariciones forzadas</w:t>
      </w:r>
      <w:r w:rsidR="00FA3069">
        <w:rPr>
          <w:b/>
          <w:bCs/>
          <w:lang w:val="es-419"/>
        </w:rPr>
        <w:t xml:space="preserve">; el </w:t>
      </w:r>
      <w:r w:rsidR="00FA3069" w:rsidRPr="00FA3069">
        <w:rPr>
          <w:b/>
          <w:bCs/>
        </w:rPr>
        <w:t>Segundo Protocolo Facultativo del Pacto Internacional de Derechos Civiles y Políticos destinado a abolir la pena de muerte; el Pro</w:t>
      </w:r>
      <w:r w:rsidR="00FA3069">
        <w:rPr>
          <w:b/>
          <w:bCs/>
        </w:rPr>
        <w:t xml:space="preserve">tocolo Facultativo de la Convención de los derechos del niño sobre un procedimiento de comunicaciones. </w:t>
      </w:r>
    </w:p>
    <w:p w14:paraId="205A8F70" w14:textId="54372882" w:rsidR="00AF30A0" w:rsidRDefault="00AF30A0" w:rsidP="004B0ADD">
      <w:pPr>
        <w:pStyle w:val="SingleTxtG"/>
        <w:numPr>
          <w:ilvl w:val="0"/>
          <w:numId w:val="46"/>
        </w:numPr>
        <w:tabs>
          <w:tab w:val="clear" w:pos="1701"/>
          <w:tab w:val="clear" w:pos="2268"/>
          <w:tab w:val="clear" w:pos="2835"/>
        </w:tabs>
        <w:ind w:left="1134" w:firstLine="0"/>
        <w:rPr>
          <w:b/>
          <w:lang w:val="es-419"/>
        </w:rPr>
      </w:pPr>
      <w:r>
        <w:rPr>
          <w:b/>
        </w:rPr>
        <w:t xml:space="preserve">El Comité recomienda al Estado parte que tenga plenamente en cuenta sus obligaciones dimanantes del Pacto y vele por el pleno disfrute de los derechos en él reconocidos en la aplicación de la Agenda 2030 para el Desarrollo Sostenible en el plano nacional. La consecución de los Objetivos de Desarrollo </w:t>
      </w:r>
      <w:r w:rsidRPr="00AF30A0">
        <w:rPr>
          <w:b/>
          <w:bCs/>
          <w:lang w:val="es-ES_tradnl"/>
        </w:rPr>
        <w:t>Sostenible</w:t>
      </w:r>
      <w:r>
        <w:rPr>
          <w:b/>
        </w:rPr>
        <w:t xml:space="preserv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 A este respecto, el Comité señala a la atención del Estado parte su declaración</w:t>
      </w:r>
      <w:r w:rsidR="00224AAB">
        <w:rPr>
          <w:rStyle w:val="FootnoteReference"/>
          <w:b/>
        </w:rPr>
        <w:footnoteReference w:id="19"/>
      </w:r>
      <w:r>
        <w:rPr>
          <w:b/>
        </w:rPr>
        <w:t xml:space="preserve"> sobre la promesa de no dejar a nadie atrás</w:t>
      </w:r>
      <w:r>
        <w:rPr>
          <w:b/>
          <w:lang w:val="es-ES_tradnl"/>
        </w:rPr>
        <w:t>.</w:t>
      </w:r>
    </w:p>
    <w:p w14:paraId="4D3D809F" w14:textId="56EA797D" w:rsidR="00AF30A0" w:rsidRDefault="00AF30A0" w:rsidP="004B0ADD">
      <w:pPr>
        <w:pStyle w:val="SingleTxtG"/>
        <w:numPr>
          <w:ilvl w:val="0"/>
          <w:numId w:val="46"/>
        </w:numPr>
        <w:tabs>
          <w:tab w:val="clear" w:pos="1701"/>
          <w:tab w:val="clear" w:pos="2268"/>
          <w:tab w:val="clear" w:pos="2835"/>
        </w:tabs>
        <w:ind w:left="1134" w:firstLine="0"/>
        <w:rPr>
          <w:b/>
        </w:rPr>
      </w:pPr>
      <w:r>
        <w:rPr>
          <w:b/>
        </w:rPr>
        <w:t xml:space="preserve">El Comité pide al Estado parte que dé amplia difusión a las presentes observaciones finales en todos los niveles de la sociedad, incluidos los niveles nacional y municipal, en particular entre los </w:t>
      </w:r>
      <w:r w:rsidR="00FA3069">
        <w:rPr>
          <w:b/>
        </w:rPr>
        <w:t>miembros del Congreso de la República</w:t>
      </w:r>
      <w:r>
        <w:rPr>
          <w:b/>
        </w:rPr>
        <w:t>, los funcionarios públicos y las autoridades judiciales, y que, en su próximo informe periódico, lo informe de las medidas que haya adoptado para aplicarlas.</w:t>
      </w:r>
      <w:r w:rsidR="000439CA">
        <w:rPr>
          <w:b/>
        </w:rPr>
        <w:t xml:space="preserve"> El Comité destaca el papel fundamental que tiene el Congreso de la República en la implementación de las presentes Observaciones Finales y alienta al Estado parte a garantizar su participación en los futuros procedimientos de presentación de informes y de seguimiento.</w:t>
      </w:r>
      <w:r>
        <w:rPr>
          <w:b/>
        </w:rPr>
        <w:t xml:space="preserve"> El Comité alienta al Estado parte a que colabore con la Procuraduría </w:t>
      </w:r>
      <w:r w:rsidR="00FA3069">
        <w:rPr>
          <w:b/>
        </w:rPr>
        <w:t xml:space="preserve">de </w:t>
      </w:r>
      <w:r>
        <w:rPr>
          <w:b/>
        </w:rPr>
        <w:t>los Derechos Humanos, las organizaciones no gubernamentales y otros miembros de la sociedad civil en el seguimiento de las presentes observaciones finales y en el proceso de consultas en el plano nacional antes de la presentación de su próximo informe periódico.</w:t>
      </w:r>
    </w:p>
    <w:p w14:paraId="4B7C31CC" w14:textId="5C0DCD9D" w:rsidR="00AF30A0" w:rsidRDefault="00AF30A0" w:rsidP="004B0ADD">
      <w:pPr>
        <w:pStyle w:val="SingleTxtG"/>
        <w:numPr>
          <w:ilvl w:val="0"/>
          <w:numId w:val="46"/>
        </w:numPr>
        <w:tabs>
          <w:tab w:val="clear" w:pos="1701"/>
          <w:tab w:val="clear" w:pos="2268"/>
          <w:tab w:val="clear" w:pos="2835"/>
        </w:tabs>
        <w:ind w:left="1134" w:firstLine="0"/>
        <w:rPr>
          <w:b/>
        </w:rPr>
      </w:pPr>
      <w:r>
        <w:rPr>
          <w:b/>
        </w:rPr>
        <w:t xml:space="preserve">De conformidad con el procedimiento de seguimiento de las observaciones finales aprobado por el Comité, se pide al Estado parte que, en los 24 meses siguientes a la aprobación de las presentes observaciones finales, facilite información sobre la aplicación de las recomendaciones que figuran en los párrafos </w:t>
      </w:r>
      <w:r w:rsidR="00C845A9">
        <w:rPr>
          <w:b/>
        </w:rPr>
        <w:t>15 a) (Pueblos indígenas)</w:t>
      </w:r>
      <w:r>
        <w:rPr>
          <w:b/>
        </w:rPr>
        <w:t xml:space="preserve">, </w:t>
      </w:r>
      <w:r w:rsidR="00C845A9">
        <w:rPr>
          <w:b/>
        </w:rPr>
        <w:t xml:space="preserve">19 c) (No discriminación) </w:t>
      </w:r>
      <w:r>
        <w:rPr>
          <w:b/>
        </w:rPr>
        <w:t xml:space="preserve">y </w:t>
      </w:r>
      <w:r w:rsidR="00C845A9">
        <w:rPr>
          <w:b/>
        </w:rPr>
        <w:t xml:space="preserve">53 a) y b) </w:t>
      </w:r>
      <w:r>
        <w:rPr>
          <w:b/>
        </w:rPr>
        <w:t>(</w:t>
      </w:r>
      <w:r w:rsidR="00C845A9">
        <w:rPr>
          <w:b/>
        </w:rPr>
        <w:t>Derecho a la educación</w:t>
      </w:r>
      <w:r>
        <w:rPr>
          <w:b/>
        </w:rPr>
        <w:t xml:space="preserve">). </w:t>
      </w:r>
    </w:p>
    <w:p w14:paraId="768F375F" w14:textId="5313AB38" w:rsidR="00AF30A0" w:rsidRPr="006E78EB" w:rsidRDefault="00AF30A0" w:rsidP="004B0ADD">
      <w:pPr>
        <w:pStyle w:val="SingleTxtG"/>
        <w:numPr>
          <w:ilvl w:val="0"/>
          <w:numId w:val="46"/>
        </w:numPr>
        <w:tabs>
          <w:tab w:val="clear" w:pos="1701"/>
          <w:tab w:val="clear" w:pos="2268"/>
          <w:tab w:val="clear" w:pos="2835"/>
        </w:tabs>
        <w:ind w:left="1134" w:firstLine="0"/>
        <w:rPr>
          <w:b/>
        </w:rPr>
      </w:pPr>
      <w:r w:rsidRPr="006E78EB">
        <w:rPr>
          <w:b/>
        </w:rPr>
        <w:t>El Comité solicita al Estado parte que presente su próximo informe, en virtud del artículo 16 del Pacto antes del 31 de octubre de 2027, a menos que sea notificado de algún cambio en el ciclo de revisión. De conformidad con lo dispuesto en la resolución 68/268 de la Asamblea General, la extensión máxima del informe será de 21.200 palabras.</w:t>
      </w:r>
    </w:p>
    <w:p w14:paraId="6F4C36AA" w14:textId="1271B118" w:rsidR="00794179" w:rsidRPr="004B0ADD" w:rsidRDefault="004B0ADD" w:rsidP="004B0ADD">
      <w:pPr>
        <w:pStyle w:val="SingleTxtG"/>
        <w:tabs>
          <w:tab w:val="left" w:pos="720"/>
        </w:tabs>
        <w:suppressAutoHyphens/>
        <w:spacing w:before="240" w:after="0"/>
        <w:jc w:val="center"/>
        <w:rPr>
          <w:u w:val="single"/>
          <w:lang w:val="es-419"/>
        </w:rPr>
      </w:pPr>
      <w:r>
        <w:rPr>
          <w:u w:val="single"/>
          <w:lang w:val="es-419"/>
        </w:rPr>
        <w:tab/>
      </w:r>
      <w:r>
        <w:rPr>
          <w:u w:val="single"/>
          <w:lang w:val="es-419"/>
        </w:rPr>
        <w:tab/>
      </w:r>
      <w:r>
        <w:rPr>
          <w:u w:val="single"/>
          <w:lang w:val="es-419"/>
        </w:rPr>
        <w:tab/>
      </w:r>
    </w:p>
    <w:sectPr w:rsidR="00794179" w:rsidRPr="004B0ADD" w:rsidSect="00E56EE3">
      <w:headerReference w:type="even" r:id="rId11"/>
      <w:headerReference w:type="default" r:id="rId12"/>
      <w:footerReference w:type="even" r:id="rId13"/>
      <w:footerReference w:type="default" r:id="rId14"/>
      <w:headerReference w:type="firs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E2B31" w14:textId="77777777" w:rsidR="00061178" w:rsidRDefault="00061178">
      <w:r>
        <w:separator/>
      </w:r>
    </w:p>
  </w:endnote>
  <w:endnote w:type="continuationSeparator" w:id="0">
    <w:p w14:paraId="11D3B914" w14:textId="77777777" w:rsidR="00061178" w:rsidRDefault="0006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E1945" w14:textId="475F489E" w:rsidR="00061178" w:rsidRPr="001A4396" w:rsidRDefault="00061178" w:rsidP="00935A0B">
    <w:pPr>
      <w:pStyle w:val="Footer"/>
      <w:tabs>
        <w:tab w:val="right" w:pos="9638"/>
      </w:tabs>
      <w:spacing w:line="240" w:lineRule="auto"/>
    </w:pPr>
    <w:r w:rsidRPr="001A4396">
      <w:rPr>
        <w:b/>
        <w:sz w:val="18"/>
      </w:rPr>
      <w:fldChar w:fldCharType="begin"/>
    </w:r>
    <w:r w:rsidRPr="001A4396">
      <w:rPr>
        <w:b/>
        <w:sz w:val="18"/>
      </w:rPr>
      <w:instrText xml:space="preserve"> PAGE  \* MERGEFORMAT </w:instrText>
    </w:r>
    <w:r w:rsidRPr="001A4396">
      <w:rPr>
        <w:b/>
        <w:sz w:val="18"/>
      </w:rPr>
      <w:fldChar w:fldCharType="separate"/>
    </w:r>
    <w:r w:rsidR="00D86FBC">
      <w:rPr>
        <w:b/>
        <w:noProof/>
        <w:sz w:val="18"/>
      </w:rPr>
      <w:t>2</w:t>
    </w:r>
    <w:r w:rsidRPr="001A4396">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87EB" w14:textId="00FFCE9C" w:rsidR="00061178" w:rsidRPr="001A4396" w:rsidRDefault="00061178" w:rsidP="00935A0B">
    <w:pPr>
      <w:pStyle w:val="Footer"/>
      <w:tabs>
        <w:tab w:val="right" w:pos="9638"/>
      </w:tabs>
      <w:spacing w:line="240" w:lineRule="auto"/>
      <w:rPr>
        <w:b/>
        <w:sz w:val="18"/>
      </w:rPr>
    </w:pPr>
    <w:r>
      <w:tab/>
    </w:r>
    <w:r w:rsidRPr="001A4396">
      <w:rPr>
        <w:b/>
        <w:sz w:val="18"/>
      </w:rPr>
      <w:fldChar w:fldCharType="begin"/>
    </w:r>
    <w:r w:rsidRPr="001A4396">
      <w:rPr>
        <w:b/>
        <w:sz w:val="18"/>
      </w:rPr>
      <w:instrText xml:space="preserve"> PAGE  \* MERGEFORMAT </w:instrText>
    </w:r>
    <w:r w:rsidRPr="001A4396">
      <w:rPr>
        <w:b/>
        <w:sz w:val="18"/>
      </w:rPr>
      <w:fldChar w:fldCharType="separate"/>
    </w:r>
    <w:r w:rsidR="00D86FBC">
      <w:rPr>
        <w:b/>
        <w:noProof/>
        <w:sz w:val="18"/>
      </w:rPr>
      <w:t>11</w:t>
    </w:r>
    <w:r w:rsidRPr="001A43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C654" w14:textId="77777777" w:rsidR="00061178" w:rsidRPr="00053EA6" w:rsidRDefault="00061178" w:rsidP="00521DC1">
    <w:pPr>
      <w:pStyle w:val="Footer"/>
      <w:rPr>
        <w:noProof/>
        <w:sz w:val="20"/>
        <w:lang w:val="fr-FR" w:eastAsia="fr-FR"/>
      </w:rPr>
    </w:pPr>
    <w:r w:rsidRPr="00053EA6">
      <w:rPr>
        <w:sz w:val="20"/>
      </w:rPr>
      <w:t>GE.</w:t>
    </w:r>
    <w:r w:rsidRPr="00053EA6">
      <w:rPr>
        <w:noProof/>
        <w:sz w:val="20"/>
        <w:lang w:val="fr-FR" w:eastAsia="fr-FR"/>
      </w:rPr>
      <w:t xml:space="preserve"> </w:t>
    </w:r>
  </w:p>
  <w:tbl>
    <w:tblPr>
      <w:tblStyle w:val="Tablaconcuadrcula1"/>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061178" w14:paraId="6E7DEACF" w14:textId="77777777" w:rsidTr="00411D10">
      <w:tc>
        <w:tcPr>
          <w:tcW w:w="1848" w:type="dxa"/>
          <w:vAlign w:val="bottom"/>
          <w:hideMark/>
        </w:tcPr>
        <w:p w14:paraId="13CE80F9" w14:textId="77777777" w:rsidR="00061178" w:rsidRPr="00754B77" w:rsidRDefault="00061178" w:rsidP="002D4172">
          <w:pPr>
            <w:kinsoku w:val="0"/>
            <w:overflowPunct w:val="0"/>
            <w:autoSpaceDE w:val="0"/>
            <w:autoSpaceDN w:val="0"/>
            <w:adjustRightInd w:val="0"/>
            <w:snapToGrid w:val="0"/>
            <w:spacing w:before="120" w:after="120" w:line="240" w:lineRule="auto"/>
            <w:jc w:val="right"/>
            <w:rPr>
              <w:sz w:val="16"/>
              <w:lang w:val="fr-CH"/>
            </w:rPr>
          </w:pPr>
          <w:r w:rsidRPr="002D4172">
            <w:rPr>
              <w:noProof/>
              <w:sz w:val="16"/>
              <w:lang w:val="en-GB" w:eastAsia="en-GB"/>
            </w:rPr>
            <w:drawing>
              <wp:inline distT="0" distB="0" distL="0" distR="0" wp14:anchorId="61F39074" wp14:editId="57F9A3CE">
                <wp:extent cx="1076400" cy="230400"/>
                <wp:effectExtent l="0" t="0" r="0" b="0"/>
                <wp:docPr id="4" name="Imagen 4"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descr="recycle_Span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76400" cy="230400"/>
                        </a:xfrm>
                        <a:prstGeom prst="rect">
                          <a:avLst/>
                        </a:prstGeom>
                        <a:noFill/>
                        <a:ln>
                          <a:noFill/>
                        </a:ln>
                      </pic:spPr>
                    </pic:pic>
                  </a:graphicData>
                </a:graphic>
              </wp:inline>
            </w:drawing>
          </w:r>
        </w:p>
      </w:tc>
      <w:tc>
        <w:tcPr>
          <w:tcW w:w="1274" w:type="dxa"/>
        </w:tcPr>
        <w:p w14:paraId="74369EFB" w14:textId="77777777" w:rsidR="00061178" w:rsidRPr="00754B77" w:rsidRDefault="00061178" w:rsidP="002D4172">
          <w:pPr>
            <w:kinsoku w:val="0"/>
            <w:overflowPunct w:val="0"/>
            <w:autoSpaceDE w:val="0"/>
            <w:autoSpaceDN w:val="0"/>
            <w:adjustRightInd w:val="0"/>
            <w:snapToGrid w:val="0"/>
            <w:spacing w:line="240" w:lineRule="auto"/>
            <w:jc w:val="right"/>
            <w:rPr>
              <w:sz w:val="16"/>
              <w:lang w:val="fr-CH"/>
            </w:rPr>
          </w:pPr>
        </w:p>
      </w:tc>
    </w:tr>
  </w:tbl>
  <w:p w14:paraId="6FA5E921" w14:textId="77777777" w:rsidR="00061178" w:rsidRPr="002A02C6" w:rsidRDefault="00061178" w:rsidP="00521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27987" w14:textId="77777777" w:rsidR="00061178" w:rsidRPr="001075E9" w:rsidRDefault="00061178" w:rsidP="001075E9">
      <w:pPr>
        <w:tabs>
          <w:tab w:val="right" w:pos="2155"/>
        </w:tabs>
        <w:spacing w:after="80" w:line="240" w:lineRule="auto"/>
        <w:ind w:left="680"/>
        <w:rPr>
          <w:u w:val="single"/>
        </w:rPr>
      </w:pPr>
      <w:r>
        <w:rPr>
          <w:u w:val="single"/>
        </w:rPr>
        <w:tab/>
      </w:r>
    </w:p>
  </w:footnote>
  <w:footnote w:type="continuationSeparator" w:id="0">
    <w:p w14:paraId="0C4715F1" w14:textId="77777777" w:rsidR="00061178" w:rsidRDefault="00061178" w:rsidP="00407B78">
      <w:pPr>
        <w:tabs>
          <w:tab w:val="right" w:pos="2155"/>
        </w:tabs>
        <w:spacing w:after="80"/>
        <w:ind w:left="680"/>
        <w:rPr>
          <w:u w:val="single"/>
        </w:rPr>
      </w:pPr>
      <w:r>
        <w:rPr>
          <w:u w:val="single"/>
        </w:rPr>
        <w:tab/>
      </w:r>
    </w:p>
  </w:footnote>
  <w:footnote w:id="1">
    <w:p w14:paraId="1AA60055" w14:textId="40949D84" w:rsidR="006E78EB" w:rsidRPr="00C102DF" w:rsidRDefault="006E78EB" w:rsidP="006E78EB">
      <w:pPr>
        <w:pStyle w:val="FootnoteText"/>
      </w:pPr>
      <w:r w:rsidRPr="00C102DF">
        <w:rPr>
          <w:rStyle w:val="FootnoteReference"/>
        </w:rPr>
        <w:tab/>
      </w:r>
      <w:r w:rsidRPr="00C102DF">
        <w:rPr>
          <w:rStyle w:val="FootnoteReference"/>
          <w:sz w:val="20"/>
        </w:rPr>
        <w:t>*</w:t>
      </w:r>
      <w:r w:rsidRPr="00C102DF">
        <w:rPr>
          <w:rStyle w:val="FootnoteReference"/>
          <w:sz w:val="20"/>
        </w:rPr>
        <w:tab/>
      </w:r>
      <w:r w:rsidR="00C102DF">
        <w:t>Aprobadas por el Comité en su 72</w:t>
      </w:r>
      <w:r w:rsidR="00C102DF">
        <w:rPr>
          <w:vertAlign w:val="superscript"/>
        </w:rPr>
        <w:t>er</w:t>
      </w:r>
      <w:r w:rsidR="00C102DF">
        <w:t xml:space="preserve"> período de sesiones (26 de septiembre -14 de octubre de 2022).</w:t>
      </w:r>
    </w:p>
  </w:footnote>
  <w:footnote w:id="2">
    <w:p w14:paraId="77D84D2D" w14:textId="4EBBEA59" w:rsidR="00061178" w:rsidRPr="008B5899" w:rsidRDefault="00061178" w:rsidP="0022171A">
      <w:pPr>
        <w:pStyle w:val="FootnoteText"/>
        <w:rPr>
          <w:lang w:val="es-419"/>
        </w:rPr>
      </w:pPr>
      <w:r w:rsidRPr="00C102DF">
        <w:tab/>
      </w:r>
      <w:r>
        <w:rPr>
          <w:rStyle w:val="FootnoteReference"/>
        </w:rPr>
        <w:footnoteRef/>
      </w:r>
      <w:r w:rsidRPr="008B5899">
        <w:rPr>
          <w:lang w:val="es-419"/>
        </w:rPr>
        <w:t xml:space="preserve"> </w:t>
      </w:r>
      <w:r w:rsidRPr="008B5899">
        <w:rPr>
          <w:lang w:val="es-419"/>
        </w:rPr>
        <w:tab/>
      </w:r>
      <w:r w:rsidRPr="008B5899">
        <w:rPr>
          <w:lang w:val="es-419"/>
        </w:rPr>
        <w:tab/>
      </w:r>
      <w:hyperlink r:id="rId1" w:history="1">
        <w:r w:rsidRPr="00220C1E">
          <w:rPr>
            <w:rStyle w:val="Hyperlink"/>
            <w:lang w:val="es-419"/>
          </w:rPr>
          <w:t>E/C.12/GTM/4</w:t>
        </w:r>
      </w:hyperlink>
      <w:r w:rsidRPr="008B5899">
        <w:rPr>
          <w:lang w:val="es-419"/>
        </w:rPr>
        <w:t xml:space="preserve"> </w:t>
      </w:r>
    </w:p>
  </w:footnote>
  <w:footnote w:id="3">
    <w:p w14:paraId="4015AFFC" w14:textId="69A9941D" w:rsidR="00061178" w:rsidRPr="008B5899" w:rsidRDefault="00061178" w:rsidP="0022171A">
      <w:pPr>
        <w:pStyle w:val="FootnoteText"/>
        <w:rPr>
          <w:lang w:val="es-419"/>
        </w:rPr>
      </w:pPr>
      <w:r w:rsidRPr="008B5899">
        <w:rPr>
          <w:lang w:val="es-419"/>
        </w:rPr>
        <w:tab/>
      </w:r>
      <w:r>
        <w:rPr>
          <w:rStyle w:val="FootnoteReference"/>
        </w:rPr>
        <w:footnoteRef/>
      </w:r>
      <w:r w:rsidRPr="008B5899">
        <w:rPr>
          <w:lang w:val="es-419"/>
        </w:rPr>
        <w:t xml:space="preserve"> </w:t>
      </w:r>
      <w:r w:rsidRPr="008B5899">
        <w:rPr>
          <w:lang w:val="es-419"/>
        </w:rPr>
        <w:tab/>
      </w:r>
      <w:r w:rsidRPr="008B5899">
        <w:rPr>
          <w:lang w:val="es-419"/>
        </w:rPr>
        <w:tab/>
        <w:t>E/C.12/2022/SR.42</w:t>
      </w:r>
      <w:r w:rsidR="00220C1E">
        <w:rPr>
          <w:lang w:val="es-419"/>
        </w:rPr>
        <w:t>; E</w:t>
      </w:r>
      <w:r w:rsidR="00220C1E" w:rsidRPr="008B5899">
        <w:rPr>
          <w:lang w:val="es-419"/>
        </w:rPr>
        <w:t>/C.12/2022/SR.</w:t>
      </w:r>
      <w:r w:rsidRPr="008B5899">
        <w:rPr>
          <w:lang w:val="es-419"/>
        </w:rPr>
        <w:t xml:space="preserve">44 </w:t>
      </w:r>
    </w:p>
  </w:footnote>
  <w:footnote w:id="4">
    <w:p w14:paraId="1B0D1B1C" w14:textId="6C189F3E" w:rsidR="00061178" w:rsidRPr="008B5899" w:rsidRDefault="00061178">
      <w:pPr>
        <w:pStyle w:val="FootnoteText"/>
        <w:rPr>
          <w:lang w:val="es-419"/>
        </w:rPr>
      </w:pPr>
      <w:r w:rsidRPr="008B5899">
        <w:rPr>
          <w:lang w:val="es-419"/>
        </w:rPr>
        <w:tab/>
      </w:r>
      <w:r>
        <w:rPr>
          <w:rStyle w:val="FootnoteReference"/>
        </w:rPr>
        <w:footnoteRef/>
      </w:r>
      <w:r w:rsidRPr="008B5899">
        <w:rPr>
          <w:lang w:val="es-419"/>
        </w:rPr>
        <w:t xml:space="preserve"> </w:t>
      </w:r>
      <w:r w:rsidRPr="008B5899">
        <w:rPr>
          <w:lang w:val="es-419"/>
        </w:rPr>
        <w:tab/>
      </w:r>
      <w:hyperlink r:id="rId2" w:history="1">
        <w:r w:rsidRPr="00220C1E">
          <w:rPr>
            <w:rStyle w:val="Hyperlink"/>
            <w:lang w:val="es-419"/>
          </w:rPr>
          <w:tab/>
          <w:t>E/C.12/GTM/RQ/4</w:t>
        </w:r>
      </w:hyperlink>
    </w:p>
  </w:footnote>
  <w:footnote w:id="5">
    <w:p w14:paraId="5E7A8780" w14:textId="76A5C402" w:rsidR="00184761" w:rsidRPr="00B020B8" w:rsidRDefault="006E78EB">
      <w:pPr>
        <w:pStyle w:val="FootnoteText"/>
        <w:rPr>
          <w:lang w:val="es-419"/>
        </w:rPr>
      </w:pPr>
      <w:r>
        <w:tab/>
      </w:r>
      <w:r w:rsidR="00184761">
        <w:rPr>
          <w:rStyle w:val="FootnoteReference"/>
        </w:rPr>
        <w:footnoteRef/>
      </w:r>
      <w:r w:rsidR="00184761">
        <w:t xml:space="preserve"> </w:t>
      </w:r>
      <w:r>
        <w:tab/>
      </w:r>
      <w:hyperlink r:id="rId3" w:history="1">
        <w:r w:rsidR="00184761" w:rsidRPr="00B020B8">
          <w:rPr>
            <w:rStyle w:val="Hyperlink"/>
          </w:rPr>
          <w:t>E/C.12/2016/2</w:t>
        </w:r>
      </w:hyperlink>
    </w:p>
  </w:footnote>
  <w:footnote w:id="6">
    <w:p w14:paraId="2DB58EA8" w14:textId="696633FE" w:rsidR="00C436CF" w:rsidRPr="00B020B8" w:rsidRDefault="006E78EB">
      <w:pPr>
        <w:pStyle w:val="FootnoteText"/>
        <w:rPr>
          <w:lang w:val="es-419"/>
        </w:rPr>
      </w:pPr>
      <w:r>
        <w:tab/>
      </w:r>
      <w:r w:rsidR="00C436CF">
        <w:rPr>
          <w:rStyle w:val="FootnoteReference"/>
        </w:rPr>
        <w:footnoteRef/>
      </w:r>
      <w:r w:rsidR="00C436CF">
        <w:t xml:space="preserve"> </w:t>
      </w:r>
      <w:r>
        <w:tab/>
      </w:r>
      <w:hyperlink r:id="rId4" w:history="1">
        <w:r w:rsidR="00C436CF" w:rsidRPr="00B020B8">
          <w:rPr>
            <w:rStyle w:val="Hyperlink"/>
          </w:rPr>
          <w:t>E/C.12/GC/24</w:t>
        </w:r>
      </w:hyperlink>
    </w:p>
  </w:footnote>
  <w:footnote w:id="7">
    <w:p w14:paraId="24BA7D9D" w14:textId="453F8FB7" w:rsidR="00061178" w:rsidRPr="00B966E3" w:rsidRDefault="00061178">
      <w:pPr>
        <w:pStyle w:val="FootnoteText"/>
      </w:pPr>
      <w:r>
        <w:tab/>
      </w:r>
      <w:r>
        <w:rPr>
          <w:rStyle w:val="FootnoteReference"/>
        </w:rPr>
        <w:footnoteRef/>
      </w:r>
      <w:r>
        <w:t xml:space="preserve"> </w:t>
      </w:r>
      <w:r>
        <w:tab/>
      </w:r>
      <w:hyperlink r:id="rId5" w:history="1">
        <w:r w:rsidRPr="00220C1E">
          <w:rPr>
            <w:rStyle w:val="Hyperlink"/>
          </w:rPr>
          <w:tab/>
          <w:t>E/C.12/GTM/CO/3</w:t>
        </w:r>
      </w:hyperlink>
      <w:r w:rsidRPr="00B966E3">
        <w:t xml:space="preserve">, párr. </w:t>
      </w:r>
      <w:r>
        <w:t>8</w:t>
      </w:r>
    </w:p>
  </w:footnote>
  <w:footnote w:id="8">
    <w:p w14:paraId="679E52B3" w14:textId="68FE6220" w:rsidR="00EC3F04" w:rsidRPr="00B020B8" w:rsidRDefault="006E78EB">
      <w:pPr>
        <w:pStyle w:val="FootnoteText"/>
        <w:rPr>
          <w:lang w:val="es-419"/>
        </w:rPr>
      </w:pPr>
      <w:r>
        <w:tab/>
      </w:r>
      <w:r w:rsidR="00EC3F04">
        <w:rPr>
          <w:rStyle w:val="FootnoteReference"/>
        </w:rPr>
        <w:footnoteRef/>
      </w:r>
      <w:r w:rsidR="00EC3F04">
        <w:t xml:space="preserve"> </w:t>
      </w:r>
      <w:r>
        <w:tab/>
      </w:r>
      <w:hyperlink r:id="rId6" w:history="1">
        <w:r w:rsidR="00EC3F04" w:rsidRPr="00B020B8">
          <w:rPr>
            <w:rStyle w:val="Hyperlink"/>
          </w:rPr>
          <w:t>E/C.12/GC/20</w:t>
        </w:r>
      </w:hyperlink>
    </w:p>
  </w:footnote>
  <w:footnote w:id="9">
    <w:p w14:paraId="7C82823B" w14:textId="09AF1733" w:rsidR="00035C80" w:rsidRPr="00B020B8" w:rsidRDefault="006E78EB">
      <w:pPr>
        <w:pStyle w:val="FootnoteText"/>
        <w:rPr>
          <w:lang w:val="es-419"/>
        </w:rPr>
      </w:pPr>
      <w:r>
        <w:tab/>
      </w:r>
      <w:r w:rsidR="00035C80">
        <w:rPr>
          <w:rStyle w:val="FootnoteReference"/>
        </w:rPr>
        <w:footnoteRef/>
      </w:r>
      <w:r w:rsidR="00035C80">
        <w:t xml:space="preserve"> </w:t>
      </w:r>
      <w:r>
        <w:tab/>
      </w:r>
      <w:hyperlink r:id="rId7" w:history="1">
        <w:r w:rsidR="00035C80" w:rsidRPr="00B020B8">
          <w:rPr>
            <w:rStyle w:val="Hyperlink"/>
          </w:rPr>
          <w:t>E/C.12/2005/4/Corr.1</w:t>
        </w:r>
      </w:hyperlink>
    </w:p>
  </w:footnote>
  <w:footnote w:id="10">
    <w:p w14:paraId="194203EF" w14:textId="2DEEB3D0" w:rsidR="002B35E6" w:rsidRPr="00B020B8" w:rsidRDefault="006E78EB">
      <w:pPr>
        <w:pStyle w:val="FootnoteText"/>
        <w:rPr>
          <w:lang w:val="es-419"/>
        </w:rPr>
      </w:pPr>
      <w:r>
        <w:tab/>
      </w:r>
      <w:r w:rsidR="002B35E6">
        <w:rPr>
          <w:rStyle w:val="FootnoteReference"/>
        </w:rPr>
        <w:footnoteRef/>
      </w:r>
      <w:r w:rsidR="002B35E6">
        <w:t xml:space="preserve"> </w:t>
      </w:r>
      <w:r>
        <w:tab/>
      </w:r>
      <w:hyperlink r:id="rId8" w:history="1">
        <w:r w:rsidR="002B35E6" w:rsidRPr="00B020B8">
          <w:rPr>
            <w:rStyle w:val="Hyperlink"/>
          </w:rPr>
          <w:t>E/C.12/GC/23</w:t>
        </w:r>
      </w:hyperlink>
    </w:p>
  </w:footnote>
  <w:footnote w:id="11">
    <w:p w14:paraId="178F5E3A" w14:textId="3B0BE5BB" w:rsidR="00195146" w:rsidRPr="00B020B8" w:rsidRDefault="006E78EB">
      <w:pPr>
        <w:pStyle w:val="FootnoteText"/>
        <w:rPr>
          <w:lang w:val="es-419"/>
        </w:rPr>
      </w:pPr>
      <w:r>
        <w:tab/>
      </w:r>
      <w:r w:rsidR="00195146">
        <w:rPr>
          <w:rStyle w:val="FootnoteReference"/>
        </w:rPr>
        <w:footnoteRef/>
      </w:r>
      <w:r w:rsidR="00195146">
        <w:t xml:space="preserve"> </w:t>
      </w:r>
      <w:r>
        <w:tab/>
      </w:r>
      <w:hyperlink r:id="rId9" w:history="1">
        <w:r w:rsidR="00195146" w:rsidRPr="00B020B8">
          <w:rPr>
            <w:rStyle w:val="Hyperlink"/>
          </w:rPr>
          <w:t>E/C.12/GC/19</w:t>
        </w:r>
      </w:hyperlink>
    </w:p>
  </w:footnote>
  <w:footnote w:id="12">
    <w:p w14:paraId="5884078B" w14:textId="09AEC682" w:rsidR="00195146" w:rsidRPr="00B020B8" w:rsidRDefault="006E78EB">
      <w:pPr>
        <w:pStyle w:val="FootnoteText"/>
        <w:rPr>
          <w:lang w:val="es-419"/>
        </w:rPr>
      </w:pPr>
      <w:r>
        <w:tab/>
      </w:r>
      <w:r w:rsidR="00195146">
        <w:rPr>
          <w:rStyle w:val="FootnoteReference"/>
        </w:rPr>
        <w:footnoteRef/>
      </w:r>
      <w:r w:rsidR="00195146">
        <w:t xml:space="preserve"> </w:t>
      </w:r>
      <w:r>
        <w:tab/>
      </w:r>
      <w:hyperlink r:id="rId10" w:history="1">
        <w:r w:rsidR="00195146" w:rsidRPr="00B020B8">
          <w:rPr>
            <w:rStyle w:val="Hyperlink"/>
          </w:rPr>
          <w:t>E/C.12/2015/1</w:t>
        </w:r>
      </w:hyperlink>
    </w:p>
  </w:footnote>
  <w:footnote w:id="13">
    <w:p w14:paraId="61A9B5C8" w14:textId="63FF0F0D" w:rsidR="006A301D" w:rsidRPr="00B020B8" w:rsidRDefault="006E78EB">
      <w:pPr>
        <w:pStyle w:val="FootnoteText"/>
        <w:rPr>
          <w:lang w:val="es-419"/>
        </w:rPr>
      </w:pPr>
      <w:r>
        <w:tab/>
      </w:r>
      <w:r w:rsidR="006A301D">
        <w:rPr>
          <w:rStyle w:val="FootnoteReference"/>
        </w:rPr>
        <w:footnoteRef/>
      </w:r>
      <w:r w:rsidR="006A301D">
        <w:t xml:space="preserve"> </w:t>
      </w:r>
      <w:r>
        <w:tab/>
      </w:r>
      <w:hyperlink r:id="rId11" w:history="1">
        <w:r w:rsidR="006A301D" w:rsidRPr="00B020B8">
          <w:rPr>
            <w:rStyle w:val="Hyperlink"/>
          </w:rPr>
          <w:t>E/C.12/2001/10</w:t>
        </w:r>
      </w:hyperlink>
    </w:p>
  </w:footnote>
  <w:footnote w:id="14">
    <w:p w14:paraId="5799263E" w14:textId="07A8D708" w:rsidR="00026280" w:rsidRPr="00B020B8" w:rsidRDefault="006E78EB">
      <w:pPr>
        <w:pStyle w:val="FootnoteText"/>
        <w:rPr>
          <w:lang w:val="es-419"/>
        </w:rPr>
      </w:pPr>
      <w:r>
        <w:tab/>
      </w:r>
      <w:r w:rsidR="00026280">
        <w:rPr>
          <w:rStyle w:val="FootnoteReference"/>
        </w:rPr>
        <w:footnoteRef/>
      </w:r>
      <w:r w:rsidR="00026280">
        <w:t xml:space="preserve"> </w:t>
      </w:r>
      <w:r>
        <w:tab/>
      </w:r>
      <w:hyperlink r:id="rId12" w:history="1">
        <w:r w:rsidR="00026280" w:rsidRPr="00B020B8">
          <w:rPr>
            <w:rStyle w:val="Hyperlink"/>
          </w:rPr>
          <w:t>E/C.12/1999/5</w:t>
        </w:r>
      </w:hyperlink>
    </w:p>
  </w:footnote>
  <w:footnote w:id="15">
    <w:p w14:paraId="45D620DD" w14:textId="69D6237D" w:rsidR="00ED5C3B" w:rsidRPr="00B020B8" w:rsidRDefault="006E78EB">
      <w:pPr>
        <w:pStyle w:val="FootnoteText"/>
        <w:rPr>
          <w:lang w:val="es-419"/>
        </w:rPr>
      </w:pPr>
      <w:r>
        <w:tab/>
      </w:r>
      <w:r w:rsidR="00ED5C3B">
        <w:rPr>
          <w:rStyle w:val="FootnoteReference"/>
        </w:rPr>
        <w:footnoteRef/>
      </w:r>
      <w:r w:rsidR="00ED5C3B">
        <w:t xml:space="preserve"> </w:t>
      </w:r>
      <w:r>
        <w:tab/>
      </w:r>
      <w:hyperlink r:id="rId13" w:history="1">
        <w:r w:rsidR="00ED5C3B" w:rsidRPr="00B020B8">
          <w:rPr>
            <w:rStyle w:val="Hyperlink"/>
            <w:sz w:val="20"/>
          </w:rPr>
          <w:t>E/C.12/2002/11</w:t>
        </w:r>
      </w:hyperlink>
    </w:p>
  </w:footnote>
  <w:footnote w:id="16">
    <w:p w14:paraId="2FA9904A" w14:textId="06F6A34D" w:rsidR="004407FD" w:rsidRPr="00B020B8" w:rsidRDefault="006E78EB">
      <w:pPr>
        <w:pStyle w:val="FootnoteText"/>
        <w:rPr>
          <w:lang w:val="es-419"/>
        </w:rPr>
      </w:pPr>
      <w:r>
        <w:tab/>
      </w:r>
      <w:r w:rsidR="004407FD">
        <w:rPr>
          <w:rStyle w:val="FootnoteReference"/>
        </w:rPr>
        <w:footnoteRef/>
      </w:r>
      <w:r w:rsidR="004407FD">
        <w:t xml:space="preserve"> </w:t>
      </w:r>
      <w:r>
        <w:tab/>
      </w:r>
      <w:hyperlink r:id="rId14" w:history="1">
        <w:r w:rsidR="004407FD" w:rsidRPr="00B020B8">
          <w:rPr>
            <w:rStyle w:val="Hyperlink"/>
          </w:rPr>
          <w:t>E/C.12/2000/4</w:t>
        </w:r>
      </w:hyperlink>
    </w:p>
  </w:footnote>
  <w:footnote w:id="17">
    <w:p w14:paraId="14C6678C" w14:textId="518A5AFD" w:rsidR="005B6E66" w:rsidRPr="00B020B8" w:rsidRDefault="006E78EB">
      <w:pPr>
        <w:pStyle w:val="FootnoteText"/>
        <w:rPr>
          <w:lang w:val="es-419"/>
        </w:rPr>
      </w:pPr>
      <w:r>
        <w:tab/>
      </w:r>
      <w:r w:rsidR="005B6E66">
        <w:rPr>
          <w:rStyle w:val="FootnoteReference"/>
        </w:rPr>
        <w:footnoteRef/>
      </w:r>
      <w:r w:rsidR="005B6E66">
        <w:t xml:space="preserve"> </w:t>
      </w:r>
      <w:r>
        <w:tab/>
      </w:r>
      <w:hyperlink r:id="rId15" w:history="1">
        <w:r w:rsidR="005B6E66" w:rsidRPr="00B020B8">
          <w:rPr>
            <w:rStyle w:val="Hyperlink"/>
          </w:rPr>
          <w:t>A/HRC/21/22</w:t>
        </w:r>
      </w:hyperlink>
    </w:p>
  </w:footnote>
  <w:footnote w:id="18">
    <w:p w14:paraId="4FD31604" w14:textId="2B2881AC" w:rsidR="005B6E66" w:rsidRPr="00B020B8" w:rsidRDefault="006E78EB" w:rsidP="006E78EB">
      <w:pPr>
        <w:pStyle w:val="FootnoteText"/>
        <w:rPr>
          <w:lang w:val="es-419"/>
        </w:rPr>
      </w:pPr>
      <w:r>
        <w:tab/>
      </w:r>
      <w:r w:rsidR="005B6E66">
        <w:rPr>
          <w:rStyle w:val="FootnoteReference"/>
        </w:rPr>
        <w:footnoteRef/>
      </w:r>
      <w:r w:rsidR="005B6E66">
        <w:t xml:space="preserve"> </w:t>
      </w:r>
      <w:r>
        <w:tab/>
      </w:r>
      <w:hyperlink r:id="rId16" w:history="1">
        <w:r w:rsidR="005B6E66" w:rsidRPr="00B020B8">
          <w:rPr>
            <w:rStyle w:val="Hyperlink"/>
            <w:sz w:val="20"/>
          </w:rPr>
          <w:t>E/C.12/GC/22</w:t>
        </w:r>
      </w:hyperlink>
    </w:p>
  </w:footnote>
  <w:footnote w:id="19">
    <w:p w14:paraId="3D4E52AC" w14:textId="0FC21312" w:rsidR="00224AAB" w:rsidRPr="00B020B8" w:rsidRDefault="006E78EB">
      <w:pPr>
        <w:pStyle w:val="FootnoteText"/>
        <w:rPr>
          <w:lang w:val="en-GB"/>
        </w:rPr>
      </w:pPr>
      <w:r>
        <w:tab/>
      </w:r>
      <w:r w:rsidR="00224AAB">
        <w:rPr>
          <w:rStyle w:val="FootnoteReference"/>
        </w:rPr>
        <w:footnoteRef/>
      </w:r>
      <w:r w:rsidR="00224AAB">
        <w:t xml:space="preserve"> </w:t>
      </w:r>
      <w:r>
        <w:tab/>
      </w:r>
      <w:hyperlink r:id="rId17" w:history="1">
        <w:r w:rsidR="00224AAB" w:rsidRPr="00B020B8">
          <w:rPr>
            <w:rStyle w:val="Hyperlink"/>
          </w:rPr>
          <w:t>E/C.12/2019/1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538D7" w14:textId="717C4FC5" w:rsidR="00061178" w:rsidRPr="001A4396" w:rsidRDefault="00061178">
    <w:pPr>
      <w:pStyle w:val="Header"/>
    </w:pPr>
    <w:r>
      <w:t>E/C.12/GTM/CO/4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BD2C" w14:textId="17D536F2" w:rsidR="00061178" w:rsidRPr="00935A0B" w:rsidRDefault="00061178" w:rsidP="00935A0B">
    <w:pPr>
      <w:pStyle w:val="Header"/>
      <w:jc w:val="right"/>
      <w:rPr>
        <w:u w:val="double"/>
      </w:rPr>
    </w:pPr>
    <w:r>
      <w:t>E/C.12/GTM/CO/4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09CC" w14:textId="77777777" w:rsidR="00061178" w:rsidRDefault="00061178" w:rsidP="00A711F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E47D4"/>
    <w:multiLevelType w:val="hybridMultilevel"/>
    <w:tmpl w:val="57EC4B7A"/>
    <w:lvl w:ilvl="0" w:tplc="1CDA5780">
      <w:start w:val="1"/>
      <w:numFmt w:val="lowerLetter"/>
      <w:lvlText w:val="%1)"/>
      <w:lvlJc w:val="left"/>
      <w:pPr>
        <w:ind w:left="1920" w:hanging="360"/>
      </w:pPr>
      <w:rPr>
        <w:rFonts w:ascii="Times New Roman" w:eastAsia="Calibri" w:hAnsi="Times New Roman" w:cs="Times New Roman"/>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11" w15:restartNumberingAfterBreak="0">
    <w:nsid w:val="076A2C31"/>
    <w:multiLevelType w:val="hybridMultilevel"/>
    <w:tmpl w:val="009E1BFE"/>
    <w:lvl w:ilvl="0" w:tplc="9F52845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BEF8E312">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E35CC098" w:tentative="1">
      <w:start w:val="1"/>
      <w:numFmt w:val="lowerLetter"/>
      <w:lvlText w:val="%2."/>
      <w:lvlJc w:val="left"/>
      <w:pPr>
        <w:tabs>
          <w:tab w:val="num" w:pos="1440"/>
        </w:tabs>
        <w:ind w:left="1440" w:hanging="360"/>
      </w:pPr>
    </w:lvl>
    <w:lvl w:ilvl="2" w:tplc="29F02618" w:tentative="1">
      <w:start w:val="1"/>
      <w:numFmt w:val="lowerRoman"/>
      <w:lvlText w:val="%3."/>
      <w:lvlJc w:val="right"/>
      <w:pPr>
        <w:tabs>
          <w:tab w:val="num" w:pos="2160"/>
        </w:tabs>
        <w:ind w:left="2160" w:hanging="180"/>
      </w:pPr>
    </w:lvl>
    <w:lvl w:ilvl="3" w:tplc="BBD8C7FA" w:tentative="1">
      <w:start w:val="1"/>
      <w:numFmt w:val="decimal"/>
      <w:lvlText w:val="%4."/>
      <w:lvlJc w:val="left"/>
      <w:pPr>
        <w:tabs>
          <w:tab w:val="num" w:pos="2880"/>
        </w:tabs>
        <w:ind w:left="2880" w:hanging="360"/>
      </w:pPr>
    </w:lvl>
    <w:lvl w:ilvl="4" w:tplc="763C64DA" w:tentative="1">
      <w:start w:val="1"/>
      <w:numFmt w:val="lowerLetter"/>
      <w:lvlText w:val="%5."/>
      <w:lvlJc w:val="left"/>
      <w:pPr>
        <w:tabs>
          <w:tab w:val="num" w:pos="3600"/>
        </w:tabs>
        <w:ind w:left="3600" w:hanging="360"/>
      </w:pPr>
    </w:lvl>
    <w:lvl w:ilvl="5" w:tplc="8A068832" w:tentative="1">
      <w:start w:val="1"/>
      <w:numFmt w:val="lowerRoman"/>
      <w:lvlText w:val="%6."/>
      <w:lvlJc w:val="right"/>
      <w:pPr>
        <w:tabs>
          <w:tab w:val="num" w:pos="4320"/>
        </w:tabs>
        <w:ind w:left="4320" w:hanging="180"/>
      </w:pPr>
    </w:lvl>
    <w:lvl w:ilvl="6" w:tplc="91B425B4" w:tentative="1">
      <w:start w:val="1"/>
      <w:numFmt w:val="decimal"/>
      <w:lvlText w:val="%7."/>
      <w:lvlJc w:val="left"/>
      <w:pPr>
        <w:tabs>
          <w:tab w:val="num" w:pos="5040"/>
        </w:tabs>
        <w:ind w:left="5040" w:hanging="360"/>
      </w:pPr>
    </w:lvl>
    <w:lvl w:ilvl="7" w:tplc="CB02C67C" w:tentative="1">
      <w:start w:val="1"/>
      <w:numFmt w:val="lowerLetter"/>
      <w:lvlText w:val="%8."/>
      <w:lvlJc w:val="left"/>
      <w:pPr>
        <w:tabs>
          <w:tab w:val="num" w:pos="5760"/>
        </w:tabs>
        <w:ind w:left="5760" w:hanging="360"/>
      </w:pPr>
    </w:lvl>
    <w:lvl w:ilvl="8" w:tplc="19FACE20" w:tentative="1">
      <w:start w:val="1"/>
      <w:numFmt w:val="lowerRoman"/>
      <w:lvlText w:val="%9."/>
      <w:lvlJc w:val="right"/>
      <w:pPr>
        <w:tabs>
          <w:tab w:val="num" w:pos="6480"/>
        </w:tabs>
        <w:ind w:left="6480" w:hanging="180"/>
      </w:pPr>
    </w:lvl>
  </w:abstractNum>
  <w:abstractNum w:abstractNumId="13" w15:restartNumberingAfterBreak="0">
    <w:nsid w:val="18814C8B"/>
    <w:multiLevelType w:val="hybridMultilevel"/>
    <w:tmpl w:val="49827548"/>
    <w:lvl w:ilvl="0" w:tplc="681A1AC2">
      <w:start w:val="1"/>
      <w:numFmt w:val="lowerLetter"/>
      <w:lvlText w:val="%1)"/>
      <w:lvlJc w:val="left"/>
      <w:pPr>
        <w:ind w:left="2730" w:hanging="57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91F7BCC"/>
    <w:multiLevelType w:val="hybridMultilevel"/>
    <w:tmpl w:val="DB96C856"/>
    <w:lvl w:ilvl="0" w:tplc="09B6056E">
      <w:start w:val="1"/>
      <w:numFmt w:val="decimal"/>
      <w:lvlText w:val="%1."/>
      <w:lvlJc w:val="left"/>
      <w:pPr>
        <w:ind w:left="1689" w:hanging="555"/>
      </w:pPr>
      <w:rPr>
        <w:rFonts w:eastAsiaTheme="minorEastAsia"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D1B5651"/>
    <w:multiLevelType w:val="hybridMultilevel"/>
    <w:tmpl w:val="74C078E8"/>
    <w:lvl w:ilvl="0" w:tplc="DC567FC0">
      <w:start w:val="1"/>
      <w:numFmt w:val="lowerLetter"/>
      <w:lvlText w:val="%1)"/>
      <w:lvlJc w:val="left"/>
      <w:pPr>
        <w:ind w:left="2258" w:hanging="570"/>
      </w:pPr>
      <w:rPr>
        <w:rFonts w:hint="default"/>
        <w:b w:val="0"/>
      </w:rPr>
    </w:lvl>
    <w:lvl w:ilvl="1" w:tplc="08090019" w:tentative="1">
      <w:start w:val="1"/>
      <w:numFmt w:val="lowerLetter"/>
      <w:lvlText w:val="%2."/>
      <w:lvlJc w:val="left"/>
      <w:pPr>
        <w:ind w:left="2768" w:hanging="360"/>
      </w:pPr>
    </w:lvl>
    <w:lvl w:ilvl="2" w:tplc="0809001B" w:tentative="1">
      <w:start w:val="1"/>
      <w:numFmt w:val="lowerRoman"/>
      <w:lvlText w:val="%3."/>
      <w:lvlJc w:val="right"/>
      <w:pPr>
        <w:ind w:left="3488" w:hanging="180"/>
      </w:pPr>
    </w:lvl>
    <w:lvl w:ilvl="3" w:tplc="0809000F" w:tentative="1">
      <w:start w:val="1"/>
      <w:numFmt w:val="decimal"/>
      <w:lvlText w:val="%4."/>
      <w:lvlJc w:val="left"/>
      <w:pPr>
        <w:ind w:left="4208" w:hanging="360"/>
      </w:pPr>
    </w:lvl>
    <w:lvl w:ilvl="4" w:tplc="08090019" w:tentative="1">
      <w:start w:val="1"/>
      <w:numFmt w:val="lowerLetter"/>
      <w:lvlText w:val="%5."/>
      <w:lvlJc w:val="left"/>
      <w:pPr>
        <w:ind w:left="4928" w:hanging="360"/>
      </w:pPr>
    </w:lvl>
    <w:lvl w:ilvl="5" w:tplc="0809001B" w:tentative="1">
      <w:start w:val="1"/>
      <w:numFmt w:val="lowerRoman"/>
      <w:lvlText w:val="%6."/>
      <w:lvlJc w:val="right"/>
      <w:pPr>
        <w:ind w:left="5648" w:hanging="180"/>
      </w:pPr>
    </w:lvl>
    <w:lvl w:ilvl="6" w:tplc="0809000F" w:tentative="1">
      <w:start w:val="1"/>
      <w:numFmt w:val="decimal"/>
      <w:lvlText w:val="%7."/>
      <w:lvlJc w:val="left"/>
      <w:pPr>
        <w:ind w:left="6368" w:hanging="360"/>
      </w:pPr>
    </w:lvl>
    <w:lvl w:ilvl="7" w:tplc="08090019" w:tentative="1">
      <w:start w:val="1"/>
      <w:numFmt w:val="lowerLetter"/>
      <w:lvlText w:val="%8."/>
      <w:lvlJc w:val="left"/>
      <w:pPr>
        <w:ind w:left="7088" w:hanging="360"/>
      </w:pPr>
    </w:lvl>
    <w:lvl w:ilvl="8" w:tplc="0809001B" w:tentative="1">
      <w:start w:val="1"/>
      <w:numFmt w:val="lowerRoman"/>
      <w:lvlText w:val="%9."/>
      <w:lvlJc w:val="right"/>
      <w:pPr>
        <w:ind w:left="7808" w:hanging="180"/>
      </w:pPr>
    </w:lvl>
  </w:abstractNum>
  <w:abstractNum w:abstractNumId="16" w15:restartNumberingAfterBreak="0">
    <w:nsid w:val="1FF11071"/>
    <w:multiLevelType w:val="hybridMultilevel"/>
    <w:tmpl w:val="5A98E9F8"/>
    <w:lvl w:ilvl="0" w:tplc="79DC4FA2">
      <w:start w:val="1"/>
      <w:numFmt w:val="decimal"/>
      <w:lvlText w:val="%1."/>
      <w:lvlJc w:val="left"/>
      <w:pPr>
        <w:ind w:left="1855" w:hanging="360"/>
      </w:pPr>
      <w:rPr>
        <w:b w:val="0"/>
      </w:rPr>
    </w:lvl>
    <w:lvl w:ilvl="1" w:tplc="08090019">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7" w15:restartNumberingAfterBreak="0">
    <w:nsid w:val="29265F83"/>
    <w:multiLevelType w:val="hybridMultilevel"/>
    <w:tmpl w:val="D5A486CA"/>
    <w:lvl w:ilvl="0" w:tplc="4964CE00">
      <w:start w:val="1"/>
      <w:numFmt w:val="decimal"/>
      <w:lvlText w:val="%1."/>
      <w:lvlJc w:val="left"/>
      <w:pPr>
        <w:ind w:left="1800" w:hanging="360"/>
      </w:pPr>
      <w:rPr>
        <w:rFonts w:ascii="Times New Roman" w:hAnsi="Times New Roman" w:cs="Times New Roman" w:hint="default"/>
        <w:b w:val="0"/>
        <w:sz w:val="20"/>
        <w:szCs w:val="20"/>
      </w:rPr>
    </w:lvl>
    <w:lvl w:ilvl="1" w:tplc="681A1AC2">
      <w:start w:val="1"/>
      <w:numFmt w:val="lowerLetter"/>
      <w:lvlText w:val="%2)"/>
      <w:lvlJc w:val="left"/>
      <w:pPr>
        <w:ind w:left="2730" w:hanging="570"/>
      </w:pPr>
      <w:rPr>
        <w:b/>
      </w:r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8" w15:restartNumberingAfterBreak="0">
    <w:nsid w:val="36A7743B"/>
    <w:multiLevelType w:val="hybridMultilevel"/>
    <w:tmpl w:val="165289D8"/>
    <w:lvl w:ilvl="0" w:tplc="51605292">
      <w:start w:val="1"/>
      <w:numFmt w:val="bullet"/>
      <w:pStyle w:val="Bullet2G"/>
      <w:lvlText w:val="•"/>
      <w:lvlJc w:val="left"/>
      <w:pPr>
        <w:tabs>
          <w:tab w:val="num" w:pos="2268"/>
        </w:tabs>
        <w:ind w:left="2268" w:hanging="170"/>
      </w:pPr>
      <w:rPr>
        <w:rFonts w:ascii="Times New Roman" w:hAnsi="Times New Roman" w:cs="Times New Roman" w:hint="default"/>
      </w:rPr>
    </w:lvl>
    <w:lvl w:ilvl="1" w:tplc="17706218" w:tentative="1">
      <w:start w:val="1"/>
      <w:numFmt w:val="bullet"/>
      <w:lvlText w:val="o"/>
      <w:lvlJc w:val="left"/>
      <w:pPr>
        <w:tabs>
          <w:tab w:val="num" w:pos="1440"/>
        </w:tabs>
        <w:ind w:left="1440" w:hanging="360"/>
      </w:pPr>
      <w:rPr>
        <w:rFonts w:ascii="Courier New" w:hAnsi="Courier New" w:hint="default"/>
      </w:rPr>
    </w:lvl>
    <w:lvl w:ilvl="2" w:tplc="C95E9126" w:tentative="1">
      <w:start w:val="1"/>
      <w:numFmt w:val="bullet"/>
      <w:lvlText w:val=""/>
      <w:lvlJc w:val="left"/>
      <w:pPr>
        <w:tabs>
          <w:tab w:val="num" w:pos="2160"/>
        </w:tabs>
        <w:ind w:left="2160" w:hanging="360"/>
      </w:pPr>
      <w:rPr>
        <w:rFonts w:ascii="Wingdings" w:hAnsi="Wingdings" w:hint="default"/>
      </w:rPr>
    </w:lvl>
    <w:lvl w:ilvl="3" w:tplc="C108FF2C" w:tentative="1">
      <w:start w:val="1"/>
      <w:numFmt w:val="bullet"/>
      <w:lvlText w:val=""/>
      <w:lvlJc w:val="left"/>
      <w:pPr>
        <w:tabs>
          <w:tab w:val="num" w:pos="2880"/>
        </w:tabs>
        <w:ind w:left="2880" w:hanging="360"/>
      </w:pPr>
      <w:rPr>
        <w:rFonts w:ascii="Symbol" w:hAnsi="Symbol" w:hint="default"/>
      </w:rPr>
    </w:lvl>
    <w:lvl w:ilvl="4" w:tplc="E1841ABE" w:tentative="1">
      <w:start w:val="1"/>
      <w:numFmt w:val="bullet"/>
      <w:lvlText w:val="o"/>
      <w:lvlJc w:val="left"/>
      <w:pPr>
        <w:tabs>
          <w:tab w:val="num" w:pos="3600"/>
        </w:tabs>
        <w:ind w:left="3600" w:hanging="360"/>
      </w:pPr>
      <w:rPr>
        <w:rFonts w:ascii="Courier New" w:hAnsi="Courier New" w:hint="default"/>
      </w:rPr>
    </w:lvl>
    <w:lvl w:ilvl="5" w:tplc="40BAAEC8" w:tentative="1">
      <w:start w:val="1"/>
      <w:numFmt w:val="bullet"/>
      <w:lvlText w:val=""/>
      <w:lvlJc w:val="left"/>
      <w:pPr>
        <w:tabs>
          <w:tab w:val="num" w:pos="4320"/>
        </w:tabs>
        <w:ind w:left="4320" w:hanging="360"/>
      </w:pPr>
      <w:rPr>
        <w:rFonts w:ascii="Wingdings" w:hAnsi="Wingdings" w:hint="default"/>
      </w:rPr>
    </w:lvl>
    <w:lvl w:ilvl="6" w:tplc="9B022384" w:tentative="1">
      <w:start w:val="1"/>
      <w:numFmt w:val="bullet"/>
      <w:lvlText w:val=""/>
      <w:lvlJc w:val="left"/>
      <w:pPr>
        <w:tabs>
          <w:tab w:val="num" w:pos="5040"/>
        </w:tabs>
        <w:ind w:left="5040" w:hanging="360"/>
      </w:pPr>
      <w:rPr>
        <w:rFonts w:ascii="Symbol" w:hAnsi="Symbol" w:hint="default"/>
      </w:rPr>
    </w:lvl>
    <w:lvl w:ilvl="7" w:tplc="FEFC918E" w:tentative="1">
      <w:start w:val="1"/>
      <w:numFmt w:val="bullet"/>
      <w:lvlText w:val="o"/>
      <w:lvlJc w:val="left"/>
      <w:pPr>
        <w:tabs>
          <w:tab w:val="num" w:pos="5760"/>
        </w:tabs>
        <w:ind w:left="5760" w:hanging="360"/>
      </w:pPr>
      <w:rPr>
        <w:rFonts w:ascii="Courier New" w:hAnsi="Courier New" w:hint="default"/>
      </w:rPr>
    </w:lvl>
    <w:lvl w:ilvl="8" w:tplc="71C619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D53625"/>
    <w:multiLevelType w:val="hybridMultilevel"/>
    <w:tmpl w:val="B6E62D54"/>
    <w:lvl w:ilvl="0" w:tplc="681A1AC2">
      <w:start w:val="1"/>
      <w:numFmt w:val="lowerLetter"/>
      <w:lvlText w:val="%1)"/>
      <w:lvlJc w:val="left"/>
      <w:pPr>
        <w:ind w:left="1854" w:hanging="360"/>
      </w:pPr>
      <w:rPr>
        <w:b/>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0" w15:restartNumberingAfterBreak="0">
    <w:nsid w:val="3A4521E6"/>
    <w:multiLevelType w:val="hybridMultilevel"/>
    <w:tmpl w:val="FC586CC2"/>
    <w:lvl w:ilvl="0" w:tplc="27AEB456">
      <w:start w:val="1"/>
      <w:numFmt w:val="lowerLetter"/>
      <w:lvlText w:val="%1)"/>
      <w:lvlJc w:val="left"/>
      <w:pPr>
        <w:ind w:left="1494" w:hanging="360"/>
      </w:pPr>
      <w:rPr>
        <w:rFonts w:hint="default"/>
        <w:b w:val="0"/>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21" w15:restartNumberingAfterBreak="0">
    <w:nsid w:val="3B8757CF"/>
    <w:multiLevelType w:val="hybridMultilevel"/>
    <w:tmpl w:val="57EC4B7A"/>
    <w:lvl w:ilvl="0" w:tplc="1CDA5780">
      <w:start w:val="1"/>
      <w:numFmt w:val="lowerLetter"/>
      <w:lvlText w:val="%1)"/>
      <w:lvlJc w:val="left"/>
      <w:pPr>
        <w:ind w:left="1920" w:hanging="360"/>
      </w:pPr>
      <w:rPr>
        <w:rFonts w:ascii="Times New Roman" w:eastAsia="Calibri" w:hAnsi="Times New Roman" w:cs="Times New Roman"/>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0809000F">
      <w:start w:val="1"/>
      <w:numFmt w:val="decimal"/>
      <w:lvlText w:val="%4."/>
      <w:lvlJc w:val="left"/>
      <w:pPr>
        <w:ind w:left="4080" w:hanging="360"/>
      </w:pPr>
    </w:lvl>
    <w:lvl w:ilvl="4" w:tplc="08090019">
      <w:start w:val="1"/>
      <w:numFmt w:val="lowerLetter"/>
      <w:lvlText w:val="%5."/>
      <w:lvlJc w:val="left"/>
      <w:pPr>
        <w:ind w:left="4800" w:hanging="360"/>
      </w:pPr>
    </w:lvl>
    <w:lvl w:ilvl="5" w:tplc="0809001B">
      <w:start w:val="1"/>
      <w:numFmt w:val="lowerRoman"/>
      <w:lvlText w:val="%6."/>
      <w:lvlJc w:val="right"/>
      <w:pPr>
        <w:ind w:left="5520" w:hanging="180"/>
      </w:pPr>
    </w:lvl>
    <w:lvl w:ilvl="6" w:tplc="0809000F">
      <w:start w:val="1"/>
      <w:numFmt w:val="decimal"/>
      <w:lvlText w:val="%7."/>
      <w:lvlJc w:val="left"/>
      <w:pPr>
        <w:ind w:left="6240" w:hanging="360"/>
      </w:pPr>
    </w:lvl>
    <w:lvl w:ilvl="7" w:tplc="08090019">
      <w:start w:val="1"/>
      <w:numFmt w:val="lowerLetter"/>
      <w:lvlText w:val="%8."/>
      <w:lvlJc w:val="left"/>
      <w:pPr>
        <w:ind w:left="6960" w:hanging="360"/>
      </w:pPr>
    </w:lvl>
    <w:lvl w:ilvl="8" w:tplc="0809001B">
      <w:start w:val="1"/>
      <w:numFmt w:val="lowerRoman"/>
      <w:lvlText w:val="%9."/>
      <w:lvlJc w:val="right"/>
      <w:pPr>
        <w:ind w:left="7680" w:hanging="180"/>
      </w:pPr>
    </w:lvl>
  </w:abstractNum>
  <w:abstractNum w:abstractNumId="22" w15:restartNumberingAfterBreak="0">
    <w:nsid w:val="3EBF5B87"/>
    <w:multiLevelType w:val="hybridMultilevel"/>
    <w:tmpl w:val="496E64E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33052E3"/>
    <w:multiLevelType w:val="hybridMultilevel"/>
    <w:tmpl w:val="B6E62D54"/>
    <w:lvl w:ilvl="0" w:tplc="681A1AC2">
      <w:start w:val="1"/>
      <w:numFmt w:val="lowerLetter"/>
      <w:lvlText w:val="%1)"/>
      <w:lvlJc w:val="left"/>
      <w:pPr>
        <w:ind w:left="1854" w:hanging="360"/>
      </w:pPr>
      <w:rPr>
        <w:b/>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4" w15:restartNumberingAfterBreak="0">
    <w:nsid w:val="49F154B1"/>
    <w:multiLevelType w:val="hybridMultilevel"/>
    <w:tmpl w:val="7F4AC22E"/>
    <w:lvl w:ilvl="0" w:tplc="681A1AC2">
      <w:start w:val="1"/>
      <w:numFmt w:val="lowerLetter"/>
      <w:lvlText w:val="%1)"/>
      <w:lvlJc w:val="left"/>
      <w:pPr>
        <w:ind w:left="1854" w:hanging="360"/>
      </w:pPr>
      <w:rPr>
        <w:b/>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25" w15:restartNumberingAfterBreak="0">
    <w:nsid w:val="50812FC3"/>
    <w:multiLevelType w:val="hybridMultilevel"/>
    <w:tmpl w:val="19D452D6"/>
    <w:lvl w:ilvl="0" w:tplc="283E2BF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08F5590"/>
    <w:multiLevelType w:val="hybridMultilevel"/>
    <w:tmpl w:val="C8F0433E"/>
    <w:lvl w:ilvl="0" w:tplc="01660D42">
      <w:start w:val="1"/>
      <w:numFmt w:val="decimal"/>
      <w:lvlText w:val="%1."/>
      <w:lvlJc w:val="left"/>
      <w:pPr>
        <w:ind w:left="1854" w:hanging="360"/>
      </w:pPr>
      <w:rPr>
        <w:rFonts w:ascii="Times New Roman" w:hAnsi="Times New Roman" w:cs="Times New Roman" w:hint="default"/>
        <w:b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51A870B0"/>
    <w:multiLevelType w:val="hybridMultilevel"/>
    <w:tmpl w:val="FE92ADFE"/>
    <w:lvl w:ilvl="0" w:tplc="47505194">
      <w:start w:val="1"/>
      <w:numFmt w:val="decimal"/>
      <w:lvlText w:val="%1."/>
      <w:lvlJc w:val="left"/>
      <w:pPr>
        <w:ind w:left="4046" w:hanging="360"/>
      </w:pPr>
      <w:rPr>
        <w:b w:val="0"/>
        <w:i w:val="0"/>
      </w:rPr>
    </w:lvl>
    <w:lvl w:ilvl="1" w:tplc="74ECFA0C">
      <w:start w:val="1"/>
      <w:numFmt w:val="lowerLetter"/>
      <w:lvlText w:val="%2)"/>
      <w:lvlJc w:val="left"/>
      <w:pPr>
        <w:ind w:left="3339" w:hanging="1125"/>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51FA33E1"/>
    <w:multiLevelType w:val="hybridMultilevel"/>
    <w:tmpl w:val="B40841E0"/>
    <w:lvl w:ilvl="0" w:tplc="FFFFFFFF">
      <w:start w:val="1"/>
      <w:numFmt w:val="lowerLetter"/>
      <w:lvlText w:val="%1)"/>
      <w:lvlJc w:val="left"/>
      <w:pPr>
        <w:ind w:left="1494" w:hanging="360"/>
      </w:pPr>
    </w:lvl>
    <w:lvl w:ilvl="1" w:tplc="FFFFFFFF">
      <w:start w:val="1"/>
      <w:numFmt w:val="lowerLetter"/>
      <w:lvlText w:val="%2."/>
      <w:lvlJc w:val="left"/>
      <w:pPr>
        <w:ind w:left="2214" w:hanging="360"/>
      </w:pPr>
    </w:lvl>
    <w:lvl w:ilvl="2" w:tplc="FFFFFFFF">
      <w:start w:val="1"/>
      <w:numFmt w:val="lowerRoman"/>
      <w:lvlText w:val="%3."/>
      <w:lvlJc w:val="right"/>
      <w:pPr>
        <w:ind w:left="2934" w:hanging="180"/>
      </w:pPr>
    </w:lvl>
    <w:lvl w:ilvl="3" w:tplc="FFFFFFFF">
      <w:start w:val="1"/>
      <w:numFmt w:val="decimal"/>
      <w:lvlText w:val="%4."/>
      <w:lvlJc w:val="left"/>
      <w:pPr>
        <w:ind w:left="3654" w:hanging="360"/>
      </w:pPr>
    </w:lvl>
    <w:lvl w:ilvl="4" w:tplc="FFFFFFFF">
      <w:start w:val="1"/>
      <w:numFmt w:val="lowerLetter"/>
      <w:lvlText w:val="%5."/>
      <w:lvlJc w:val="left"/>
      <w:pPr>
        <w:ind w:left="4374" w:hanging="360"/>
      </w:pPr>
    </w:lvl>
    <w:lvl w:ilvl="5" w:tplc="FFFFFFFF">
      <w:start w:val="1"/>
      <w:numFmt w:val="lowerRoman"/>
      <w:lvlText w:val="%6."/>
      <w:lvlJc w:val="right"/>
      <w:pPr>
        <w:ind w:left="5094" w:hanging="180"/>
      </w:pPr>
    </w:lvl>
    <w:lvl w:ilvl="6" w:tplc="FFFFFFFF">
      <w:start w:val="1"/>
      <w:numFmt w:val="decimal"/>
      <w:lvlText w:val="%7."/>
      <w:lvlJc w:val="left"/>
      <w:pPr>
        <w:ind w:left="5814" w:hanging="360"/>
      </w:pPr>
    </w:lvl>
    <w:lvl w:ilvl="7" w:tplc="FFFFFFFF">
      <w:start w:val="1"/>
      <w:numFmt w:val="lowerLetter"/>
      <w:lvlText w:val="%8."/>
      <w:lvlJc w:val="left"/>
      <w:pPr>
        <w:ind w:left="6534" w:hanging="360"/>
      </w:pPr>
    </w:lvl>
    <w:lvl w:ilvl="8" w:tplc="FFFFFFFF">
      <w:start w:val="1"/>
      <w:numFmt w:val="lowerRoman"/>
      <w:lvlText w:val="%9."/>
      <w:lvlJc w:val="right"/>
      <w:pPr>
        <w:ind w:left="7254" w:hanging="180"/>
      </w:pPr>
    </w:lvl>
  </w:abstractNum>
  <w:abstractNum w:abstractNumId="29" w15:restartNumberingAfterBreak="0">
    <w:nsid w:val="524016BC"/>
    <w:multiLevelType w:val="hybridMultilevel"/>
    <w:tmpl w:val="B40841E0"/>
    <w:lvl w:ilvl="0" w:tplc="F9A84FC6">
      <w:start w:val="1"/>
      <w:numFmt w:val="lowerLetter"/>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0" w15:restartNumberingAfterBreak="0">
    <w:nsid w:val="56136B26"/>
    <w:multiLevelType w:val="hybridMultilevel"/>
    <w:tmpl w:val="FB6CEB94"/>
    <w:lvl w:ilvl="0" w:tplc="74ECFA0C">
      <w:start w:val="1"/>
      <w:numFmt w:val="lowerLetter"/>
      <w:lvlText w:val="%1)"/>
      <w:lvlJc w:val="left"/>
      <w:pPr>
        <w:ind w:left="720" w:hanging="360"/>
      </w:pPr>
      <w:rPr>
        <w:rFonts w:hint="default"/>
      </w:rPr>
    </w:lvl>
    <w:lvl w:ilvl="1" w:tplc="3AC04598">
      <w:start w:val="1"/>
      <w:numFmt w:val="lowerLetter"/>
      <w:lvlText w:val="%2)"/>
      <w:lvlJc w:val="left"/>
      <w:pPr>
        <w:ind w:left="1440" w:hanging="360"/>
      </w:pPr>
      <w:rPr>
        <w:rFonts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FF1B30"/>
    <w:multiLevelType w:val="hybridMultilevel"/>
    <w:tmpl w:val="7E7CE888"/>
    <w:lvl w:ilvl="0" w:tplc="EC201C00">
      <w:start w:val="1"/>
      <w:numFmt w:val="lowerLetter"/>
      <w:lvlText w:val="%1)"/>
      <w:lvlJc w:val="left"/>
      <w:pPr>
        <w:ind w:left="1494" w:hanging="360"/>
      </w:pPr>
      <w:rPr>
        <w:rFonts w:hint="default"/>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2" w15:restartNumberingAfterBreak="0">
    <w:nsid w:val="5D491672"/>
    <w:multiLevelType w:val="hybridMultilevel"/>
    <w:tmpl w:val="8DF4696E"/>
    <w:lvl w:ilvl="0" w:tplc="2FD0993C">
      <w:start w:val="1"/>
      <w:numFmt w:val="lowerLetter"/>
      <w:lvlText w:val="%1)"/>
      <w:lvlJc w:val="left"/>
      <w:pPr>
        <w:ind w:left="2061" w:hanging="360"/>
      </w:pPr>
      <w:rPr>
        <w:rFonts w:ascii="Times New Roman" w:eastAsiaTheme="minorEastAsia" w:hAnsi="Times New Roman" w:cs="Times New Roman"/>
      </w:rPr>
    </w:lvl>
    <w:lvl w:ilvl="1" w:tplc="08090017">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start w:val="1"/>
      <w:numFmt w:val="lowerLetter"/>
      <w:lvlText w:val="%5."/>
      <w:lvlJc w:val="left"/>
      <w:pPr>
        <w:ind w:left="4941" w:hanging="360"/>
      </w:pPr>
    </w:lvl>
    <w:lvl w:ilvl="5" w:tplc="0809001B">
      <w:start w:val="1"/>
      <w:numFmt w:val="lowerRoman"/>
      <w:lvlText w:val="%6."/>
      <w:lvlJc w:val="right"/>
      <w:pPr>
        <w:ind w:left="5661" w:hanging="180"/>
      </w:pPr>
    </w:lvl>
    <w:lvl w:ilvl="6" w:tplc="0809000F">
      <w:start w:val="1"/>
      <w:numFmt w:val="decimal"/>
      <w:lvlText w:val="%7."/>
      <w:lvlJc w:val="left"/>
      <w:pPr>
        <w:ind w:left="6381" w:hanging="360"/>
      </w:pPr>
    </w:lvl>
    <w:lvl w:ilvl="7" w:tplc="08090019">
      <w:start w:val="1"/>
      <w:numFmt w:val="lowerLetter"/>
      <w:lvlText w:val="%8."/>
      <w:lvlJc w:val="left"/>
      <w:pPr>
        <w:ind w:left="7101" w:hanging="360"/>
      </w:pPr>
    </w:lvl>
    <w:lvl w:ilvl="8" w:tplc="0809001B">
      <w:start w:val="1"/>
      <w:numFmt w:val="lowerRoman"/>
      <w:lvlText w:val="%9."/>
      <w:lvlJc w:val="right"/>
      <w:pPr>
        <w:ind w:left="7821" w:hanging="180"/>
      </w:pPr>
    </w:lvl>
  </w:abstractNum>
  <w:abstractNum w:abstractNumId="33"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63DF2E6E"/>
    <w:multiLevelType w:val="hybridMultilevel"/>
    <w:tmpl w:val="423C6EBC"/>
    <w:lvl w:ilvl="0" w:tplc="81F29B86">
      <w:start w:val="1"/>
      <w:numFmt w:val="decimal"/>
      <w:lvlText w:val="%1."/>
      <w:lvlJc w:val="left"/>
      <w:pPr>
        <w:ind w:left="1637" w:hanging="360"/>
      </w:pPr>
      <w:rPr>
        <w:b w:val="0"/>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35" w15:restartNumberingAfterBreak="0">
    <w:nsid w:val="6AFD3DE4"/>
    <w:multiLevelType w:val="hybridMultilevel"/>
    <w:tmpl w:val="569E52D4"/>
    <w:lvl w:ilvl="0" w:tplc="4CFCEAF4">
      <w:start w:val="1"/>
      <w:numFmt w:val="bullet"/>
      <w:pStyle w:val="Bullet1G"/>
      <w:lvlText w:val="•"/>
      <w:lvlJc w:val="left"/>
      <w:pPr>
        <w:tabs>
          <w:tab w:val="num" w:pos="1701"/>
        </w:tabs>
        <w:ind w:left="1701" w:hanging="170"/>
      </w:pPr>
      <w:rPr>
        <w:rFonts w:ascii="Times New Roman" w:hAnsi="Times New Roman" w:cs="Times New Roman" w:hint="default"/>
      </w:rPr>
    </w:lvl>
    <w:lvl w:ilvl="1" w:tplc="203E3D84" w:tentative="1">
      <w:start w:val="1"/>
      <w:numFmt w:val="bullet"/>
      <w:lvlText w:val="o"/>
      <w:lvlJc w:val="left"/>
      <w:pPr>
        <w:tabs>
          <w:tab w:val="num" w:pos="1440"/>
        </w:tabs>
        <w:ind w:left="1440" w:hanging="360"/>
      </w:pPr>
      <w:rPr>
        <w:rFonts w:ascii="Courier New" w:hAnsi="Courier New" w:hint="default"/>
      </w:rPr>
    </w:lvl>
    <w:lvl w:ilvl="2" w:tplc="65A02BFE" w:tentative="1">
      <w:start w:val="1"/>
      <w:numFmt w:val="bullet"/>
      <w:lvlText w:val=""/>
      <w:lvlJc w:val="left"/>
      <w:pPr>
        <w:tabs>
          <w:tab w:val="num" w:pos="2160"/>
        </w:tabs>
        <w:ind w:left="2160" w:hanging="360"/>
      </w:pPr>
      <w:rPr>
        <w:rFonts w:ascii="Wingdings" w:hAnsi="Wingdings" w:hint="default"/>
      </w:rPr>
    </w:lvl>
    <w:lvl w:ilvl="3" w:tplc="104C7314" w:tentative="1">
      <w:start w:val="1"/>
      <w:numFmt w:val="bullet"/>
      <w:lvlText w:val=""/>
      <w:lvlJc w:val="left"/>
      <w:pPr>
        <w:tabs>
          <w:tab w:val="num" w:pos="2880"/>
        </w:tabs>
        <w:ind w:left="2880" w:hanging="360"/>
      </w:pPr>
      <w:rPr>
        <w:rFonts w:ascii="Symbol" w:hAnsi="Symbol" w:hint="default"/>
      </w:rPr>
    </w:lvl>
    <w:lvl w:ilvl="4" w:tplc="2EE8FDAC" w:tentative="1">
      <w:start w:val="1"/>
      <w:numFmt w:val="bullet"/>
      <w:lvlText w:val="o"/>
      <w:lvlJc w:val="left"/>
      <w:pPr>
        <w:tabs>
          <w:tab w:val="num" w:pos="3600"/>
        </w:tabs>
        <w:ind w:left="3600" w:hanging="360"/>
      </w:pPr>
      <w:rPr>
        <w:rFonts w:ascii="Courier New" w:hAnsi="Courier New" w:hint="default"/>
      </w:rPr>
    </w:lvl>
    <w:lvl w:ilvl="5" w:tplc="3506749E" w:tentative="1">
      <w:start w:val="1"/>
      <w:numFmt w:val="bullet"/>
      <w:lvlText w:val=""/>
      <w:lvlJc w:val="left"/>
      <w:pPr>
        <w:tabs>
          <w:tab w:val="num" w:pos="4320"/>
        </w:tabs>
        <w:ind w:left="4320" w:hanging="360"/>
      </w:pPr>
      <w:rPr>
        <w:rFonts w:ascii="Wingdings" w:hAnsi="Wingdings" w:hint="default"/>
      </w:rPr>
    </w:lvl>
    <w:lvl w:ilvl="6" w:tplc="311EB238" w:tentative="1">
      <w:start w:val="1"/>
      <w:numFmt w:val="bullet"/>
      <w:lvlText w:val=""/>
      <w:lvlJc w:val="left"/>
      <w:pPr>
        <w:tabs>
          <w:tab w:val="num" w:pos="5040"/>
        </w:tabs>
        <w:ind w:left="5040" w:hanging="360"/>
      </w:pPr>
      <w:rPr>
        <w:rFonts w:ascii="Symbol" w:hAnsi="Symbol" w:hint="default"/>
      </w:rPr>
    </w:lvl>
    <w:lvl w:ilvl="7" w:tplc="A656A610" w:tentative="1">
      <w:start w:val="1"/>
      <w:numFmt w:val="bullet"/>
      <w:lvlText w:val="o"/>
      <w:lvlJc w:val="left"/>
      <w:pPr>
        <w:tabs>
          <w:tab w:val="num" w:pos="5760"/>
        </w:tabs>
        <w:ind w:left="5760" w:hanging="360"/>
      </w:pPr>
      <w:rPr>
        <w:rFonts w:ascii="Courier New" w:hAnsi="Courier New" w:hint="default"/>
      </w:rPr>
    </w:lvl>
    <w:lvl w:ilvl="8" w:tplc="51E8B2C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F015FA"/>
    <w:multiLevelType w:val="hybridMultilevel"/>
    <w:tmpl w:val="975E5F3C"/>
    <w:lvl w:ilvl="0" w:tplc="60A61590">
      <w:start w:val="1"/>
      <w:numFmt w:val="lowerLetter"/>
      <w:lvlText w:val="%1)"/>
      <w:lvlJc w:val="left"/>
      <w:pPr>
        <w:ind w:left="1494" w:hanging="360"/>
      </w:pPr>
      <w:rPr>
        <w:rFonts w:eastAsiaTheme="minorEastAsia"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6E2E2F09"/>
    <w:multiLevelType w:val="hybridMultilevel"/>
    <w:tmpl w:val="4954ADA0"/>
    <w:lvl w:ilvl="0" w:tplc="406E1E1C">
      <w:start w:val="1"/>
      <w:numFmt w:val="lowerLetter"/>
      <w:lvlText w:val="%1)"/>
      <w:lvlJc w:val="left"/>
      <w:pPr>
        <w:ind w:left="1494" w:hanging="360"/>
      </w:pPr>
      <w:rPr>
        <w:rFonts w:hint="default"/>
        <w:b/>
        <w:bCs/>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8"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61677BC"/>
    <w:multiLevelType w:val="hybridMultilevel"/>
    <w:tmpl w:val="27845D72"/>
    <w:lvl w:ilvl="0" w:tplc="34B8F1CA">
      <w:start w:val="1"/>
      <w:numFmt w:val="decimal"/>
      <w:lvlText w:val="%1."/>
      <w:lvlJc w:val="left"/>
      <w:pPr>
        <w:ind w:left="1854" w:hanging="360"/>
      </w:pPr>
      <w:rPr>
        <w:rFonts w:ascii="Times New Roman" w:eastAsia="Times New Roman" w:hAnsi="Times New Roman" w:cs="Times New Roman"/>
        <w:b w:val="0"/>
        <w:i w:val="0"/>
        <w:color w:val="auto"/>
      </w:rPr>
    </w:lvl>
    <w:lvl w:ilvl="1" w:tplc="04090019">
      <w:start w:val="1"/>
      <w:numFmt w:val="lowerLetter"/>
      <w:lvlText w:val="%2."/>
      <w:lvlJc w:val="left"/>
      <w:pPr>
        <w:ind w:left="2574" w:hanging="360"/>
      </w:pPr>
    </w:lvl>
    <w:lvl w:ilvl="2" w:tplc="6F629BFA">
      <w:start w:val="1"/>
      <w:numFmt w:val="lowerLetter"/>
      <w:lvlText w:val="%3)"/>
      <w:lvlJc w:val="left"/>
      <w:pPr>
        <w:ind w:left="3684" w:hanging="57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40"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0"/>
  </w:num>
  <w:num w:numId="2">
    <w:abstractNumId w:val="38"/>
  </w:num>
  <w:num w:numId="3">
    <w:abstractNumId w:val="33"/>
  </w:num>
  <w:num w:numId="4">
    <w:abstractNumId w:val="35"/>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6"/>
  </w:num>
  <w:num w:numId="20">
    <w:abstractNumId w:val="36"/>
  </w:num>
  <w:num w:numId="21">
    <w:abstractNumId w:val="16"/>
  </w:num>
  <w:num w:numId="22">
    <w:abstractNumId w:val="11"/>
  </w:num>
  <w:num w:numId="23">
    <w:abstractNumId w:val="15"/>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0"/>
  </w:num>
  <w:num w:numId="38">
    <w:abstractNumId w:val="32"/>
  </w:num>
  <w:num w:numId="39">
    <w:abstractNumId w:val="23"/>
  </w:num>
  <w:num w:numId="40">
    <w:abstractNumId w:val="29"/>
  </w:num>
  <w:num w:numId="41">
    <w:abstractNumId w:val="28"/>
  </w:num>
  <w:num w:numId="42">
    <w:abstractNumId w:val="20"/>
  </w:num>
  <w:num w:numId="43">
    <w:abstractNumId w:val="31"/>
  </w:num>
  <w:num w:numId="44">
    <w:abstractNumId w:val="37"/>
  </w:num>
  <w:num w:numId="45">
    <w:abstractNumId w:val="22"/>
  </w:num>
  <w:num w:numId="4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6" w:nlCheck="1" w:checkStyle="0"/>
  <w:activeWritingStyle w:appName="MSWord" w:lang="en-GB" w:vendorID="64" w:dllVersion="6" w:nlCheck="1" w:checkStyle="1"/>
  <w:activeWritingStyle w:appName="MSWord" w:lang="es-419" w:vendorID="64" w:dllVersion="6" w:nlCheck="1" w:checkStyle="0"/>
  <w:activeWritingStyle w:appName="MSWord" w:lang="es-GT"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80"/>
    <w:rsid w:val="00005011"/>
    <w:rsid w:val="000107AA"/>
    <w:rsid w:val="00012BF8"/>
    <w:rsid w:val="00016628"/>
    <w:rsid w:val="00026280"/>
    <w:rsid w:val="00033589"/>
    <w:rsid w:val="00033EE1"/>
    <w:rsid w:val="0003525F"/>
    <w:rsid w:val="00035C80"/>
    <w:rsid w:val="00042B72"/>
    <w:rsid w:val="00042C4C"/>
    <w:rsid w:val="000439CA"/>
    <w:rsid w:val="00053EA6"/>
    <w:rsid w:val="000558BD"/>
    <w:rsid w:val="00061178"/>
    <w:rsid w:val="000618E5"/>
    <w:rsid w:val="000649F3"/>
    <w:rsid w:val="000756AE"/>
    <w:rsid w:val="00076BC4"/>
    <w:rsid w:val="000813C0"/>
    <w:rsid w:val="000A7C6A"/>
    <w:rsid w:val="000B57E7"/>
    <w:rsid w:val="000B6373"/>
    <w:rsid w:val="000B6F77"/>
    <w:rsid w:val="000B7A1E"/>
    <w:rsid w:val="000D1168"/>
    <w:rsid w:val="000D1D32"/>
    <w:rsid w:val="000D3664"/>
    <w:rsid w:val="000D4C6E"/>
    <w:rsid w:val="000F09DF"/>
    <w:rsid w:val="000F0DB1"/>
    <w:rsid w:val="000F61B2"/>
    <w:rsid w:val="001075E9"/>
    <w:rsid w:val="00121123"/>
    <w:rsid w:val="00127034"/>
    <w:rsid w:val="00142F79"/>
    <w:rsid w:val="001556D7"/>
    <w:rsid w:val="00180183"/>
    <w:rsid w:val="0018024D"/>
    <w:rsid w:val="00180B8D"/>
    <w:rsid w:val="00184761"/>
    <w:rsid w:val="00185C8F"/>
    <w:rsid w:val="0018649F"/>
    <w:rsid w:val="00190434"/>
    <w:rsid w:val="00193A09"/>
    <w:rsid w:val="00195146"/>
    <w:rsid w:val="001956EE"/>
    <w:rsid w:val="00196389"/>
    <w:rsid w:val="001A4396"/>
    <w:rsid w:val="001B3EF6"/>
    <w:rsid w:val="001C37CF"/>
    <w:rsid w:val="001C7A89"/>
    <w:rsid w:val="001D48F8"/>
    <w:rsid w:val="001D6C43"/>
    <w:rsid w:val="001F3FDF"/>
    <w:rsid w:val="00213E6C"/>
    <w:rsid w:val="00220670"/>
    <w:rsid w:val="00220C1E"/>
    <w:rsid w:val="0022171A"/>
    <w:rsid w:val="00224AAB"/>
    <w:rsid w:val="00241D89"/>
    <w:rsid w:val="0024752D"/>
    <w:rsid w:val="002501DD"/>
    <w:rsid w:val="0028153A"/>
    <w:rsid w:val="00295145"/>
    <w:rsid w:val="002A02C6"/>
    <w:rsid w:val="002A09E2"/>
    <w:rsid w:val="002A2EFC"/>
    <w:rsid w:val="002A55BF"/>
    <w:rsid w:val="002B35E6"/>
    <w:rsid w:val="002C0E18"/>
    <w:rsid w:val="002C3864"/>
    <w:rsid w:val="002D24EE"/>
    <w:rsid w:val="002D4163"/>
    <w:rsid w:val="002D4172"/>
    <w:rsid w:val="002D5AAC"/>
    <w:rsid w:val="002E515D"/>
    <w:rsid w:val="002F405F"/>
    <w:rsid w:val="00301299"/>
    <w:rsid w:val="00301705"/>
    <w:rsid w:val="00302D4E"/>
    <w:rsid w:val="00307FB6"/>
    <w:rsid w:val="00316117"/>
    <w:rsid w:val="00316F5C"/>
    <w:rsid w:val="00317339"/>
    <w:rsid w:val="00320190"/>
    <w:rsid w:val="003215C9"/>
    <w:rsid w:val="00322004"/>
    <w:rsid w:val="00332E69"/>
    <w:rsid w:val="00335EA2"/>
    <w:rsid w:val="00337DB7"/>
    <w:rsid w:val="003402C2"/>
    <w:rsid w:val="0036051A"/>
    <w:rsid w:val="0036202E"/>
    <w:rsid w:val="003640A0"/>
    <w:rsid w:val="00376E4E"/>
    <w:rsid w:val="00377F6B"/>
    <w:rsid w:val="00381C24"/>
    <w:rsid w:val="0038284E"/>
    <w:rsid w:val="00384E5C"/>
    <w:rsid w:val="003958D0"/>
    <w:rsid w:val="003A3CE4"/>
    <w:rsid w:val="003A7E94"/>
    <w:rsid w:val="003B00E5"/>
    <w:rsid w:val="003C7103"/>
    <w:rsid w:val="003D3526"/>
    <w:rsid w:val="003E0332"/>
    <w:rsid w:val="003F43D1"/>
    <w:rsid w:val="003F6DF2"/>
    <w:rsid w:val="003F6FF0"/>
    <w:rsid w:val="003F7626"/>
    <w:rsid w:val="00407B78"/>
    <w:rsid w:val="00411D10"/>
    <w:rsid w:val="0041429C"/>
    <w:rsid w:val="00424203"/>
    <w:rsid w:val="004251CD"/>
    <w:rsid w:val="00425F5C"/>
    <w:rsid w:val="00430206"/>
    <w:rsid w:val="004407FD"/>
    <w:rsid w:val="004452DE"/>
    <w:rsid w:val="00454E07"/>
    <w:rsid w:val="00462C8F"/>
    <w:rsid w:val="004758F1"/>
    <w:rsid w:val="004B0ADD"/>
    <w:rsid w:val="004B58AA"/>
    <w:rsid w:val="004B6CC2"/>
    <w:rsid w:val="004D1828"/>
    <w:rsid w:val="004D2DA6"/>
    <w:rsid w:val="004D34CD"/>
    <w:rsid w:val="004D5506"/>
    <w:rsid w:val="004F0578"/>
    <w:rsid w:val="004F56DA"/>
    <w:rsid w:val="0050108D"/>
    <w:rsid w:val="005076C7"/>
    <w:rsid w:val="00513081"/>
    <w:rsid w:val="005172CB"/>
    <w:rsid w:val="00517901"/>
    <w:rsid w:val="00521DC1"/>
    <w:rsid w:val="00525161"/>
    <w:rsid w:val="00526683"/>
    <w:rsid w:val="00551D91"/>
    <w:rsid w:val="005578A2"/>
    <w:rsid w:val="00560BA8"/>
    <w:rsid w:val="00563E31"/>
    <w:rsid w:val="00565A09"/>
    <w:rsid w:val="00567760"/>
    <w:rsid w:val="005709E0"/>
    <w:rsid w:val="0057118B"/>
    <w:rsid w:val="00572E19"/>
    <w:rsid w:val="0058333D"/>
    <w:rsid w:val="00594204"/>
    <w:rsid w:val="005961C8"/>
    <w:rsid w:val="005A3C67"/>
    <w:rsid w:val="005A3CA6"/>
    <w:rsid w:val="005A41F1"/>
    <w:rsid w:val="005B1669"/>
    <w:rsid w:val="005B6E66"/>
    <w:rsid w:val="005B7A0F"/>
    <w:rsid w:val="005D7914"/>
    <w:rsid w:val="005E727D"/>
    <w:rsid w:val="005F0B42"/>
    <w:rsid w:val="00600EF8"/>
    <w:rsid w:val="00615628"/>
    <w:rsid w:val="00621949"/>
    <w:rsid w:val="00647EF5"/>
    <w:rsid w:val="00651722"/>
    <w:rsid w:val="006551F6"/>
    <w:rsid w:val="006741D8"/>
    <w:rsid w:val="00681A10"/>
    <w:rsid w:val="006864F7"/>
    <w:rsid w:val="00686FC9"/>
    <w:rsid w:val="00687B39"/>
    <w:rsid w:val="006A301D"/>
    <w:rsid w:val="006B5870"/>
    <w:rsid w:val="006C2031"/>
    <w:rsid w:val="006C54DE"/>
    <w:rsid w:val="006D317E"/>
    <w:rsid w:val="006D461A"/>
    <w:rsid w:val="006D74BD"/>
    <w:rsid w:val="006E3789"/>
    <w:rsid w:val="006E78EB"/>
    <w:rsid w:val="006F35EE"/>
    <w:rsid w:val="007021FF"/>
    <w:rsid w:val="00705519"/>
    <w:rsid w:val="00710F0D"/>
    <w:rsid w:val="00712895"/>
    <w:rsid w:val="0074166F"/>
    <w:rsid w:val="00746B13"/>
    <w:rsid w:val="00752D96"/>
    <w:rsid w:val="00753B3A"/>
    <w:rsid w:val="00754B77"/>
    <w:rsid w:val="00757357"/>
    <w:rsid w:val="00764C6F"/>
    <w:rsid w:val="00773BF1"/>
    <w:rsid w:val="00775E54"/>
    <w:rsid w:val="007831E4"/>
    <w:rsid w:val="00787A85"/>
    <w:rsid w:val="0079172D"/>
    <w:rsid w:val="00794179"/>
    <w:rsid w:val="00794A8A"/>
    <w:rsid w:val="007A0079"/>
    <w:rsid w:val="007C333F"/>
    <w:rsid w:val="007D7962"/>
    <w:rsid w:val="007E072F"/>
    <w:rsid w:val="007E2C6D"/>
    <w:rsid w:val="007E7A06"/>
    <w:rsid w:val="00805D1C"/>
    <w:rsid w:val="00817FD2"/>
    <w:rsid w:val="0082273B"/>
    <w:rsid w:val="00825F8D"/>
    <w:rsid w:val="00830008"/>
    <w:rsid w:val="00834B71"/>
    <w:rsid w:val="008364BE"/>
    <w:rsid w:val="00841CBA"/>
    <w:rsid w:val="008531CF"/>
    <w:rsid w:val="0086445C"/>
    <w:rsid w:val="008847C3"/>
    <w:rsid w:val="0088781B"/>
    <w:rsid w:val="00894693"/>
    <w:rsid w:val="00896FA5"/>
    <w:rsid w:val="008A03CE"/>
    <w:rsid w:val="008A08D7"/>
    <w:rsid w:val="008A308A"/>
    <w:rsid w:val="008A6AAA"/>
    <w:rsid w:val="008B5899"/>
    <w:rsid w:val="008B6909"/>
    <w:rsid w:val="008E07EF"/>
    <w:rsid w:val="008F618C"/>
    <w:rsid w:val="00903607"/>
    <w:rsid w:val="009044B4"/>
    <w:rsid w:val="00906890"/>
    <w:rsid w:val="00907E9B"/>
    <w:rsid w:val="00911BE4"/>
    <w:rsid w:val="0091405F"/>
    <w:rsid w:val="009149EE"/>
    <w:rsid w:val="00916B0F"/>
    <w:rsid w:val="009240A5"/>
    <w:rsid w:val="00925B57"/>
    <w:rsid w:val="00935A0B"/>
    <w:rsid w:val="00950708"/>
    <w:rsid w:val="009509CB"/>
    <w:rsid w:val="00951972"/>
    <w:rsid w:val="00953B31"/>
    <w:rsid w:val="00954A1B"/>
    <w:rsid w:val="009608F3"/>
    <w:rsid w:val="00965178"/>
    <w:rsid w:val="0098669A"/>
    <w:rsid w:val="009874BF"/>
    <w:rsid w:val="009B7E9D"/>
    <w:rsid w:val="009C2C74"/>
    <w:rsid w:val="009F2542"/>
    <w:rsid w:val="00A004B9"/>
    <w:rsid w:val="00A0205C"/>
    <w:rsid w:val="00A13381"/>
    <w:rsid w:val="00A27069"/>
    <w:rsid w:val="00A32382"/>
    <w:rsid w:val="00A44B2D"/>
    <w:rsid w:val="00A51030"/>
    <w:rsid w:val="00A6213D"/>
    <w:rsid w:val="00A711FB"/>
    <w:rsid w:val="00A80A48"/>
    <w:rsid w:val="00A84021"/>
    <w:rsid w:val="00A85EE3"/>
    <w:rsid w:val="00A86F80"/>
    <w:rsid w:val="00A90C2B"/>
    <w:rsid w:val="00A917B3"/>
    <w:rsid w:val="00A9256F"/>
    <w:rsid w:val="00AA2D65"/>
    <w:rsid w:val="00AB4B51"/>
    <w:rsid w:val="00AE137D"/>
    <w:rsid w:val="00AE5F3B"/>
    <w:rsid w:val="00AF30A0"/>
    <w:rsid w:val="00AF5C6B"/>
    <w:rsid w:val="00B020B8"/>
    <w:rsid w:val="00B05E47"/>
    <w:rsid w:val="00B10CC7"/>
    <w:rsid w:val="00B120BF"/>
    <w:rsid w:val="00B20DA3"/>
    <w:rsid w:val="00B31829"/>
    <w:rsid w:val="00B33313"/>
    <w:rsid w:val="00B45DA9"/>
    <w:rsid w:val="00B5253E"/>
    <w:rsid w:val="00B539E7"/>
    <w:rsid w:val="00B563EB"/>
    <w:rsid w:val="00B6011F"/>
    <w:rsid w:val="00B62458"/>
    <w:rsid w:val="00B73072"/>
    <w:rsid w:val="00B74C57"/>
    <w:rsid w:val="00B80A93"/>
    <w:rsid w:val="00B966E3"/>
    <w:rsid w:val="00BA20C3"/>
    <w:rsid w:val="00BA500F"/>
    <w:rsid w:val="00BA5BDF"/>
    <w:rsid w:val="00BA5F27"/>
    <w:rsid w:val="00BB7D98"/>
    <w:rsid w:val="00BC63A5"/>
    <w:rsid w:val="00BD33EE"/>
    <w:rsid w:val="00BD577B"/>
    <w:rsid w:val="00BE03D7"/>
    <w:rsid w:val="00BE07BF"/>
    <w:rsid w:val="00BF2E5C"/>
    <w:rsid w:val="00C102DF"/>
    <w:rsid w:val="00C106D6"/>
    <w:rsid w:val="00C23110"/>
    <w:rsid w:val="00C25F20"/>
    <w:rsid w:val="00C32FF0"/>
    <w:rsid w:val="00C43650"/>
    <w:rsid w:val="00C436CF"/>
    <w:rsid w:val="00C51895"/>
    <w:rsid w:val="00C60F0C"/>
    <w:rsid w:val="00C76640"/>
    <w:rsid w:val="00C805C9"/>
    <w:rsid w:val="00C845A9"/>
    <w:rsid w:val="00C8762E"/>
    <w:rsid w:val="00C92939"/>
    <w:rsid w:val="00C97119"/>
    <w:rsid w:val="00CA1679"/>
    <w:rsid w:val="00CB151C"/>
    <w:rsid w:val="00CB242B"/>
    <w:rsid w:val="00CC5C87"/>
    <w:rsid w:val="00CE5A1A"/>
    <w:rsid w:val="00CE7FB8"/>
    <w:rsid w:val="00CF55F6"/>
    <w:rsid w:val="00D04407"/>
    <w:rsid w:val="00D04A98"/>
    <w:rsid w:val="00D22342"/>
    <w:rsid w:val="00D236FD"/>
    <w:rsid w:val="00D305FC"/>
    <w:rsid w:val="00D3269C"/>
    <w:rsid w:val="00D33D63"/>
    <w:rsid w:val="00D36472"/>
    <w:rsid w:val="00D37EF6"/>
    <w:rsid w:val="00D41544"/>
    <w:rsid w:val="00D46FF5"/>
    <w:rsid w:val="00D476EF"/>
    <w:rsid w:val="00D4778E"/>
    <w:rsid w:val="00D57F28"/>
    <w:rsid w:val="00D7481B"/>
    <w:rsid w:val="00D7628D"/>
    <w:rsid w:val="00D82740"/>
    <w:rsid w:val="00D86FBC"/>
    <w:rsid w:val="00D90138"/>
    <w:rsid w:val="00D92A68"/>
    <w:rsid w:val="00DB3A36"/>
    <w:rsid w:val="00DC1082"/>
    <w:rsid w:val="00DC2F65"/>
    <w:rsid w:val="00DC36DC"/>
    <w:rsid w:val="00DC5EEB"/>
    <w:rsid w:val="00DD0A45"/>
    <w:rsid w:val="00DE088A"/>
    <w:rsid w:val="00DE2B3B"/>
    <w:rsid w:val="00DF0B2F"/>
    <w:rsid w:val="00DF45B1"/>
    <w:rsid w:val="00DF4D27"/>
    <w:rsid w:val="00E07DF9"/>
    <w:rsid w:val="00E2137F"/>
    <w:rsid w:val="00E2615C"/>
    <w:rsid w:val="00E3142F"/>
    <w:rsid w:val="00E31CF9"/>
    <w:rsid w:val="00E334CD"/>
    <w:rsid w:val="00E40066"/>
    <w:rsid w:val="00E50CFB"/>
    <w:rsid w:val="00E56EE3"/>
    <w:rsid w:val="00E6620F"/>
    <w:rsid w:val="00E73F76"/>
    <w:rsid w:val="00E762DA"/>
    <w:rsid w:val="00E7782E"/>
    <w:rsid w:val="00E81B66"/>
    <w:rsid w:val="00E86371"/>
    <w:rsid w:val="00E91BD6"/>
    <w:rsid w:val="00E939A3"/>
    <w:rsid w:val="00E93A18"/>
    <w:rsid w:val="00EA24A7"/>
    <w:rsid w:val="00EA2C9F"/>
    <w:rsid w:val="00EB7A90"/>
    <w:rsid w:val="00EC1A5A"/>
    <w:rsid w:val="00EC3F04"/>
    <w:rsid w:val="00ED0BDA"/>
    <w:rsid w:val="00ED2F2C"/>
    <w:rsid w:val="00ED3749"/>
    <w:rsid w:val="00ED5C3B"/>
    <w:rsid w:val="00EE2E5B"/>
    <w:rsid w:val="00EE7654"/>
    <w:rsid w:val="00EF090A"/>
    <w:rsid w:val="00EF1360"/>
    <w:rsid w:val="00EF3220"/>
    <w:rsid w:val="00F03A4F"/>
    <w:rsid w:val="00F10EA4"/>
    <w:rsid w:val="00F17341"/>
    <w:rsid w:val="00F26E81"/>
    <w:rsid w:val="00F375D2"/>
    <w:rsid w:val="00F37BF0"/>
    <w:rsid w:val="00F43810"/>
    <w:rsid w:val="00F63772"/>
    <w:rsid w:val="00F721D1"/>
    <w:rsid w:val="00F72B1F"/>
    <w:rsid w:val="00F76A49"/>
    <w:rsid w:val="00F82613"/>
    <w:rsid w:val="00F8338A"/>
    <w:rsid w:val="00F9377E"/>
    <w:rsid w:val="00F93B7A"/>
    <w:rsid w:val="00F94155"/>
    <w:rsid w:val="00FA3069"/>
    <w:rsid w:val="00FB2CBE"/>
    <w:rsid w:val="00FB3AF9"/>
    <w:rsid w:val="00FD234F"/>
    <w:rsid w:val="00FD2EF7"/>
    <w:rsid w:val="00FE447E"/>
    <w:rsid w:val="00FF2216"/>
    <w:rsid w:val="00FF4E2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8BF4"/>
  <w15:docId w15:val="{D7B0DF0C-E0E8-4320-A64F-A560AA13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1B"/>
    <w:pPr>
      <w:spacing w:line="240" w:lineRule="atLeast"/>
    </w:pPr>
    <w:rPr>
      <w:rFonts w:eastAsiaTheme="minorEastAsia"/>
      <w:lang w:val="es-ES" w:eastAsia="es-ES"/>
    </w:rPr>
  </w:style>
  <w:style w:type="paragraph" w:styleId="Heading1">
    <w:name w:val="heading 1"/>
    <w:aliases w:val="Cuadro_G"/>
    <w:basedOn w:val="SingleTxtG"/>
    <w:next w:val="SingleTxtG"/>
    <w:link w:val="Heading1Char"/>
    <w:qFormat/>
    <w:rsid w:val="00D7481B"/>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semiHidden/>
    <w:rsid w:val="00D7481B"/>
    <w:pPr>
      <w:keepNext/>
      <w:outlineLvl w:val="1"/>
    </w:pPr>
    <w:rPr>
      <w:rFonts w:cs="Arial"/>
      <w:bCs/>
      <w:iCs/>
      <w:szCs w:val="28"/>
    </w:rPr>
  </w:style>
  <w:style w:type="paragraph" w:styleId="Heading3">
    <w:name w:val="heading 3"/>
    <w:basedOn w:val="Normal"/>
    <w:next w:val="Normal"/>
    <w:semiHidden/>
    <w:rsid w:val="00D7481B"/>
    <w:pPr>
      <w:keepNext/>
      <w:spacing w:before="240" w:after="60"/>
      <w:outlineLvl w:val="2"/>
    </w:pPr>
    <w:rPr>
      <w:rFonts w:ascii="Arial" w:hAnsi="Arial" w:cs="Arial"/>
      <w:b/>
      <w:bCs/>
      <w:sz w:val="26"/>
      <w:szCs w:val="26"/>
    </w:rPr>
  </w:style>
  <w:style w:type="paragraph" w:styleId="Heading4">
    <w:name w:val="heading 4"/>
    <w:basedOn w:val="Normal"/>
    <w:next w:val="Normal"/>
    <w:semiHidden/>
    <w:rsid w:val="00D7481B"/>
    <w:pPr>
      <w:keepNext/>
      <w:spacing w:before="240" w:after="60"/>
      <w:outlineLvl w:val="3"/>
    </w:pPr>
    <w:rPr>
      <w:b/>
      <w:bCs/>
      <w:sz w:val="28"/>
      <w:szCs w:val="28"/>
    </w:rPr>
  </w:style>
  <w:style w:type="paragraph" w:styleId="Heading5">
    <w:name w:val="heading 5"/>
    <w:basedOn w:val="Normal"/>
    <w:next w:val="Normal"/>
    <w:semiHidden/>
    <w:rsid w:val="00D7481B"/>
    <w:pPr>
      <w:spacing w:before="240" w:after="60"/>
      <w:outlineLvl w:val="4"/>
    </w:pPr>
    <w:rPr>
      <w:b/>
      <w:bCs/>
      <w:i/>
      <w:iCs/>
      <w:sz w:val="26"/>
      <w:szCs w:val="26"/>
    </w:rPr>
  </w:style>
  <w:style w:type="paragraph" w:styleId="Heading6">
    <w:name w:val="heading 6"/>
    <w:basedOn w:val="Normal"/>
    <w:next w:val="Normal"/>
    <w:semiHidden/>
    <w:rsid w:val="00D7481B"/>
    <w:pPr>
      <w:spacing w:before="240" w:after="60"/>
      <w:outlineLvl w:val="5"/>
    </w:pPr>
    <w:rPr>
      <w:b/>
      <w:bCs/>
      <w:sz w:val="22"/>
      <w:szCs w:val="22"/>
    </w:rPr>
  </w:style>
  <w:style w:type="paragraph" w:styleId="Heading7">
    <w:name w:val="heading 7"/>
    <w:basedOn w:val="Normal"/>
    <w:next w:val="Normal"/>
    <w:semiHidden/>
    <w:rsid w:val="00D7481B"/>
    <w:pPr>
      <w:spacing w:before="240" w:after="60"/>
      <w:outlineLvl w:val="6"/>
    </w:pPr>
    <w:rPr>
      <w:sz w:val="24"/>
      <w:szCs w:val="24"/>
    </w:rPr>
  </w:style>
  <w:style w:type="paragraph" w:styleId="Heading8">
    <w:name w:val="heading 8"/>
    <w:basedOn w:val="Normal"/>
    <w:next w:val="Normal"/>
    <w:semiHidden/>
    <w:rsid w:val="00D7481B"/>
    <w:pPr>
      <w:spacing w:before="240" w:after="60"/>
      <w:outlineLvl w:val="7"/>
    </w:pPr>
    <w:rPr>
      <w:i/>
      <w:iCs/>
      <w:sz w:val="24"/>
      <w:szCs w:val="24"/>
    </w:rPr>
  </w:style>
  <w:style w:type="paragraph" w:styleId="Heading9">
    <w:name w:val="heading 9"/>
    <w:basedOn w:val="Normal"/>
    <w:next w:val="Normal"/>
    <w:semiHidden/>
    <w:rsid w:val="00D748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callout,Fago Fußnotenzeichen,Footnotes refss,Texto de nota al pie,Appel note de bas de page,referencia nota al pie,BVI fnr,Footnote number,Ref. de nota al pie.,16 Point,Superscript 6 Point,Texto nota al pie"/>
    <w:link w:val="BVIfnrCar1CarCarCarCar"/>
    <w:qFormat/>
    <w:rsid w:val="00D7481B"/>
    <w:rPr>
      <w:rFonts w:ascii="Times New Roman" w:hAnsi="Times New Roman"/>
      <w:sz w:val="18"/>
      <w:vertAlign w:val="superscript"/>
    </w:rPr>
  </w:style>
  <w:style w:type="paragraph" w:customStyle="1" w:styleId="HMG">
    <w:name w:val="_ H __M_G"/>
    <w:basedOn w:val="Normal"/>
    <w:next w:val="Normal"/>
    <w:link w:val="HMGChar"/>
    <w:qFormat/>
    <w:rsid w:val="00D7481B"/>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81B"/>
    <w:pPr>
      <w:keepNext/>
      <w:keepLines/>
      <w:tabs>
        <w:tab w:val="right" w:pos="851"/>
      </w:tabs>
      <w:suppressAutoHyphens/>
      <w:spacing w:before="360" w:after="240" w:line="300" w:lineRule="exact"/>
      <w:ind w:left="1134" w:right="1134" w:hanging="1134"/>
      <w:outlineLvl w:val="1"/>
    </w:pPr>
    <w:rPr>
      <w:b/>
      <w:sz w:val="28"/>
    </w:rPr>
  </w:style>
  <w:style w:type="character" w:customStyle="1" w:styleId="HMGChar">
    <w:name w:val="_ H __M_G Char"/>
    <w:link w:val="HMG"/>
    <w:rsid w:val="001A4396"/>
    <w:rPr>
      <w:rFonts w:eastAsiaTheme="minorEastAsia"/>
      <w:b/>
      <w:sz w:val="34"/>
      <w:lang w:val="es-ES" w:eastAsia="es-ES"/>
    </w:rPr>
  </w:style>
  <w:style w:type="character" w:customStyle="1" w:styleId="HChGChar">
    <w:name w:val="_ H _Ch_G Char"/>
    <w:link w:val="HChG"/>
    <w:rsid w:val="001A4396"/>
    <w:rPr>
      <w:rFonts w:eastAsiaTheme="minorEastAsia"/>
      <w:b/>
      <w:sz w:val="28"/>
      <w:lang w:val="es-ES" w:eastAsia="es-ES"/>
    </w:rPr>
  </w:style>
  <w:style w:type="paragraph" w:customStyle="1" w:styleId="H1G">
    <w:name w:val="_ H_1_G"/>
    <w:basedOn w:val="Normal"/>
    <w:next w:val="Normal"/>
    <w:qFormat/>
    <w:rsid w:val="00D7481B"/>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D7481B"/>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D7481B"/>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D7481B"/>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qFormat/>
    <w:rsid w:val="00D7481B"/>
    <w:pPr>
      <w:pBdr>
        <w:bottom w:val="single" w:sz="4" w:space="4" w:color="auto"/>
      </w:pBdr>
      <w:spacing w:line="240" w:lineRule="auto"/>
    </w:pPr>
    <w:rPr>
      <w:b/>
      <w:sz w:val="18"/>
    </w:rPr>
  </w:style>
  <w:style w:type="paragraph" w:customStyle="1" w:styleId="SingleTxtG">
    <w:name w:val="_ Single Txt_G"/>
    <w:basedOn w:val="Normal"/>
    <w:link w:val="SingleTxtGChar"/>
    <w:qFormat/>
    <w:rsid w:val="00D7481B"/>
    <w:pPr>
      <w:tabs>
        <w:tab w:val="left" w:pos="1701"/>
        <w:tab w:val="left" w:pos="2268"/>
        <w:tab w:val="left" w:pos="2835"/>
      </w:tabs>
      <w:spacing w:after="120"/>
      <w:ind w:left="1134" w:right="1134"/>
      <w:jc w:val="both"/>
    </w:pPr>
  </w:style>
  <w:style w:type="paragraph" w:customStyle="1" w:styleId="SMG">
    <w:name w:val="__S_M_G"/>
    <w:basedOn w:val="Normal"/>
    <w:next w:val="Normal"/>
    <w:rsid w:val="00D7481B"/>
    <w:pPr>
      <w:keepNext/>
      <w:keepLines/>
      <w:suppressAutoHyphens/>
      <w:spacing w:before="240" w:after="240" w:line="420" w:lineRule="exact"/>
      <w:ind w:left="1134" w:right="1134"/>
    </w:pPr>
    <w:rPr>
      <w:b/>
      <w:sz w:val="40"/>
    </w:rPr>
  </w:style>
  <w:style w:type="paragraph" w:customStyle="1" w:styleId="SLG">
    <w:name w:val="__S_L_G"/>
    <w:basedOn w:val="Normal"/>
    <w:next w:val="Normal"/>
    <w:rsid w:val="00D7481B"/>
    <w:pPr>
      <w:keepNext/>
      <w:keepLines/>
      <w:spacing w:before="240" w:after="240" w:line="580" w:lineRule="exact"/>
      <w:ind w:left="1134" w:right="1134"/>
    </w:pPr>
    <w:rPr>
      <w:b/>
      <w:sz w:val="56"/>
    </w:rPr>
  </w:style>
  <w:style w:type="paragraph" w:customStyle="1" w:styleId="SSG">
    <w:name w:val="__S_S_G"/>
    <w:basedOn w:val="Normal"/>
    <w:next w:val="Normal"/>
    <w:rsid w:val="00D7481B"/>
    <w:pPr>
      <w:keepNext/>
      <w:keepLines/>
      <w:spacing w:before="240" w:after="240" w:line="300" w:lineRule="exact"/>
      <w:ind w:left="1134" w:right="1134"/>
    </w:pPr>
    <w:rPr>
      <w:b/>
      <w:sz w:val="28"/>
    </w:rPr>
  </w:style>
  <w:style w:type="paragraph" w:styleId="Footer">
    <w:name w:val="footer"/>
    <w:aliases w:val="3_G"/>
    <w:basedOn w:val="Normal"/>
    <w:next w:val="Normal"/>
    <w:qFormat/>
    <w:rsid w:val="00D7481B"/>
    <w:rPr>
      <w:sz w:val="16"/>
    </w:rPr>
  </w:style>
  <w:style w:type="paragraph" w:customStyle="1" w:styleId="XLargeG">
    <w:name w:val="__XLarge_G"/>
    <w:basedOn w:val="Normal"/>
    <w:next w:val="Normal"/>
    <w:rsid w:val="00D7481B"/>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D7481B"/>
    <w:pPr>
      <w:tabs>
        <w:tab w:val="right" w:pos="1021"/>
      </w:tabs>
      <w:spacing w:line="220" w:lineRule="exact"/>
      <w:ind w:left="1134" w:right="1134" w:hanging="1134"/>
    </w:pPr>
    <w:rPr>
      <w:sz w:val="18"/>
    </w:rPr>
  </w:style>
  <w:style w:type="table" w:styleId="TableGrid">
    <w:name w:val="Table Grid"/>
    <w:basedOn w:val="TableNormal"/>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D7481B"/>
    <w:pPr>
      <w:numPr>
        <w:numId w:val="1"/>
      </w:numPr>
    </w:pPr>
  </w:style>
  <w:style w:type="numbering" w:styleId="1ai">
    <w:name w:val="Outline List 1"/>
    <w:basedOn w:val="NoList"/>
    <w:semiHidden/>
    <w:rsid w:val="00D7481B"/>
    <w:pPr>
      <w:numPr>
        <w:numId w:val="2"/>
      </w:numPr>
    </w:pPr>
  </w:style>
  <w:style w:type="character" w:styleId="HTMLAcronym">
    <w:name w:val="HTML Acronym"/>
    <w:basedOn w:val="DefaultParagraphFont"/>
    <w:semiHidden/>
    <w:rsid w:val="00D7481B"/>
  </w:style>
  <w:style w:type="numbering" w:styleId="ArticleSection">
    <w:name w:val="Outline List 3"/>
    <w:basedOn w:val="NoList"/>
    <w:semiHidden/>
    <w:rsid w:val="00D7481B"/>
    <w:pPr>
      <w:numPr>
        <w:numId w:val="3"/>
      </w:numPr>
    </w:pPr>
  </w:style>
  <w:style w:type="paragraph" w:styleId="Closing">
    <w:name w:val="Closing"/>
    <w:basedOn w:val="Normal"/>
    <w:semiHidden/>
    <w:rsid w:val="00D7481B"/>
    <w:pPr>
      <w:ind w:left="4252"/>
    </w:pPr>
  </w:style>
  <w:style w:type="character" w:styleId="HTMLCite">
    <w:name w:val="HTML Cite"/>
    <w:semiHidden/>
    <w:rsid w:val="00D7481B"/>
    <w:rPr>
      <w:i/>
      <w:iCs/>
    </w:rPr>
  </w:style>
  <w:style w:type="character" w:styleId="HTMLCode">
    <w:name w:val="HTML Code"/>
    <w:semiHidden/>
    <w:rsid w:val="00D7481B"/>
    <w:rPr>
      <w:rFonts w:ascii="Courier New" w:hAnsi="Courier New" w:cs="Courier New"/>
      <w:sz w:val="20"/>
      <w:szCs w:val="20"/>
    </w:rPr>
  </w:style>
  <w:style w:type="paragraph" w:styleId="ListContinue">
    <w:name w:val="List Continue"/>
    <w:basedOn w:val="Normal"/>
    <w:semiHidden/>
    <w:rsid w:val="00D7481B"/>
    <w:pPr>
      <w:spacing w:after="120"/>
      <w:ind w:left="283"/>
    </w:pPr>
  </w:style>
  <w:style w:type="paragraph" w:styleId="ListContinue2">
    <w:name w:val="List Continue 2"/>
    <w:basedOn w:val="Normal"/>
    <w:semiHidden/>
    <w:rsid w:val="00D7481B"/>
    <w:pPr>
      <w:spacing w:after="120"/>
      <w:ind w:left="566"/>
    </w:pPr>
  </w:style>
  <w:style w:type="paragraph" w:styleId="ListContinue3">
    <w:name w:val="List Continue 3"/>
    <w:basedOn w:val="Normal"/>
    <w:semiHidden/>
    <w:rsid w:val="00D7481B"/>
    <w:pPr>
      <w:spacing w:after="120"/>
      <w:ind w:left="849"/>
    </w:pPr>
  </w:style>
  <w:style w:type="paragraph" w:styleId="ListContinue4">
    <w:name w:val="List Continue 4"/>
    <w:basedOn w:val="Normal"/>
    <w:semiHidden/>
    <w:rsid w:val="00D7481B"/>
    <w:pPr>
      <w:spacing w:after="120"/>
      <w:ind w:left="1132"/>
    </w:pPr>
  </w:style>
  <w:style w:type="paragraph" w:styleId="ListContinue5">
    <w:name w:val="List Continue 5"/>
    <w:basedOn w:val="Normal"/>
    <w:semiHidden/>
    <w:rsid w:val="00D7481B"/>
    <w:pPr>
      <w:spacing w:after="120"/>
      <w:ind w:left="1415"/>
    </w:pPr>
  </w:style>
  <w:style w:type="character" w:styleId="HTMLDefinition">
    <w:name w:val="HTML Definition"/>
    <w:semiHidden/>
    <w:rsid w:val="00D7481B"/>
    <w:rPr>
      <w:i/>
      <w:iCs/>
    </w:rPr>
  </w:style>
  <w:style w:type="paragraph" w:styleId="HTMLAddress">
    <w:name w:val="HTML Address"/>
    <w:basedOn w:val="Normal"/>
    <w:semiHidden/>
    <w:rsid w:val="00D7481B"/>
    <w:rPr>
      <w:i/>
      <w:iCs/>
    </w:rPr>
  </w:style>
  <w:style w:type="paragraph" w:styleId="EnvelopeAddress">
    <w:name w:val="envelope address"/>
    <w:basedOn w:val="Normal"/>
    <w:semiHidden/>
    <w:rsid w:val="00D7481B"/>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D7481B"/>
    <w:rPr>
      <w:rFonts w:ascii="Courier New" w:hAnsi="Courier New" w:cs="Courier New"/>
    </w:rPr>
  </w:style>
  <w:style w:type="paragraph" w:styleId="MessageHeader">
    <w:name w:val="Message Header"/>
    <w:basedOn w:val="Normal"/>
    <w:semiHidden/>
    <w:rsid w:val="00D7481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D7481B"/>
  </w:style>
  <w:style w:type="character" w:styleId="Emphasis">
    <w:name w:val="Emphasis"/>
    <w:semiHidden/>
    <w:rsid w:val="00D7481B"/>
    <w:rPr>
      <w:i/>
      <w:iCs/>
    </w:rPr>
  </w:style>
  <w:style w:type="paragraph" w:styleId="Date">
    <w:name w:val="Date"/>
    <w:basedOn w:val="Normal"/>
    <w:next w:val="Normal"/>
    <w:semiHidden/>
    <w:rsid w:val="00D7481B"/>
  </w:style>
  <w:style w:type="paragraph" w:styleId="Signature">
    <w:name w:val="Signature"/>
    <w:basedOn w:val="Normal"/>
    <w:semiHidden/>
    <w:rsid w:val="00D7481B"/>
    <w:pPr>
      <w:ind w:left="4252"/>
    </w:pPr>
  </w:style>
  <w:style w:type="paragraph" w:styleId="E-mailSignature">
    <w:name w:val="E-mail Signature"/>
    <w:basedOn w:val="Normal"/>
    <w:semiHidden/>
    <w:rsid w:val="00D7481B"/>
  </w:style>
  <w:style w:type="character" w:styleId="Hyperlink">
    <w:name w:val="Hyperlink"/>
    <w:rsid w:val="00D7481B"/>
    <w:rPr>
      <w:color w:val="0000FF"/>
      <w:u w:val="none"/>
    </w:rPr>
  </w:style>
  <w:style w:type="character" w:styleId="FollowedHyperlink">
    <w:name w:val="FollowedHyperlink"/>
    <w:rsid w:val="00D7481B"/>
    <w:rPr>
      <w:color w:val="0000FF"/>
      <w:u w:val="none"/>
    </w:rPr>
  </w:style>
  <w:style w:type="paragraph" w:styleId="HTMLPreformatted">
    <w:name w:val="HTML Preformatted"/>
    <w:basedOn w:val="Normal"/>
    <w:semiHidden/>
    <w:rsid w:val="00D7481B"/>
    <w:rPr>
      <w:rFonts w:ascii="Courier New" w:hAnsi="Courier New" w:cs="Courier New"/>
    </w:rPr>
  </w:style>
  <w:style w:type="paragraph" w:styleId="List">
    <w:name w:val="List"/>
    <w:basedOn w:val="Normal"/>
    <w:semiHidden/>
    <w:rsid w:val="00D7481B"/>
    <w:pPr>
      <w:ind w:left="283" w:hanging="283"/>
    </w:pPr>
  </w:style>
  <w:style w:type="paragraph" w:styleId="List2">
    <w:name w:val="List 2"/>
    <w:basedOn w:val="Normal"/>
    <w:semiHidden/>
    <w:rsid w:val="00D7481B"/>
    <w:pPr>
      <w:ind w:left="566" w:hanging="283"/>
    </w:pPr>
  </w:style>
  <w:style w:type="paragraph" w:styleId="List3">
    <w:name w:val="List 3"/>
    <w:basedOn w:val="Normal"/>
    <w:semiHidden/>
    <w:rsid w:val="00D7481B"/>
    <w:pPr>
      <w:ind w:left="849" w:hanging="283"/>
    </w:pPr>
  </w:style>
  <w:style w:type="paragraph" w:styleId="List4">
    <w:name w:val="List 4"/>
    <w:basedOn w:val="Normal"/>
    <w:semiHidden/>
    <w:rsid w:val="00D7481B"/>
    <w:pPr>
      <w:ind w:left="1132" w:hanging="283"/>
    </w:pPr>
  </w:style>
  <w:style w:type="paragraph" w:styleId="List5">
    <w:name w:val="List 5"/>
    <w:basedOn w:val="Normal"/>
    <w:semiHidden/>
    <w:rsid w:val="00D7481B"/>
    <w:pPr>
      <w:ind w:left="1415" w:hanging="283"/>
    </w:pPr>
  </w:style>
  <w:style w:type="paragraph" w:styleId="ListNumber">
    <w:name w:val="List Number"/>
    <w:basedOn w:val="Normal"/>
    <w:semiHidden/>
    <w:rsid w:val="00D7481B"/>
    <w:pPr>
      <w:numPr>
        <w:numId w:val="11"/>
      </w:numPr>
    </w:pPr>
  </w:style>
  <w:style w:type="paragraph" w:styleId="ListNumber2">
    <w:name w:val="List Number 2"/>
    <w:basedOn w:val="Normal"/>
    <w:semiHidden/>
    <w:rsid w:val="00D7481B"/>
    <w:pPr>
      <w:numPr>
        <w:numId w:val="12"/>
      </w:numPr>
    </w:pPr>
  </w:style>
  <w:style w:type="paragraph" w:styleId="ListNumber3">
    <w:name w:val="List Number 3"/>
    <w:basedOn w:val="Normal"/>
    <w:semiHidden/>
    <w:rsid w:val="00D7481B"/>
    <w:pPr>
      <w:numPr>
        <w:numId w:val="13"/>
      </w:numPr>
    </w:pPr>
  </w:style>
  <w:style w:type="paragraph" w:styleId="ListNumber4">
    <w:name w:val="List Number 4"/>
    <w:basedOn w:val="Normal"/>
    <w:semiHidden/>
    <w:rsid w:val="00D7481B"/>
    <w:pPr>
      <w:numPr>
        <w:numId w:val="14"/>
      </w:numPr>
    </w:pPr>
  </w:style>
  <w:style w:type="paragraph" w:styleId="ListNumber5">
    <w:name w:val="List Number 5"/>
    <w:basedOn w:val="Normal"/>
    <w:semiHidden/>
    <w:rsid w:val="00D7481B"/>
    <w:pPr>
      <w:numPr>
        <w:numId w:val="15"/>
      </w:numPr>
    </w:pPr>
  </w:style>
  <w:style w:type="paragraph" w:styleId="ListBullet">
    <w:name w:val="List Bullet"/>
    <w:basedOn w:val="Normal"/>
    <w:semiHidden/>
    <w:rsid w:val="00D7481B"/>
    <w:pPr>
      <w:numPr>
        <w:numId w:val="6"/>
      </w:numPr>
    </w:pPr>
  </w:style>
  <w:style w:type="paragraph" w:styleId="ListBullet2">
    <w:name w:val="List Bullet 2"/>
    <w:basedOn w:val="Normal"/>
    <w:semiHidden/>
    <w:rsid w:val="00D7481B"/>
    <w:pPr>
      <w:numPr>
        <w:numId w:val="7"/>
      </w:numPr>
    </w:pPr>
  </w:style>
  <w:style w:type="paragraph" w:styleId="ListBullet3">
    <w:name w:val="List Bullet 3"/>
    <w:basedOn w:val="Normal"/>
    <w:semiHidden/>
    <w:rsid w:val="00D7481B"/>
    <w:pPr>
      <w:numPr>
        <w:numId w:val="8"/>
      </w:numPr>
    </w:pPr>
  </w:style>
  <w:style w:type="paragraph" w:styleId="ListBullet4">
    <w:name w:val="List Bullet 4"/>
    <w:basedOn w:val="Normal"/>
    <w:semiHidden/>
    <w:rsid w:val="00D7481B"/>
    <w:pPr>
      <w:numPr>
        <w:numId w:val="9"/>
      </w:numPr>
    </w:pPr>
  </w:style>
  <w:style w:type="paragraph" w:styleId="ListBullet5">
    <w:name w:val="List Bullet 5"/>
    <w:basedOn w:val="Normal"/>
    <w:semiHidden/>
    <w:rsid w:val="00D7481B"/>
    <w:pPr>
      <w:numPr>
        <w:numId w:val="10"/>
      </w:numPr>
    </w:pPr>
  </w:style>
  <w:style w:type="character" w:styleId="HTMLTypewriter">
    <w:name w:val="HTML Typewriter"/>
    <w:semiHidden/>
    <w:rsid w:val="00D7481B"/>
    <w:rPr>
      <w:rFonts w:ascii="Courier New" w:hAnsi="Courier New" w:cs="Courier New"/>
      <w:sz w:val="20"/>
      <w:szCs w:val="20"/>
    </w:rPr>
  </w:style>
  <w:style w:type="paragraph" w:styleId="NormalWeb">
    <w:name w:val="Normal (Web)"/>
    <w:basedOn w:val="Normal"/>
    <w:uiPriority w:val="99"/>
    <w:semiHidden/>
    <w:rsid w:val="00D7481B"/>
    <w:rPr>
      <w:sz w:val="24"/>
      <w:szCs w:val="24"/>
    </w:rPr>
  </w:style>
  <w:style w:type="character" w:styleId="LineNumber">
    <w:name w:val="line number"/>
    <w:basedOn w:val="DefaultParagraphFont"/>
    <w:semiHidden/>
    <w:rsid w:val="00D7481B"/>
  </w:style>
  <w:style w:type="character" w:styleId="PageNumber">
    <w:name w:val="page number"/>
    <w:aliases w:val="7_G"/>
    <w:qFormat/>
    <w:rsid w:val="00D7481B"/>
    <w:rPr>
      <w:b/>
      <w:sz w:val="18"/>
    </w:rPr>
  </w:style>
  <w:style w:type="character" w:styleId="EndnoteReference">
    <w:name w:val="endnote reference"/>
    <w:aliases w:val="1_G"/>
    <w:qFormat/>
    <w:rsid w:val="00D7481B"/>
    <w:rPr>
      <w:rFonts w:ascii="Times New Roman" w:hAnsi="Times New Roman"/>
      <w:sz w:val="18"/>
      <w:vertAlign w:val="superscript"/>
    </w:rPr>
  </w:style>
  <w:style w:type="paragraph" w:styleId="EnvelopeReturn">
    <w:name w:val="envelope return"/>
    <w:basedOn w:val="Normal"/>
    <w:semiHidden/>
    <w:rsid w:val="00D7481B"/>
    <w:rPr>
      <w:rFonts w:ascii="Arial" w:hAnsi="Arial" w:cs="Arial"/>
    </w:rPr>
  </w:style>
  <w:style w:type="paragraph" w:styleId="Salutation">
    <w:name w:val="Salutation"/>
    <w:basedOn w:val="Normal"/>
    <w:next w:val="Normal"/>
    <w:semiHidden/>
    <w:rsid w:val="00D7481B"/>
  </w:style>
  <w:style w:type="paragraph" w:styleId="BodyTextIndent2">
    <w:name w:val="Body Text Indent 2"/>
    <w:basedOn w:val="Normal"/>
    <w:semiHidden/>
    <w:rsid w:val="00D7481B"/>
    <w:pPr>
      <w:spacing w:after="120" w:line="480" w:lineRule="auto"/>
      <w:ind w:left="283"/>
    </w:pPr>
  </w:style>
  <w:style w:type="paragraph" w:styleId="BodyTextIndent3">
    <w:name w:val="Body Text Indent 3"/>
    <w:basedOn w:val="Normal"/>
    <w:semiHidden/>
    <w:rsid w:val="00D7481B"/>
    <w:pPr>
      <w:spacing w:after="120"/>
      <w:ind w:left="283"/>
    </w:pPr>
    <w:rPr>
      <w:sz w:val="16"/>
      <w:szCs w:val="16"/>
    </w:rPr>
  </w:style>
  <w:style w:type="paragraph" w:styleId="BodyTextIndent">
    <w:name w:val="Body Text Indent"/>
    <w:basedOn w:val="Normal"/>
    <w:semiHidden/>
    <w:rsid w:val="00D7481B"/>
    <w:pPr>
      <w:spacing w:after="120"/>
      <w:ind w:left="283"/>
    </w:pPr>
  </w:style>
  <w:style w:type="paragraph" w:styleId="NormalIndent">
    <w:name w:val="Normal Indent"/>
    <w:basedOn w:val="Normal"/>
    <w:semiHidden/>
    <w:rsid w:val="00D7481B"/>
    <w:pPr>
      <w:ind w:left="567"/>
    </w:pPr>
  </w:style>
  <w:style w:type="paragraph" w:styleId="Subtitle">
    <w:name w:val="Subtitle"/>
    <w:basedOn w:val="Normal"/>
    <w:semiHidden/>
    <w:rsid w:val="00D7481B"/>
    <w:pPr>
      <w:spacing w:after="60"/>
      <w:jc w:val="center"/>
      <w:outlineLvl w:val="1"/>
    </w:pPr>
    <w:rPr>
      <w:rFonts w:ascii="Arial" w:hAnsi="Arial" w:cs="Arial"/>
      <w:sz w:val="24"/>
      <w:szCs w:val="24"/>
    </w:rPr>
  </w:style>
  <w:style w:type="table" w:styleId="TableSimple1">
    <w:name w:val="Table Simple 1"/>
    <w:basedOn w:val="TableNormal"/>
    <w:semiHidden/>
    <w:rsid w:val="00D7481B"/>
    <w:pPr>
      <w:spacing w:line="240" w:lineRule="atLeast"/>
    </w:pPr>
    <w:rPr>
      <w:rFonts w:eastAsiaTheme="minorEastAsia"/>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7481B"/>
    <w:pPr>
      <w:spacing w:line="240" w:lineRule="atLeast"/>
    </w:pPr>
    <w:rPr>
      <w:rFonts w:eastAsiaTheme="minorEastAsia"/>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7481B"/>
    <w:pPr>
      <w:spacing w:line="240" w:lineRule="atLeast"/>
    </w:pPr>
    <w:rPr>
      <w:rFonts w:eastAsiaTheme="minorEastAsia"/>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7481B"/>
    <w:pPr>
      <w:spacing w:line="240" w:lineRule="atLeast"/>
    </w:pPr>
    <w:rPr>
      <w:rFonts w:eastAsiaTheme="minorEastAsia"/>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D7481B"/>
    <w:pPr>
      <w:spacing w:line="240" w:lineRule="atLeast"/>
    </w:pPr>
    <w:rPr>
      <w:rFonts w:eastAsiaTheme="minorEastAsia"/>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7481B"/>
    <w:pPr>
      <w:spacing w:line="240" w:lineRule="atLeast"/>
    </w:pPr>
    <w:rPr>
      <w:rFonts w:eastAsiaTheme="minorEastAsia"/>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7481B"/>
    <w:pPr>
      <w:spacing w:line="240" w:lineRule="atLeast"/>
    </w:pPr>
    <w:rPr>
      <w:rFonts w:eastAsiaTheme="minorEastAsia"/>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7481B"/>
    <w:pPr>
      <w:spacing w:line="240" w:lineRule="atLeast"/>
    </w:pPr>
    <w:rPr>
      <w:rFonts w:eastAsiaTheme="minorEastAsia"/>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7481B"/>
    <w:pPr>
      <w:spacing w:line="240" w:lineRule="atLeast"/>
    </w:pPr>
    <w:rPr>
      <w:rFonts w:eastAsiaTheme="minorEastAsia"/>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7481B"/>
    <w:pPr>
      <w:spacing w:line="240" w:lineRule="atLeast"/>
    </w:pPr>
    <w:rPr>
      <w:rFonts w:eastAsiaTheme="minorEastAsia"/>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7481B"/>
    <w:pPr>
      <w:spacing w:line="240" w:lineRule="atLeast"/>
    </w:pPr>
    <w:rPr>
      <w:rFonts w:eastAsiaTheme="minorEastAsia"/>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7481B"/>
    <w:pPr>
      <w:spacing w:line="240" w:lineRule="atLeast"/>
    </w:pPr>
    <w:rPr>
      <w:rFonts w:eastAsiaTheme="minorEastAsia"/>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7481B"/>
    <w:pPr>
      <w:spacing w:line="240" w:lineRule="atLeast"/>
    </w:pPr>
    <w:rPr>
      <w:rFonts w:eastAsiaTheme="minorEastAsia"/>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7481B"/>
    <w:pPr>
      <w:spacing w:line="240" w:lineRule="atLeast"/>
    </w:pPr>
    <w:rPr>
      <w:rFonts w:eastAsiaTheme="minorEastAsia"/>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D7481B"/>
    <w:pPr>
      <w:spacing w:line="240" w:lineRule="atLeast"/>
    </w:pPr>
    <w:rPr>
      <w:rFonts w:eastAsiaTheme="minorEastAsia"/>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7481B"/>
    <w:pPr>
      <w:spacing w:line="240" w:lineRule="atLeast"/>
    </w:pPr>
    <w:rPr>
      <w:rFonts w:eastAsiaTheme="minorEastAsia"/>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7481B"/>
    <w:pPr>
      <w:spacing w:line="240" w:lineRule="atLeast"/>
    </w:pPr>
    <w:rPr>
      <w:rFonts w:eastAsiaTheme="minorEastAsia"/>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D7481B"/>
    <w:pPr>
      <w:spacing w:line="240" w:lineRule="atLeast"/>
    </w:pPr>
    <w:rPr>
      <w:rFonts w:eastAsiaTheme="minorEastAsia"/>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7481B"/>
    <w:pPr>
      <w:spacing w:line="240" w:lineRule="atLeast"/>
    </w:pPr>
    <w:rPr>
      <w:rFonts w:eastAsiaTheme="minorEastAsia"/>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7481B"/>
    <w:pPr>
      <w:spacing w:line="240" w:lineRule="atLeast"/>
    </w:pPr>
    <w:rPr>
      <w:rFonts w:eastAsiaTheme="minorEastAsia"/>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7481B"/>
    <w:pPr>
      <w:spacing w:line="240" w:lineRule="atLeast"/>
    </w:pPr>
    <w:rPr>
      <w:rFonts w:eastAsiaTheme="minorEastAsia"/>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7481B"/>
    <w:pPr>
      <w:spacing w:line="240" w:lineRule="atLeast"/>
    </w:pPr>
    <w:rPr>
      <w:rFonts w:eastAsiaTheme="minorEastAsia"/>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7481B"/>
    <w:pPr>
      <w:spacing w:line="240" w:lineRule="atLeast"/>
    </w:pPr>
    <w:rPr>
      <w:rFonts w:eastAsiaTheme="minorEastAsia"/>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D7481B"/>
    <w:pPr>
      <w:spacing w:line="240" w:lineRule="atLeast"/>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D7481B"/>
    <w:pPr>
      <w:spacing w:line="240" w:lineRule="atLeast"/>
    </w:pPr>
    <w:rPr>
      <w:rFonts w:eastAsiaTheme="minorEastAsia"/>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D7481B"/>
    <w:pPr>
      <w:spacing w:line="240" w:lineRule="atLeast"/>
    </w:pPr>
    <w:rPr>
      <w:rFonts w:eastAsiaTheme="minorEastAsia"/>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D7481B"/>
    <w:pPr>
      <w:spacing w:line="240" w:lineRule="atLeast"/>
    </w:pPr>
    <w:rPr>
      <w:rFonts w:eastAsiaTheme="minorEastAsia"/>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7481B"/>
    <w:pPr>
      <w:spacing w:line="240" w:lineRule="atLeast"/>
    </w:pPr>
    <w:rPr>
      <w:rFonts w:eastAsiaTheme="minorEastAsia"/>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7481B"/>
    <w:pPr>
      <w:spacing w:line="240" w:lineRule="atLeast"/>
    </w:pPr>
    <w:rPr>
      <w:rFonts w:eastAsiaTheme="minorEastAsia"/>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D7481B"/>
    <w:pPr>
      <w:spacing w:line="240" w:lineRule="atLeast"/>
    </w:pPr>
    <w:rPr>
      <w:rFonts w:eastAsiaTheme="minorEastAsia"/>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7481B"/>
    <w:pPr>
      <w:spacing w:line="240" w:lineRule="atLeast"/>
    </w:pPr>
    <w:rPr>
      <w:rFonts w:eastAsiaTheme="minorEastAsia"/>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7481B"/>
    <w:pPr>
      <w:spacing w:line="240" w:lineRule="atLeast"/>
    </w:pPr>
    <w:rPr>
      <w:rFonts w:eastAsiaTheme="minorEastAsia"/>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D7481B"/>
    <w:pPr>
      <w:spacing w:line="240" w:lineRule="atLeast"/>
    </w:pPr>
    <w:rPr>
      <w:rFonts w:eastAsiaTheme="minorEastAsia"/>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7481B"/>
    <w:pPr>
      <w:spacing w:line="240" w:lineRule="atLeast"/>
    </w:pPr>
    <w:rPr>
      <w:rFonts w:eastAsiaTheme="minorEastAsia"/>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7481B"/>
    <w:pPr>
      <w:spacing w:line="240" w:lineRule="atLeast"/>
    </w:pPr>
    <w:rPr>
      <w:rFonts w:eastAsiaTheme="minorEastAsia"/>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D7481B"/>
    <w:rPr>
      <w:rFonts w:ascii="Courier New" w:hAnsi="Courier New" w:cs="Courier New"/>
      <w:sz w:val="20"/>
      <w:szCs w:val="20"/>
    </w:rPr>
  </w:style>
  <w:style w:type="paragraph" w:styleId="BlockText">
    <w:name w:val="Block Text"/>
    <w:basedOn w:val="Normal"/>
    <w:semiHidden/>
    <w:rsid w:val="00D7481B"/>
    <w:pPr>
      <w:spacing w:after="120"/>
      <w:ind w:left="1440" w:right="1440"/>
    </w:pPr>
  </w:style>
  <w:style w:type="character" w:styleId="Strong">
    <w:name w:val="Strong"/>
    <w:semiHidden/>
    <w:rsid w:val="00D7481B"/>
    <w:rPr>
      <w:b/>
      <w:bCs/>
    </w:rPr>
  </w:style>
  <w:style w:type="paragraph" w:styleId="BodyText">
    <w:name w:val="Body Text"/>
    <w:basedOn w:val="Normal"/>
    <w:semiHidden/>
    <w:rsid w:val="00D7481B"/>
    <w:pPr>
      <w:spacing w:after="120"/>
    </w:pPr>
  </w:style>
  <w:style w:type="paragraph" w:styleId="BodyText2">
    <w:name w:val="Body Text 2"/>
    <w:basedOn w:val="Normal"/>
    <w:semiHidden/>
    <w:rsid w:val="00D7481B"/>
    <w:pPr>
      <w:spacing w:after="120" w:line="480" w:lineRule="auto"/>
    </w:pPr>
  </w:style>
  <w:style w:type="paragraph" w:styleId="BodyText3">
    <w:name w:val="Body Text 3"/>
    <w:basedOn w:val="Normal"/>
    <w:semiHidden/>
    <w:rsid w:val="00D7481B"/>
    <w:pPr>
      <w:spacing w:after="120"/>
    </w:pPr>
    <w:rPr>
      <w:sz w:val="16"/>
      <w:szCs w:val="16"/>
    </w:rPr>
  </w:style>
  <w:style w:type="paragraph" w:styleId="BodyTextFirstIndent">
    <w:name w:val="Body Text First Indent"/>
    <w:basedOn w:val="BodyText"/>
    <w:semiHidden/>
    <w:rsid w:val="00D7481B"/>
    <w:pPr>
      <w:ind w:firstLine="210"/>
    </w:pPr>
  </w:style>
  <w:style w:type="paragraph" w:styleId="BodyTextFirstIndent2">
    <w:name w:val="Body Text First Indent 2"/>
    <w:basedOn w:val="BodyTextIndent"/>
    <w:semiHidden/>
    <w:rsid w:val="00D7481B"/>
    <w:pPr>
      <w:ind w:firstLine="210"/>
    </w:pPr>
  </w:style>
  <w:style w:type="paragraph" w:styleId="EndnoteText">
    <w:name w:val="endnote text"/>
    <w:aliases w:val="2_G"/>
    <w:basedOn w:val="FootnoteText"/>
    <w:qFormat/>
    <w:rsid w:val="00D7481B"/>
  </w:style>
  <w:style w:type="paragraph" w:styleId="PlainText">
    <w:name w:val="Plain Text"/>
    <w:basedOn w:val="Normal"/>
    <w:semiHidden/>
    <w:rsid w:val="00D7481B"/>
    <w:rPr>
      <w:rFonts w:ascii="Courier New" w:hAnsi="Courier New" w:cs="Courier New"/>
    </w:rPr>
  </w:style>
  <w:style w:type="paragraph" w:styleId="Title">
    <w:name w:val="Title"/>
    <w:basedOn w:val="Normal"/>
    <w:semiHidden/>
    <w:rsid w:val="00D7481B"/>
    <w:pPr>
      <w:spacing w:before="240" w:after="60"/>
      <w:jc w:val="center"/>
      <w:outlineLvl w:val="0"/>
    </w:pPr>
    <w:rPr>
      <w:rFonts w:ascii="Arial" w:hAnsi="Arial" w:cs="Arial"/>
      <w:b/>
      <w:bCs/>
      <w:kern w:val="28"/>
      <w:sz w:val="32"/>
      <w:szCs w:val="32"/>
    </w:rPr>
  </w:style>
  <w:style w:type="character" w:styleId="HTMLVariable">
    <w:name w:val="HTML Variable"/>
    <w:semiHidden/>
    <w:rsid w:val="00D7481B"/>
    <w:rPr>
      <w:i/>
      <w:iCs/>
    </w:rPr>
  </w:style>
  <w:style w:type="paragraph" w:customStyle="1" w:styleId="Bullet1G">
    <w:name w:val="_Bullet 1_G"/>
    <w:basedOn w:val="Normal"/>
    <w:qFormat/>
    <w:rsid w:val="00D7481B"/>
    <w:pPr>
      <w:numPr>
        <w:numId w:val="4"/>
      </w:numPr>
      <w:spacing w:after="120"/>
      <w:ind w:right="1134"/>
      <w:jc w:val="both"/>
    </w:pPr>
    <w:rPr>
      <w:lang w:eastAsia="en-US"/>
    </w:rPr>
  </w:style>
  <w:style w:type="paragraph" w:customStyle="1" w:styleId="Bullet2G">
    <w:name w:val="_Bullet 2_G"/>
    <w:basedOn w:val="Normal"/>
    <w:qFormat/>
    <w:rsid w:val="00D7481B"/>
    <w:pPr>
      <w:numPr>
        <w:numId w:val="5"/>
      </w:numPr>
      <w:spacing w:after="120"/>
      <w:ind w:right="1134"/>
      <w:jc w:val="both"/>
    </w:pPr>
  </w:style>
  <w:style w:type="paragraph" w:styleId="BalloonText">
    <w:name w:val="Balloon Text"/>
    <w:basedOn w:val="Normal"/>
    <w:link w:val="BalloonTextChar"/>
    <w:semiHidden/>
    <w:rsid w:val="00A44B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21DC1"/>
    <w:rPr>
      <w:rFonts w:ascii="Tahoma" w:hAnsi="Tahoma" w:cs="Tahoma"/>
      <w:sz w:val="16"/>
      <w:szCs w:val="16"/>
      <w:lang w:val="es-ES" w:eastAsia="es-ES"/>
    </w:rPr>
  </w:style>
  <w:style w:type="paragraph" w:styleId="IntenseQuote">
    <w:name w:val="Intense Quote"/>
    <w:basedOn w:val="Normal"/>
    <w:next w:val="Normal"/>
    <w:link w:val="IntenseQuoteChar"/>
    <w:uiPriority w:val="30"/>
    <w:semiHidden/>
    <w:rsid w:val="00D7481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D7481B"/>
    <w:rPr>
      <w:rFonts w:eastAsiaTheme="minorEastAsia"/>
      <w:b/>
      <w:bCs/>
      <w:i/>
      <w:iCs/>
      <w:color w:val="4F81BD"/>
      <w:lang w:val="es-ES" w:eastAsia="es-ES"/>
    </w:rPr>
  </w:style>
  <w:style w:type="character" w:styleId="IntenseEmphasis">
    <w:name w:val="Intense Emphasis"/>
    <w:uiPriority w:val="21"/>
    <w:semiHidden/>
    <w:rsid w:val="00D7481B"/>
    <w:rPr>
      <w:b/>
      <w:bCs/>
      <w:i/>
      <w:iCs/>
      <w:color w:val="4F81BD"/>
    </w:rPr>
  </w:style>
  <w:style w:type="character" w:customStyle="1" w:styleId="Heading1Char">
    <w:name w:val="Heading 1 Char"/>
    <w:aliases w:val="Cuadro_G Char"/>
    <w:basedOn w:val="DefaultParagraphFont"/>
    <w:link w:val="Heading1"/>
    <w:rsid w:val="00D7481B"/>
    <w:rPr>
      <w:rFonts w:eastAsiaTheme="minorEastAsia"/>
      <w:lang w:val="fr-CH" w:eastAsia="en-US"/>
    </w:rPr>
  </w:style>
  <w:style w:type="table" w:customStyle="1" w:styleId="Tablaconcuadrcula1">
    <w:name w:val="Tabla con cuadrícula1"/>
    <w:basedOn w:val="TableNormal"/>
    <w:rsid w:val="002D4172"/>
    <w:pPr>
      <w:suppressAutoHyphens/>
      <w:spacing w:line="240" w:lineRule="atLeast"/>
    </w:pPr>
    <w:rPr>
      <w:rFonts w:eastAsiaTheme="minorHAnsi"/>
      <w:lang w:val="fr-CH"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NoG">
    <w:name w:val="_ParNo_G"/>
    <w:basedOn w:val="Normal"/>
    <w:qFormat/>
    <w:rsid w:val="00FF2216"/>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FootnoteTextChar">
    <w:name w:val="Footnote Text Char"/>
    <w:aliases w:val="5_G Char"/>
    <w:basedOn w:val="DefaultParagraphFont"/>
    <w:link w:val="FootnoteText"/>
    <w:rsid w:val="009149EE"/>
    <w:rPr>
      <w:rFonts w:eastAsiaTheme="minorEastAsia"/>
      <w:sz w:val="18"/>
      <w:lang w:val="es-ES" w:eastAsia="es-ES"/>
    </w:rPr>
  </w:style>
  <w:style w:type="character" w:customStyle="1" w:styleId="SingleTxtGChar">
    <w:name w:val="_ Single Txt_G Char"/>
    <w:link w:val="SingleTxtG"/>
    <w:locked/>
    <w:rsid w:val="009240A5"/>
    <w:rPr>
      <w:rFonts w:eastAsiaTheme="minorEastAsia"/>
      <w:lang w:val="es-ES" w:eastAsia="es-ES"/>
    </w:rPr>
  </w:style>
  <w:style w:type="paragraph" w:styleId="ListParagraph">
    <w:name w:val="List Paragraph"/>
    <w:basedOn w:val="Normal"/>
    <w:uiPriority w:val="34"/>
    <w:qFormat/>
    <w:rsid w:val="00121123"/>
    <w:pPr>
      <w:ind w:left="720"/>
      <w:contextualSpacing/>
    </w:pPr>
  </w:style>
  <w:style w:type="character" w:styleId="CommentReference">
    <w:name w:val="annotation reference"/>
    <w:uiPriority w:val="99"/>
    <w:semiHidden/>
    <w:unhideWhenUsed/>
    <w:rsid w:val="005B7A0F"/>
    <w:rPr>
      <w:sz w:val="16"/>
      <w:szCs w:val="16"/>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6E78EB"/>
    <w:pPr>
      <w:spacing w:before="200" w:after="160" w:line="240" w:lineRule="exact"/>
    </w:pPr>
    <w:rPr>
      <w:rFonts w:eastAsia="Times New Roman"/>
      <w:sz w:val="18"/>
      <w:vertAlign w:val="superscript"/>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87500">
      <w:bodyDiv w:val="1"/>
      <w:marLeft w:val="0"/>
      <w:marRight w:val="0"/>
      <w:marTop w:val="0"/>
      <w:marBottom w:val="0"/>
      <w:divBdr>
        <w:top w:val="none" w:sz="0" w:space="0" w:color="auto"/>
        <w:left w:val="none" w:sz="0" w:space="0" w:color="auto"/>
        <w:bottom w:val="none" w:sz="0" w:space="0" w:color="auto"/>
        <w:right w:val="none" w:sz="0" w:space="0" w:color="auto"/>
      </w:divBdr>
    </w:div>
    <w:div w:id="229120175">
      <w:bodyDiv w:val="1"/>
      <w:marLeft w:val="0"/>
      <w:marRight w:val="0"/>
      <w:marTop w:val="0"/>
      <w:marBottom w:val="0"/>
      <w:divBdr>
        <w:top w:val="none" w:sz="0" w:space="0" w:color="auto"/>
        <w:left w:val="none" w:sz="0" w:space="0" w:color="auto"/>
        <w:bottom w:val="none" w:sz="0" w:space="0" w:color="auto"/>
        <w:right w:val="none" w:sz="0" w:space="0" w:color="auto"/>
      </w:divBdr>
    </w:div>
    <w:div w:id="376667915">
      <w:bodyDiv w:val="1"/>
      <w:marLeft w:val="0"/>
      <w:marRight w:val="0"/>
      <w:marTop w:val="0"/>
      <w:marBottom w:val="0"/>
      <w:divBdr>
        <w:top w:val="none" w:sz="0" w:space="0" w:color="auto"/>
        <w:left w:val="none" w:sz="0" w:space="0" w:color="auto"/>
        <w:bottom w:val="none" w:sz="0" w:space="0" w:color="auto"/>
        <w:right w:val="none" w:sz="0" w:space="0" w:color="auto"/>
      </w:divBdr>
    </w:div>
    <w:div w:id="491260033">
      <w:bodyDiv w:val="1"/>
      <w:marLeft w:val="0"/>
      <w:marRight w:val="0"/>
      <w:marTop w:val="0"/>
      <w:marBottom w:val="0"/>
      <w:divBdr>
        <w:top w:val="none" w:sz="0" w:space="0" w:color="auto"/>
        <w:left w:val="none" w:sz="0" w:space="0" w:color="auto"/>
        <w:bottom w:val="none" w:sz="0" w:space="0" w:color="auto"/>
        <w:right w:val="none" w:sz="0" w:space="0" w:color="auto"/>
      </w:divBdr>
    </w:div>
    <w:div w:id="597061134">
      <w:bodyDiv w:val="1"/>
      <w:marLeft w:val="0"/>
      <w:marRight w:val="0"/>
      <w:marTop w:val="0"/>
      <w:marBottom w:val="0"/>
      <w:divBdr>
        <w:top w:val="none" w:sz="0" w:space="0" w:color="auto"/>
        <w:left w:val="none" w:sz="0" w:space="0" w:color="auto"/>
        <w:bottom w:val="none" w:sz="0" w:space="0" w:color="auto"/>
        <w:right w:val="none" w:sz="0" w:space="0" w:color="auto"/>
      </w:divBdr>
    </w:div>
    <w:div w:id="609776386">
      <w:bodyDiv w:val="1"/>
      <w:marLeft w:val="0"/>
      <w:marRight w:val="0"/>
      <w:marTop w:val="0"/>
      <w:marBottom w:val="0"/>
      <w:divBdr>
        <w:top w:val="none" w:sz="0" w:space="0" w:color="auto"/>
        <w:left w:val="none" w:sz="0" w:space="0" w:color="auto"/>
        <w:bottom w:val="none" w:sz="0" w:space="0" w:color="auto"/>
        <w:right w:val="none" w:sz="0" w:space="0" w:color="auto"/>
      </w:divBdr>
    </w:div>
    <w:div w:id="693657110">
      <w:bodyDiv w:val="1"/>
      <w:marLeft w:val="0"/>
      <w:marRight w:val="0"/>
      <w:marTop w:val="0"/>
      <w:marBottom w:val="0"/>
      <w:divBdr>
        <w:top w:val="none" w:sz="0" w:space="0" w:color="auto"/>
        <w:left w:val="none" w:sz="0" w:space="0" w:color="auto"/>
        <w:bottom w:val="none" w:sz="0" w:space="0" w:color="auto"/>
        <w:right w:val="none" w:sz="0" w:space="0" w:color="auto"/>
      </w:divBdr>
    </w:div>
    <w:div w:id="733623891">
      <w:bodyDiv w:val="1"/>
      <w:marLeft w:val="0"/>
      <w:marRight w:val="0"/>
      <w:marTop w:val="0"/>
      <w:marBottom w:val="0"/>
      <w:divBdr>
        <w:top w:val="none" w:sz="0" w:space="0" w:color="auto"/>
        <w:left w:val="none" w:sz="0" w:space="0" w:color="auto"/>
        <w:bottom w:val="none" w:sz="0" w:space="0" w:color="auto"/>
        <w:right w:val="none" w:sz="0" w:space="0" w:color="auto"/>
      </w:divBdr>
    </w:div>
    <w:div w:id="757023802">
      <w:bodyDiv w:val="1"/>
      <w:marLeft w:val="0"/>
      <w:marRight w:val="0"/>
      <w:marTop w:val="0"/>
      <w:marBottom w:val="0"/>
      <w:divBdr>
        <w:top w:val="none" w:sz="0" w:space="0" w:color="auto"/>
        <w:left w:val="none" w:sz="0" w:space="0" w:color="auto"/>
        <w:bottom w:val="none" w:sz="0" w:space="0" w:color="auto"/>
        <w:right w:val="none" w:sz="0" w:space="0" w:color="auto"/>
      </w:divBdr>
    </w:div>
    <w:div w:id="781996038">
      <w:bodyDiv w:val="1"/>
      <w:marLeft w:val="0"/>
      <w:marRight w:val="0"/>
      <w:marTop w:val="0"/>
      <w:marBottom w:val="0"/>
      <w:divBdr>
        <w:top w:val="none" w:sz="0" w:space="0" w:color="auto"/>
        <w:left w:val="none" w:sz="0" w:space="0" w:color="auto"/>
        <w:bottom w:val="none" w:sz="0" w:space="0" w:color="auto"/>
        <w:right w:val="none" w:sz="0" w:space="0" w:color="auto"/>
      </w:divBdr>
      <w:divsChild>
        <w:div w:id="666833499">
          <w:marLeft w:val="0"/>
          <w:marRight w:val="0"/>
          <w:marTop w:val="0"/>
          <w:marBottom w:val="0"/>
          <w:divBdr>
            <w:top w:val="none" w:sz="0" w:space="0" w:color="auto"/>
            <w:left w:val="none" w:sz="0" w:space="0" w:color="auto"/>
            <w:bottom w:val="none" w:sz="0" w:space="0" w:color="auto"/>
            <w:right w:val="none" w:sz="0" w:space="0" w:color="auto"/>
          </w:divBdr>
          <w:divsChild>
            <w:div w:id="234902555">
              <w:marLeft w:val="0"/>
              <w:marRight w:val="0"/>
              <w:marTop w:val="0"/>
              <w:marBottom w:val="0"/>
              <w:divBdr>
                <w:top w:val="none" w:sz="0" w:space="0" w:color="auto"/>
                <w:left w:val="none" w:sz="0" w:space="0" w:color="auto"/>
                <w:bottom w:val="none" w:sz="0" w:space="0" w:color="auto"/>
                <w:right w:val="none" w:sz="0" w:space="0" w:color="auto"/>
              </w:divBdr>
              <w:divsChild>
                <w:div w:id="7123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74940">
      <w:bodyDiv w:val="1"/>
      <w:marLeft w:val="0"/>
      <w:marRight w:val="0"/>
      <w:marTop w:val="0"/>
      <w:marBottom w:val="0"/>
      <w:divBdr>
        <w:top w:val="none" w:sz="0" w:space="0" w:color="auto"/>
        <w:left w:val="none" w:sz="0" w:space="0" w:color="auto"/>
        <w:bottom w:val="none" w:sz="0" w:space="0" w:color="auto"/>
        <w:right w:val="none" w:sz="0" w:space="0" w:color="auto"/>
      </w:divBdr>
    </w:div>
    <w:div w:id="820388835">
      <w:bodyDiv w:val="1"/>
      <w:marLeft w:val="0"/>
      <w:marRight w:val="0"/>
      <w:marTop w:val="0"/>
      <w:marBottom w:val="0"/>
      <w:divBdr>
        <w:top w:val="none" w:sz="0" w:space="0" w:color="auto"/>
        <w:left w:val="none" w:sz="0" w:space="0" w:color="auto"/>
        <w:bottom w:val="none" w:sz="0" w:space="0" w:color="auto"/>
        <w:right w:val="none" w:sz="0" w:space="0" w:color="auto"/>
      </w:divBdr>
    </w:div>
    <w:div w:id="939869446">
      <w:bodyDiv w:val="1"/>
      <w:marLeft w:val="0"/>
      <w:marRight w:val="0"/>
      <w:marTop w:val="0"/>
      <w:marBottom w:val="0"/>
      <w:divBdr>
        <w:top w:val="none" w:sz="0" w:space="0" w:color="auto"/>
        <w:left w:val="none" w:sz="0" w:space="0" w:color="auto"/>
        <w:bottom w:val="none" w:sz="0" w:space="0" w:color="auto"/>
        <w:right w:val="none" w:sz="0" w:space="0" w:color="auto"/>
      </w:divBdr>
    </w:div>
    <w:div w:id="978651404">
      <w:bodyDiv w:val="1"/>
      <w:marLeft w:val="0"/>
      <w:marRight w:val="0"/>
      <w:marTop w:val="0"/>
      <w:marBottom w:val="0"/>
      <w:divBdr>
        <w:top w:val="none" w:sz="0" w:space="0" w:color="auto"/>
        <w:left w:val="none" w:sz="0" w:space="0" w:color="auto"/>
        <w:bottom w:val="none" w:sz="0" w:space="0" w:color="auto"/>
        <w:right w:val="none" w:sz="0" w:space="0" w:color="auto"/>
      </w:divBdr>
    </w:div>
    <w:div w:id="1126118656">
      <w:bodyDiv w:val="1"/>
      <w:marLeft w:val="0"/>
      <w:marRight w:val="0"/>
      <w:marTop w:val="0"/>
      <w:marBottom w:val="0"/>
      <w:divBdr>
        <w:top w:val="none" w:sz="0" w:space="0" w:color="auto"/>
        <w:left w:val="none" w:sz="0" w:space="0" w:color="auto"/>
        <w:bottom w:val="none" w:sz="0" w:space="0" w:color="auto"/>
        <w:right w:val="none" w:sz="0" w:space="0" w:color="auto"/>
      </w:divBdr>
    </w:div>
    <w:div w:id="1222130008">
      <w:bodyDiv w:val="1"/>
      <w:marLeft w:val="0"/>
      <w:marRight w:val="0"/>
      <w:marTop w:val="0"/>
      <w:marBottom w:val="0"/>
      <w:divBdr>
        <w:top w:val="none" w:sz="0" w:space="0" w:color="auto"/>
        <w:left w:val="none" w:sz="0" w:space="0" w:color="auto"/>
        <w:bottom w:val="none" w:sz="0" w:space="0" w:color="auto"/>
        <w:right w:val="none" w:sz="0" w:space="0" w:color="auto"/>
      </w:divBdr>
      <w:divsChild>
        <w:div w:id="1779524280">
          <w:marLeft w:val="0"/>
          <w:marRight w:val="0"/>
          <w:marTop w:val="0"/>
          <w:marBottom w:val="0"/>
          <w:divBdr>
            <w:top w:val="none" w:sz="0" w:space="0" w:color="auto"/>
            <w:left w:val="none" w:sz="0" w:space="0" w:color="auto"/>
            <w:bottom w:val="none" w:sz="0" w:space="0" w:color="auto"/>
            <w:right w:val="none" w:sz="0" w:space="0" w:color="auto"/>
          </w:divBdr>
          <w:divsChild>
            <w:div w:id="1767529841">
              <w:marLeft w:val="0"/>
              <w:marRight w:val="0"/>
              <w:marTop w:val="0"/>
              <w:marBottom w:val="0"/>
              <w:divBdr>
                <w:top w:val="none" w:sz="0" w:space="0" w:color="auto"/>
                <w:left w:val="none" w:sz="0" w:space="0" w:color="auto"/>
                <w:bottom w:val="none" w:sz="0" w:space="0" w:color="auto"/>
                <w:right w:val="none" w:sz="0" w:space="0" w:color="auto"/>
              </w:divBdr>
              <w:divsChild>
                <w:div w:id="1996059405">
                  <w:marLeft w:val="0"/>
                  <w:marRight w:val="0"/>
                  <w:marTop w:val="0"/>
                  <w:marBottom w:val="0"/>
                  <w:divBdr>
                    <w:top w:val="none" w:sz="0" w:space="0" w:color="auto"/>
                    <w:left w:val="none" w:sz="0" w:space="0" w:color="auto"/>
                    <w:bottom w:val="none" w:sz="0" w:space="0" w:color="auto"/>
                    <w:right w:val="none" w:sz="0" w:space="0" w:color="auto"/>
                  </w:divBdr>
                  <w:divsChild>
                    <w:div w:id="20381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3226">
      <w:bodyDiv w:val="1"/>
      <w:marLeft w:val="0"/>
      <w:marRight w:val="0"/>
      <w:marTop w:val="0"/>
      <w:marBottom w:val="0"/>
      <w:divBdr>
        <w:top w:val="none" w:sz="0" w:space="0" w:color="auto"/>
        <w:left w:val="none" w:sz="0" w:space="0" w:color="auto"/>
        <w:bottom w:val="none" w:sz="0" w:space="0" w:color="auto"/>
        <w:right w:val="none" w:sz="0" w:space="0" w:color="auto"/>
      </w:divBdr>
    </w:div>
    <w:div w:id="1349066822">
      <w:bodyDiv w:val="1"/>
      <w:marLeft w:val="0"/>
      <w:marRight w:val="0"/>
      <w:marTop w:val="0"/>
      <w:marBottom w:val="0"/>
      <w:divBdr>
        <w:top w:val="none" w:sz="0" w:space="0" w:color="auto"/>
        <w:left w:val="none" w:sz="0" w:space="0" w:color="auto"/>
        <w:bottom w:val="none" w:sz="0" w:space="0" w:color="auto"/>
        <w:right w:val="none" w:sz="0" w:space="0" w:color="auto"/>
      </w:divBdr>
    </w:div>
    <w:div w:id="1356276154">
      <w:bodyDiv w:val="1"/>
      <w:marLeft w:val="0"/>
      <w:marRight w:val="0"/>
      <w:marTop w:val="0"/>
      <w:marBottom w:val="0"/>
      <w:divBdr>
        <w:top w:val="none" w:sz="0" w:space="0" w:color="auto"/>
        <w:left w:val="none" w:sz="0" w:space="0" w:color="auto"/>
        <w:bottom w:val="none" w:sz="0" w:space="0" w:color="auto"/>
        <w:right w:val="none" w:sz="0" w:space="0" w:color="auto"/>
      </w:divBdr>
    </w:div>
    <w:div w:id="1577590748">
      <w:bodyDiv w:val="1"/>
      <w:marLeft w:val="0"/>
      <w:marRight w:val="0"/>
      <w:marTop w:val="0"/>
      <w:marBottom w:val="0"/>
      <w:divBdr>
        <w:top w:val="none" w:sz="0" w:space="0" w:color="auto"/>
        <w:left w:val="none" w:sz="0" w:space="0" w:color="auto"/>
        <w:bottom w:val="none" w:sz="0" w:space="0" w:color="auto"/>
        <w:right w:val="none" w:sz="0" w:space="0" w:color="auto"/>
      </w:divBdr>
    </w:div>
    <w:div w:id="1909345168">
      <w:bodyDiv w:val="1"/>
      <w:marLeft w:val="0"/>
      <w:marRight w:val="0"/>
      <w:marTop w:val="0"/>
      <w:marBottom w:val="0"/>
      <w:divBdr>
        <w:top w:val="none" w:sz="0" w:space="0" w:color="auto"/>
        <w:left w:val="none" w:sz="0" w:space="0" w:color="auto"/>
        <w:bottom w:val="none" w:sz="0" w:space="0" w:color="auto"/>
        <w:right w:val="none" w:sz="0" w:space="0" w:color="auto"/>
      </w:divBdr>
    </w:div>
    <w:div w:id="2018725298">
      <w:bodyDiv w:val="1"/>
      <w:marLeft w:val="0"/>
      <w:marRight w:val="0"/>
      <w:marTop w:val="0"/>
      <w:marBottom w:val="0"/>
      <w:divBdr>
        <w:top w:val="none" w:sz="0" w:space="0" w:color="auto"/>
        <w:left w:val="none" w:sz="0" w:space="0" w:color="auto"/>
        <w:bottom w:val="none" w:sz="0" w:space="0" w:color="auto"/>
        <w:right w:val="none" w:sz="0" w:space="0" w:color="auto"/>
      </w:divBdr>
    </w:div>
    <w:div w:id="2039616958">
      <w:bodyDiv w:val="1"/>
      <w:marLeft w:val="0"/>
      <w:marRight w:val="0"/>
      <w:marTop w:val="0"/>
      <w:marBottom w:val="0"/>
      <w:divBdr>
        <w:top w:val="none" w:sz="0" w:space="0" w:color="auto"/>
        <w:left w:val="none" w:sz="0" w:space="0" w:color="auto"/>
        <w:bottom w:val="none" w:sz="0" w:space="0" w:color="auto"/>
        <w:right w:val="none" w:sz="0" w:space="0" w:color="auto"/>
      </w:divBdr>
      <w:divsChild>
        <w:div w:id="1127888913">
          <w:marLeft w:val="0"/>
          <w:marRight w:val="0"/>
          <w:marTop w:val="0"/>
          <w:marBottom w:val="0"/>
          <w:divBdr>
            <w:top w:val="none" w:sz="0" w:space="0" w:color="auto"/>
            <w:left w:val="none" w:sz="0" w:space="0" w:color="auto"/>
            <w:bottom w:val="none" w:sz="0" w:space="0" w:color="auto"/>
            <w:right w:val="none" w:sz="0" w:space="0" w:color="auto"/>
          </w:divBdr>
          <w:divsChild>
            <w:div w:id="693460316">
              <w:marLeft w:val="0"/>
              <w:marRight w:val="0"/>
              <w:marTop w:val="0"/>
              <w:marBottom w:val="0"/>
              <w:divBdr>
                <w:top w:val="none" w:sz="0" w:space="0" w:color="auto"/>
                <w:left w:val="none" w:sz="0" w:space="0" w:color="auto"/>
                <w:bottom w:val="none" w:sz="0" w:space="0" w:color="auto"/>
                <w:right w:val="none" w:sz="0" w:space="0" w:color="auto"/>
              </w:divBdr>
              <w:divsChild>
                <w:div w:id="1775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undocs.org/Home/Mobile?FinalSymbol=E%2FC.12%2FGC%2F23&amp;Language=E&amp;DeviceType=Desktop&amp;LangRequested=False" TargetMode="External"/><Relationship Id="rId13" Type="http://schemas.openxmlformats.org/officeDocument/2006/relationships/hyperlink" Target="https://www.undocs.org/Home/Mobile?FinalSymbol=e%2Fc.12%2F2002%2F11&amp;Language=E&amp;DeviceType=Desktop&amp;LangRequested=False" TargetMode="External"/><Relationship Id="rId3" Type="http://schemas.openxmlformats.org/officeDocument/2006/relationships/hyperlink" Target="https://tbinternet.ohchr.org/_layouts/15/treatybodyexternal/Download.aspx?symbolno=E%2fC.12%2fCOL%2fCO%2f6&amp;Lang=en" TargetMode="External"/><Relationship Id="rId7" Type="http://schemas.openxmlformats.org/officeDocument/2006/relationships/hyperlink" Target="https://tbinternet.ohchr.org/_layouts/15/treatybodyexternal/Download.aspx?symbolno=E%2fC.12%2f2005%2f4" TargetMode="External"/><Relationship Id="rId12" Type="http://schemas.openxmlformats.org/officeDocument/2006/relationships/hyperlink" Target="https://undocs.org/Home/Mobile?FinalSymbol=E%2FC.12%2F1999%2F5&amp;Language=E&amp;DeviceType=Desktop&amp;LangRequested=False" TargetMode="External"/><Relationship Id="rId17" Type="http://schemas.openxmlformats.org/officeDocument/2006/relationships/hyperlink" Target="https://undocs.org/Home/Mobile?FinalSymbol=E%2FC.12%2F2019%2F1&amp;Language=E&amp;DeviceType=Desktop&amp;LangRequested=False" TargetMode="External"/><Relationship Id="rId2" Type="http://schemas.openxmlformats.org/officeDocument/2006/relationships/hyperlink" Target="https://tbinternet.ohchr.org/_layouts/15/treatybodyexternal/Download.aspx?symbolno=E%2fC.12%2fGTM%2fRQ%2f4" TargetMode="External"/><Relationship Id="rId16" Type="http://schemas.openxmlformats.org/officeDocument/2006/relationships/hyperlink" Target="https://undocs.org/Home/Mobile?FinalSymbol=E%2FC.12%2FGC%2F22&amp;Language=E&amp;DeviceType=Desktop&amp;LangRequested=False" TargetMode="External"/><Relationship Id="rId1" Type="http://schemas.openxmlformats.org/officeDocument/2006/relationships/hyperlink" Target="https://tbinternet.ohchr.org/_layouts/15/treatybodyexternal/Download.aspx?symbolno=E%2FC.12%2FGTM%2F4" TargetMode="External"/><Relationship Id="rId6" Type="http://schemas.openxmlformats.org/officeDocument/2006/relationships/hyperlink" Target="https://undocs.org/Home/Mobile?FinalSymbol=E%2FC.12%2FGC%2F20&amp;Language=E&amp;DeviceType=Desktop&amp;LangRequested=False" TargetMode="External"/><Relationship Id="rId11" Type="http://schemas.openxmlformats.org/officeDocument/2006/relationships/hyperlink" Target="https://digitallibrary.un.org/record/452397" TargetMode="External"/><Relationship Id="rId5" Type="http://schemas.openxmlformats.org/officeDocument/2006/relationships/hyperlink" Target="https://undocs.org/Home/Mobile?FinalSymbol=E%2FC.12%2FGTM%2FCO%2F3&amp;Language=E&amp;DeviceType=Desktop&amp;LangRequested=False" TargetMode="External"/><Relationship Id="rId15" Type="http://schemas.openxmlformats.org/officeDocument/2006/relationships/hyperlink" Target="https://undocs.org/Home/Mobile?FinalSymbol=A%2FHRC%2F21%2F22&amp;Language=E&amp;DeviceType=Desktop&amp;LangRequested=False" TargetMode="External"/><Relationship Id="rId10" Type="http://schemas.openxmlformats.org/officeDocument/2006/relationships/hyperlink" Target="https://tbinternet.ohchr.org/_layouts/15/treatybodyexternal/Download.aspx?symbolno=E%2fC.12%2f2015%2f1" TargetMode="External"/><Relationship Id="rId4" Type="http://schemas.openxmlformats.org/officeDocument/2006/relationships/hyperlink" Target="https://tbinternet.ohchr.org/_layouts/15/treatybodyexternal/Download.aspx?symbolno=E%2fC.12%2fGC%2f24&amp;Lang=en" TargetMode="External"/><Relationship Id="rId9" Type="http://schemas.openxmlformats.org/officeDocument/2006/relationships/hyperlink" Target="https://www.undocs.org/Home/Mobile?FinalSymbol=E%2FC.12%2FGC%2F19&amp;Language=E&amp;DeviceType=Desktop&amp;LangRequested=False" TargetMode="External"/><Relationship Id="rId14" Type="http://schemas.openxmlformats.org/officeDocument/2006/relationships/hyperlink" Target="https://undocs.org/Home/Mobile?FinalSymbol=E%2FC.12%2F2000%2F4&amp;Language=E&amp;DeviceType=Desktop&amp;LangRequested=Fal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D773A-F828-4AD2-A931-7A05A302C7D6}">
  <ds:schemaRefs>
    <ds:schemaRef ds:uri="http://purl.org/dc/terms/"/>
    <ds:schemaRef ds:uri="http://schemas.openxmlformats.org/package/2006/metadata/core-properties"/>
    <ds:schemaRef ds:uri="c11320bd-0376-468b-ae19-b827459cb638"/>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 ds:uri="c897859b-c95c-4367-a7a2-639c24a5e29a"/>
    <ds:schemaRef ds:uri="http://www.w3.org/XML/1998/namespace"/>
  </ds:schemaRefs>
</ds:datastoreItem>
</file>

<file path=customXml/itemProps2.xml><?xml version="1.0" encoding="utf-8"?>
<ds:datastoreItem xmlns:ds="http://schemas.openxmlformats.org/officeDocument/2006/customXml" ds:itemID="{2ACE6C80-C51B-4295-8E31-723C1B2F4F82}"/>
</file>

<file path=customXml/itemProps3.xml><?xml version="1.0" encoding="utf-8"?>
<ds:datastoreItem xmlns:ds="http://schemas.openxmlformats.org/officeDocument/2006/customXml" ds:itemID="{501C0BDB-676C-49B5-AF4E-1D94EB2CF5F7}">
  <ds:schemaRefs>
    <ds:schemaRef ds:uri="http://schemas.microsoft.com/sharepoint/v3/contenttype/forms"/>
  </ds:schemaRefs>
</ds:datastoreItem>
</file>

<file path=customXml/itemProps4.xml><?xml version="1.0" encoding="utf-8"?>
<ds:datastoreItem xmlns:ds="http://schemas.openxmlformats.org/officeDocument/2006/customXml" ds:itemID="{9DBD1B2D-6300-468A-BB41-B27C27455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6196</Words>
  <Characters>35320</Characters>
  <Application>Microsoft Office Word</Application>
  <DocSecurity>0</DocSecurity>
  <Lines>294</Lines>
  <Paragraphs>82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E/C.12/GTM/CO/R.4</vt:lpstr>
      <vt:lpstr>E/C.12/GTM/CO/R.4</vt:lpstr>
      <vt:lpstr>CAT/C/XXX/Y</vt:lpstr>
    </vt:vector>
  </TitlesOfParts>
  <Company>DCM</Company>
  <LinksUpToDate>false</LinksUpToDate>
  <CharactersWithSpaces>41434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E/C.12/GTM/CO/R.4</dc:title>
  <dc:creator>Gloria</dc:creator>
  <cp:lastModifiedBy>REYNAUD Céline</cp:lastModifiedBy>
  <cp:revision>5</cp:revision>
  <cp:lastPrinted>2022-10-12T14:25:00Z</cp:lastPrinted>
  <dcterms:created xsi:type="dcterms:W3CDTF">2022-10-14T12:55:00Z</dcterms:created>
  <dcterms:modified xsi:type="dcterms:W3CDTF">2022-10-14T13:40:00Z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
  </property>
  <property fmtid="{D5CDD505-2E9C-101B-9397-08002B2CF9AE}" pid="5" name="bar">
    <vt:lpwstr/>
  </property>
  <property fmtid="{D5CDD505-2E9C-101B-9397-08002B2CF9AE}" pid="6" name="category">
    <vt:lpwstr>CESCR</vt:lpwstr>
  </property>
  <property fmtid="{D5CDD505-2E9C-101B-9397-08002B2CF9AE}" pid="7" name="ContentTypeId">
    <vt:lpwstr>0x010100B5446AB3680AD04583FFC0D2A3BEC2EA</vt:lpwstr>
  </property>
  <property fmtid="{D5CDD505-2E9C-101B-9397-08002B2CF9AE}" pid="8" name="count">
    <vt:lpwstr>de Guatemala</vt:lpwstr>
  </property>
  <property fmtid="{D5CDD505-2E9C-101B-9397-08002B2CF9AE}" pid="9" name="countw">
    <vt:lpwstr>Guatemala</vt:lpwstr>
  </property>
  <property fmtid="{D5CDD505-2E9C-101B-9397-08002B2CF9AE}" pid="10" name="countwd">
    <vt:lpwstr>Guatemala</vt:lpwstr>
  </property>
  <property fmtid="{D5CDD505-2E9C-101B-9397-08002B2CF9AE}" pid="11" name="date">
    <vt:lpwstr>16 de mayo de 2022</vt:lpwstr>
  </property>
  <property fmtid="{D5CDD505-2E9C-101B-9397-08002B2CF9AE}" pid="12" name="Date-Generated">
    <vt:filetime>2022-05-16T12:35:28Z</vt:filetime>
  </property>
  <property fmtid="{D5CDD505-2E9C-101B-9397-08002B2CF9AE}" pid="13" name="dist">
    <vt:lpwstr>reservada</vt:lpwstr>
  </property>
  <property fmtid="{D5CDD505-2E9C-101B-9397-08002B2CF9AE}" pid="14" name="doctype">
    <vt:lpwstr>Draft</vt:lpwstr>
  </property>
  <property fmtid="{D5CDD505-2E9C-101B-9397-08002B2CF9AE}" pid="15" name="Entity">
    <vt:lpwstr>Concluding observations</vt:lpwstr>
  </property>
  <property fmtid="{D5CDD505-2E9C-101B-9397-08002B2CF9AE}" pid="16" name="gdoc">
    <vt:lpwstr/>
  </property>
  <property fmtid="{D5CDD505-2E9C-101B-9397-08002B2CF9AE}" pid="17" name="gdocf">
    <vt:lpwstr/>
  </property>
  <property fmtid="{D5CDD505-2E9C-101B-9397-08002B2CF9AE}" pid="18" name="gdocs">
    <vt:lpwstr>gdocs</vt:lpwstr>
  </property>
  <property fmtid="{D5CDD505-2E9C-101B-9397-08002B2CF9AE}" pid="19" name="Nmeet">
    <vt:lpwstr>Number</vt:lpwstr>
  </property>
  <property fmtid="{D5CDD505-2E9C-101B-9397-08002B2CF9AE}" pid="20" name="olang">
    <vt:lpwstr>español</vt:lpwstr>
  </property>
  <property fmtid="{D5CDD505-2E9C-101B-9397-08002B2CF9AE}" pid="21" name="Order">
    <vt:r8>263000</vt:r8>
  </property>
  <property fmtid="{D5CDD505-2E9C-101B-9397-08002B2CF9AE}" pid="22" name="Org">
    <vt:lpwstr>OHCHR</vt:lpwstr>
  </property>
  <property fmtid="{D5CDD505-2E9C-101B-9397-08002B2CF9AE}" pid="23" name="prep">
    <vt:lpwstr>al cuarto informe periódico de Guatemala</vt:lpwstr>
  </property>
  <property fmtid="{D5CDD505-2E9C-101B-9397-08002B2CF9AE}" pid="24" name="preps">
    <vt:lpwstr>cuarto informe periódico de Guatemala</vt:lpwstr>
  </property>
  <property fmtid="{D5CDD505-2E9C-101B-9397-08002B2CF9AE}" pid="25" name="prepw">
    <vt:lpwstr>al cuarto informe periódico </vt:lpwstr>
  </property>
  <property fmtid="{D5CDD505-2E9C-101B-9397-08002B2CF9AE}" pid="26" name="prepwc">
    <vt:lpwstr>Cuarto informe periódico </vt:lpwstr>
  </property>
  <property fmtid="{D5CDD505-2E9C-101B-9397-08002B2CF9AE}" pid="27" name="prepws">
    <vt:lpwstr>cuarto informe periódico</vt:lpwstr>
  </property>
  <property fmtid="{D5CDD505-2E9C-101B-9397-08002B2CF9AE}" pid="28" name="sdate">
    <vt:lpwstr>[Start-End Dates]</vt:lpwstr>
  </property>
  <property fmtid="{D5CDD505-2E9C-101B-9397-08002B2CF9AE}" pid="29" name="snum">
    <vt:lpwstr>[NUMBER]</vt:lpwstr>
  </property>
  <property fmtid="{D5CDD505-2E9C-101B-9397-08002B2CF9AE}" pid="30" name="stitle">
    <vt:lpwstr>[Title]</vt:lpwstr>
  </property>
  <property fmtid="{D5CDD505-2E9C-101B-9397-08002B2CF9AE}" pid="31" name="sym1">
    <vt:lpwstr>C.12/GTM/CO/R.4</vt:lpwstr>
  </property>
  <property fmtid="{D5CDD505-2E9C-101B-9397-08002B2CF9AE}" pid="32" name="symh">
    <vt:lpwstr>E/C.12/GTM/CO/R.4</vt:lpwstr>
  </property>
  <property fmtid="{D5CDD505-2E9C-101B-9397-08002B2CF9AE}" pid="33" name="Title">
    <vt:lpwstr>E/C.12/GTM/CO/R.4</vt:lpwstr>
  </property>
  <property fmtid="{D5CDD505-2E9C-101B-9397-08002B2CF9AE}" pid="34" name="tlang">
    <vt:lpwstr/>
  </property>
  <property fmtid="{D5CDD505-2E9C-101B-9397-08002B2CF9AE}" pid="35" name="virs">
    <vt:lpwstr>Español, francés e inglés únicamente</vt:lpwstr>
  </property>
</Properties>
</file>