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C73B3" w14:textId="77777777" w:rsidR="001E4EF3" w:rsidRDefault="001E4EF3"/>
    <w:p w14:paraId="253F5C0B" w14:textId="77777777" w:rsidR="00394DAD" w:rsidRPr="00C81A10" w:rsidRDefault="00394DAD" w:rsidP="00394DAD"/>
    <w:p w14:paraId="3A5BE2F3" w14:textId="77777777" w:rsidR="00394DAD" w:rsidRPr="00C81A10" w:rsidRDefault="00394DAD" w:rsidP="00394DAD">
      <w:pPr>
        <w:pStyle w:val="NoSpacing"/>
      </w:pPr>
      <w:bookmarkStart w:id="0" w:name="_GoBack"/>
      <w:bookmarkEnd w:id="0"/>
    </w:p>
    <w:p w14:paraId="0FB4B19A" w14:textId="2E2E8CB1" w:rsidR="00394DAD" w:rsidRPr="00C81A10" w:rsidRDefault="00394DAD" w:rsidP="00394DAD">
      <w:pPr>
        <w:pStyle w:val="NoSpacing"/>
      </w:pPr>
    </w:p>
    <w:p w14:paraId="13BBE7AE" w14:textId="0CACEAA2" w:rsidR="00394DAD" w:rsidRDefault="00C81A10" w:rsidP="00394DAD">
      <w:pPr>
        <w:pStyle w:val="NoSpacing"/>
      </w:pPr>
      <w:r>
        <w:t xml:space="preserve">Hon. </w:t>
      </w:r>
      <w:proofErr w:type="spellStart"/>
      <w:r w:rsidR="00394DAD" w:rsidRPr="00C81A10">
        <w:t>Pantaleon</w:t>
      </w:r>
      <w:proofErr w:type="spellEnd"/>
      <w:r>
        <w:t xml:space="preserve"> D.</w:t>
      </w:r>
      <w:r w:rsidR="00394DAD" w:rsidRPr="00C81A10">
        <w:t xml:space="preserve"> Alvarez</w:t>
      </w:r>
    </w:p>
    <w:p w14:paraId="5E9CD89A" w14:textId="77777777" w:rsidR="00C81A10" w:rsidRDefault="00C81A10" w:rsidP="00394DAD">
      <w:pPr>
        <w:pStyle w:val="NoSpacing"/>
      </w:pPr>
      <w:r>
        <w:t>Speaker</w:t>
      </w:r>
    </w:p>
    <w:p w14:paraId="045E5232" w14:textId="74182AE3" w:rsidR="00C81A10" w:rsidRPr="00C81A10" w:rsidRDefault="00C81A10" w:rsidP="00394DAD">
      <w:pPr>
        <w:pStyle w:val="NoSpacing"/>
      </w:pPr>
      <w:r w:rsidRPr="00C81A10">
        <w:t>House of Representatives</w:t>
      </w:r>
      <w:r>
        <w:t>, Philippines Congress</w:t>
      </w:r>
    </w:p>
    <w:p w14:paraId="2028E310" w14:textId="49535664" w:rsidR="00BF7F3C" w:rsidRPr="00C81A10" w:rsidRDefault="00C81A10" w:rsidP="00394DAD">
      <w:pPr>
        <w:pStyle w:val="NoSpacing"/>
      </w:pPr>
      <w:r>
        <w:t xml:space="preserve">E-mail: </w:t>
      </w:r>
      <w:hyperlink r:id="rId7" w:history="1">
        <w:r w:rsidRPr="0002499D">
          <w:rPr>
            <w:rStyle w:val="Hyperlink"/>
          </w:rPr>
          <w:t>speakerpda@congress.gov.ph</w:t>
        </w:r>
      </w:hyperlink>
      <w:r>
        <w:t xml:space="preserve"> </w:t>
      </w:r>
    </w:p>
    <w:p w14:paraId="5967A137" w14:textId="77777777" w:rsidR="00C81A10" w:rsidRDefault="00C81A10" w:rsidP="00394DAD">
      <w:pPr>
        <w:pStyle w:val="NoSpacing"/>
      </w:pPr>
    </w:p>
    <w:p w14:paraId="2A96ACBF" w14:textId="654B20D2" w:rsidR="00C81A10" w:rsidRPr="00C81A10" w:rsidRDefault="00C81A10" w:rsidP="00394DAD">
      <w:pPr>
        <w:pStyle w:val="NoSpacing"/>
        <w:rPr>
          <w:bCs/>
        </w:rPr>
      </w:pPr>
      <w:r>
        <w:rPr>
          <w:bCs/>
        </w:rPr>
        <w:t xml:space="preserve">Senator </w:t>
      </w:r>
      <w:proofErr w:type="spellStart"/>
      <w:r>
        <w:rPr>
          <w:bCs/>
        </w:rPr>
        <w:t>Aquilino</w:t>
      </w:r>
      <w:proofErr w:type="spellEnd"/>
      <w:r>
        <w:rPr>
          <w:bCs/>
        </w:rPr>
        <w:t xml:space="preserve"> </w:t>
      </w:r>
      <w:r w:rsidRPr="00C81A10">
        <w:rPr>
          <w:bCs/>
        </w:rPr>
        <w:t>Pimentel III</w:t>
      </w:r>
    </w:p>
    <w:p w14:paraId="05495052" w14:textId="3D333C81" w:rsidR="00C81A10" w:rsidRPr="00C81A10" w:rsidRDefault="00C81A10" w:rsidP="00394DAD">
      <w:pPr>
        <w:pStyle w:val="NoSpacing"/>
      </w:pPr>
      <w:r w:rsidRPr="00C81A10">
        <w:rPr>
          <w:bCs/>
        </w:rPr>
        <w:t>President</w:t>
      </w:r>
    </w:p>
    <w:p w14:paraId="4ECACF89" w14:textId="6EA7E6C2" w:rsidR="00394DAD" w:rsidRPr="00C81A10" w:rsidRDefault="00C81A10" w:rsidP="00394DAD">
      <w:pPr>
        <w:pStyle w:val="NoSpacing"/>
      </w:pPr>
      <w:r>
        <w:t>Senate, Philippines Congress</w:t>
      </w:r>
    </w:p>
    <w:p w14:paraId="697914CF" w14:textId="3588EA26" w:rsidR="00BF7F3C" w:rsidRPr="00C81A10" w:rsidRDefault="00C81A10" w:rsidP="00394DAD">
      <w:pPr>
        <w:pStyle w:val="NoSpacing"/>
      </w:pPr>
      <w:r>
        <w:t xml:space="preserve">E-mail: </w:t>
      </w:r>
      <w:hyperlink r:id="rId8" w:history="1">
        <w:r w:rsidRPr="00C81A10">
          <w:rPr>
            <w:rStyle w:val="Hyperlink"/>
          </w:rPr>
          <w:t>kokopimenteloffice@yahoo.com</w:t>
        </w:r>
      </w:hyperlink>
      <w:r>
        <w:rPr>
          <w:lang w:val="en-US"/>
        </w:rPr>
        <w:t xml:space="preserve"> </w:t>
      </w:r>
    </w:p>
    <w:p w14:paraId="55889043" w14:textId="77777777" w:rsidR="00394DAD" w:rsidRPr="00C81A10" w:rsidRDefault="00394DAD" w:rsidP="00394DAD">
      <w:pPr>
        <w:pStyle w:val="NoSpacing"/>
      </w:pPr>
    </w:p>
    <w:p w14:paraId="2A9DED7E" w14:textId="6D14BF59" w:rsidR="001E1FA6" w:rsidRDefault="00394DAD" w:rsidP="00394DAD">
      <w:pPr>
        <w:pStyle w:val="NoSpacing"/>
      </w:pPr>
      <w:r w:rsidRPr="00C81A10">
        <w:t xml:space="preserve">cc. </w:t>
      </w:r>
      <w:r w:rsidR="00C81A10">
        <w:t xml:space="preserve">Cong. Reynaldo Umali, Chairperson, Committee on Justice, House of Representatives, Philippines Congress, e-mail: </w:t>
      </w:r>
      <w:hyperlink r:id="rId9" w:history="1">
        <w:r w:rsidR="00C81A10" w:rsidRPr="0002499D">
          <w:rPr>
            <w:rStyle w:val="Hyperlink"/>
          </w:rPr>
          <w:t>cong.rey.umali@gmail.com</w:t>
        </w:r>
      </w:hyperlink>
      <w:r w:rsidR="00C81A10">
        <w:t xml:space="preserve"> </w:t>
      </w:r>
    </w:p>
    <w:p w14:paraId="231CE2C4" w14:textId="77777777" w:rsidR="00C81A10" w:rsidRDefault="00C81A10" w:rsidP="00394DAD">
      <w:pPr>
        <w:pStyle w:val="NoSpacing"/>
      </w:pPr>
    </w:p>
    <w:p w14:paraId="46DE620B" w14:textId="66C289DB" w:rsidR="00C81A10" w:rsidRDefault="00655F78" w:rsidP="00394DAD">
      <w:pPr>
        <w:pStyle w:val="NoSpacing"/>
      </w:pPr>
      <w:r>
        <w:t>1 December</w:t>
      </w:r>
      <w:r w:rsidR="00C81A10">
        <w:t xml:space="preserve"> 2016</w:t>
      </w:r>
    </w:p>
    <w:p w14:paraId="7F9B2F0A" w14:textId="6F9A9828" w:rsidR="00C81A10" w:rsidRDefault="00C81A10" w:rsidP="00394DAD">
      <w:pPr>
        <w:pStyle w:val="NoSpacing"/>
        <w:rPr>
          <w:b/>
        </w:rPr>
      </w:pPr>
    </w:p>
    <w:p w14:paraId="66F60E98" w14:textId="79ED4C4C" w:rsidR="00C81A10" w:rsidRDefault="00C81A10" w:rsidP="00394DAD">
      <w:pPr>
        <w:pStyle w:val="NoSpacing"/>
      </w:pPr>
      <w:r>
        <w:t xml:space="preserve">Dear Hon. </w:t>
      </w:r>
      <w:proofErr w:type="spellStart"/>
      <w:r>
        <w:t>Pantaleon</w:t>
      </w:r>
      <w:proofErr w:type="spellEnd"/>
      <w:r>
        <w:t xml:space="preserve"> D. Alvarez and Senator </w:t>
      </w:r>
      <w:proofErr w:type="spellStart"/>
      <w:r>
        <w:t>Aquilino</w:t>
      </w:r>
      <w:proofErr w:type="spellEnd"/>
      <w:r>
        <w:t xml:space="preserve"> Pimentel III</w:t>
      </w:r>
    </w:p>
    <w:p w14:paraId="1F94EA16" w14:textId="77777777" w:rsidR="00C81A10" w:rsidRPr="00C81A10" w:rsidRDefault="00C81A10" w:rsidP="00394DAD">
      <w:pPr>
        <w:pStyle w:val="NoSpacing"/>
      </w:pPr>
    </w:p>
    <w:p w14:paraId="07ACB18D" w14:textId="2964158B" w:rsidR="001E1FA6" w:rsidRPr="00C81A10" w:rsidRDefault="00BF7F3C" w:rsidP="00394DAD">
      <w:pPr>
        <w:pStyle w:val="NoSpacing"/>
        <w:rPr>
          <w:b/>
        </w:rPr>
      </w:pPr>
      <w:r w:rsidRPr="00C81A10">
        <w:rPr>
          <w:b/>
        </w:rPr>
        <w:t>RE: 17</w:t>
      </w:r>
      <w:r w:rsidRPr="00C81A10">
        <w:rPr>
          <w:b/>
          <w:vertAlign w:val="superscript"/>
        </w:rPr>
        <w:t>th</w:t>
      </w:r>
      <w:r w:rsidRPr="00C81A10">
        <w:rPr>
          <w:b/>
        </w:rPr>
        <w:t xml:space="preserve"> Philippines Congress - </w:t>
      </w:r>
      <w:r w:rsidR="0019614A" w:rsidRPr="00C81A10">
        <w:rPr>
          <w:b/>
        </w:rPr>
        <w:t>House</w:t>
      </w:r>
      <w:r w:rsidRPr="00C81A10">
        <w:rPr>
          <w:b/>
        </w:rPr>
        <w:t xml:space="preserve"> Bill No. </w:t>
      </w:r>
      <w:r w:rsidR="0019614A" w:rsidRPr="00C81A10">
        <w:rPr>
          <w:b/>
        </w:rPr>
        <w:t>1</w:t>
      </w:r>
      <w:r w:rsidRPr="00C81A10">
        <w:rPr>
          <w:b/>
        </w:rPr>
        <w:t xml:space="preserve"> on the Death Penalty</w:t>
      </w:r>
      <w:r w:rsidR="0019614A" w:rsidRPr="00C81A10">
        <w:rPr>
          <w:b/>
        </w:rPr>
        <w:t xml:space="preserve"> </w:t>
      </w:r>
    </w:p>
    <w:p w14:paraId="57CD4231" w14:textId="77777777" w:rsidR="001E1FA6" w:rsidRPr="00C81A10" w:rsidRDefault="001E1FA6" w:rsidP="00394DAD">
      <w:pPr>
        <w:pStyle w:val="NoSpacing"/>
      </w:pPr>
    </w:p>
    <w:p w14:paraId="433BD6F6" w14:textId="502F8860" w:rsidR="006E2893" w:rsidRPr="00C81A10" w:rsidRDefault="00C16FEA" w:rsidP="00394DAD">
      <w:pPr>
        <w:pStyle w:val="NoSpacing"/>
      </w:pPr>
      <w:r w:rsidRPr="00C81A10">
        <w:t xml:space="preserve">We call on the </w:t>
      </w:r>
      <w:r w:rsidR="007A5519" w:rsidRPr="00C81A10">
        <w:t>17</w:t>
      </w:r>
      <w:r w:rsidR="007A5519" w:rsidRPr="00C81A10">
        <w:rPr>
          <w:vertAlign w:val="superscript"/>
        </w:rPr>
        <w:t>th</w:t>
      </w:r>
      <w:r w:rsidR="007A5519" w:rsidRPr="00C81A10">
        <w:t xml:space="preserve"> Philippines Congress </w:t>
      </w:r>
      <w:r w:rsidRPr="00C81A10">
        <w:t xml:space="preserve">to </w:t>
      </w:r>
      <w:r w:rsidR="002B6240" w:rsidRPr="00C81A10">
        <w:t>preserve the</w:t>
      </w:r>
      <w:r w:rsidRPr="00C81A10">
        <w:t xml:space="preserve"> right to life</w:t>
      </w:r>
      <w:r w:rsidR="002B6240" w:rsidRPr="00C81A10">
        <w:t>, and to</w:t>
      </w:r>
      <w:r w:rsidR="00F5494A" w:rsidRPr="00C81A10">
        <w:t xml:space="preserve"> not bring back use of</w:t>
      </w:r>
      <w:r w:rsidR="002B6240" w:rsidRPr="00C81A10">
        <w:t xml:space="preserve"> the </w:t>
      </w:r>
      <w:r w:rsidR="00315706" w:rsidRPr="00C81A10">
        <w:t xml:space="preserve">death penalty as proposed in </w:t>
      </w:r>
      <w:r w:rsidR="00315706" w:rsidRPr="00C81A10">
        <w:rPr>
          <w:i/>
        </w:rPr>
        <w:t>House Bill No. 1</w:t>
      </w:r>
      <w:r w:rsidR="00315706" w:rsidRPr="00C81A10">
        <w:t>.</w:t>
      </w:r>
      <w:r w:rsidR="00315706" w:rsidRPr="00C81A10">
        <w:rPr>
          <w:rStyle w:val="FootnoteReference"/>
        </w:rPr>
        <w:footnoteReference w:id="1"/>
      </w:r>
      <w:r w:rsidR="002B6240" w:rsidRPr="00C81A10">
        <w:t xml:space="preserve"> </w:t>
      </w:r>
      <w:r w:rsidR="00AF18C2" w:rsidRPr="00C81A10">
        <w:t>We urge all members of the</w:t>
      </w:r>
      <w:r w:rsidR="007A5519" w:rsidRPr="00C81A10">
        <w:t xml:space="preserve"> House of Representatives and Senate</w:t>
      </w:r>
      <w:r w:rsidR="00AF18C2" w:rsidRPr="00C81A10">
        <w:t xml:space="preserve"> to</w:t>
      </w:r>
      <w:r w:rsidR="00315706" w:rsidRPr="00C81A10">
        <w:t xml:space="preserve"> </w:t>
      </w:r>
      <w:r w:rsidR="00AF18C2" w:rsidRPr="00C81A10">
        <w:t xml:space="preserve">uphold the right to life enshrined in the </w:t>
      </w:r>
      <w:r w:rsidR="00AF18C2" w:rsidRPr="00C81A10">
        <w:rPr>
          <w:i/>
        </w:rPr>
        <w:t>Philippines Constitution 1987</w:t>
      </w:r>
      <w:r w:rsidR="00AF18C2" w:rsidRPr="00C81A10">
        <w:rPr>
          <w:rStyle w:val="FootnoteReference"/>
        </w:rPr>
        <w:footnoteReference w:id="2"/>
      </w:r>
      <w:r w:rsidR="00D22BEE">
        <w:t xml:space="preserve"> (the Constitution)</w:t>
      </w:r>
      <w:r w:rsidR="00315706" w:rsidRPr="00C81A10">
        <w:rPr>
          <w:i/>
        </w:rPr>
        <w:t xml:space="preserve"> </w:t>
      </w:r>
      <w:r w:rsidR="00315706" w:rsidRPr="00C81A10">
        <w:t>and to strengthen compliance with the Philippines’</w:t>
      </w:r>
      <w:r w:rsidR="007A5519" w:rsidRPr="00C81A10">
        <w:t xml:space="preserve"> obligations</w:t>
      </w:r>
      <w:r w:rsidR="00315706" w:rsidRPr="00C81A10">
        <w:t xml:space="preserve"> not to impose the death penalty under section 19 of the Constitution</w:t>
      </w:r>
      <w:r w:rsidR="00315706" w:rsidRPr="00C81A10">
        <w:rPr>
          <w:rStyle w:val="FootnoteReference"/>
        </w:rPr>
        <w:footnoteReference w:id="3"/>
      </w:r>
      <w:r w:rsidR="00315706" w:rsidRPr="00C81A10">
        <w:t xml:space="preserve"> and </w:t>
      </w:r>
      <w:r w:rsidR="007A5519" w:rsidRPr="00C81A10">
        <w:t xml:space="preserve">the </w:t>
      </w:r>
      <w:r w:rsidR="007A5519" w:rsidRPr="00C81A10">
        <w:rPr>
          <w:i/>
        </w:rPr>
        <w:t>International Covenant on Civil and Political Rights</w:t>
      </w:r>
      <w:r w:rsidR="00D22BEE">
        <w:t xml:space="preserve"> (ICCPR) along with the Second</w:t>
      </w:r>
      <w:r w:rsidR="007A5519" w:rsidRPr="00C81A10">
        <w:t xml:space="preserve"> Optional Protocol</w:t>
      </w:r>
      <w:r w:rsidR="00315706" w:rsidRPr="00C81A10">
        <w:t>.</w:t>
      </w:r>
      <w:r w:rsidR="00F5494A" w:rsidRPr="00C81A10">
        <w:t xml:space="preserve"> </w:t>
      </w:r>
      <w:r w:rsidR="00B433EA" w:rsidRPr="00C81A10">
        <w:t>We urge the Government of the Philippines to ensure proportionate sentencing of drug offences to protect the vulnerable, and invest in harm reduction approaches</w:t>
      </w:r>
      <w:r w:rsidR="00655F78">
        <w:rPr>
          <w:rStyle w:val="FootnoteReference"/>
        </w:rPr>
        <w:footnoteReference w:id="4"/>
      </w:r>
      <w:r w:rsidR="00B433EA" w:rsidRPr="00C81A10">
        <w:t xml:space="preserve"> to protect the health and well-being of the Filipino people. By doing so, the Republic of the Philippines can retain </w:t>
      </w:r>
      <w:r w:rsidR="00B433EA" w:rsidRPr="00C81A10">
        <w:rPr>
          <w:lang w:val="en-US"/>
        </w:rPr>
        <w:t>its authority to protect overseas Filipino workers, including those who fall victim to disproportionately punitive laws and find themselves on death row abroad.</w:t>
      </w:r>
    </w:p>
    <w:p w14:paraId="69B27A86" w14:textId="77777777" w:rsidR="009F37D5" w:rsidRPr="00C81A10" w:rsidRDefault="009F37D5" w:rsidP="00394DAD">
      <w:pPr>
        <w:pStyle w:val="NoSpacing"/>
      </w:pPr>
    </w:p>
    <w:p w14:paraId="7F135ABD" w14:textId="7B85966E" w:rsidR="00315706" w:rsidRPr="00C81A10" w:rsidRDefault="006B6B51" w:rsidP="00315706">
      <w:pPr>
        <w:pStyle w:val="NoSpacing"/>
      </w:pPr>
      <w:r w:rsidRPr="00C81A10">
        <w:t xml:space="preserve">As demonstrated by the case of Mary Jane </w:t>
      </w:r>
      <w:proofErr w:type="spellStart"/>
      <w:r w:rsidRPr="00C81A10">
        <w:t>Veloso</w:t>
      </w:r>
      <w:proofErr w:type="spellEnd"/>
      <w:r w:rsidRPr="00C81A10">
        <w:t>, a</w:t>
      </w:r>
      <w:r w:rsidR="00D22BEE">
        <w:t>n</w:t>
      </w:r>
      <w:r w:rsidRPr="00C81A10">
        <w:t xml:space="preserve"> overseas </w:t>
      </w:r>
      <w:r w:rsidR="00D22BEE">
        <w:t xml:space="preserve">Filipina </w:t>
      </w:r>
      <w:r w:rsidRPr="00C81A10">
        <w:t>worker on death row in Indonesia, t</w:t>
      </w:r>
      <w:r w:rsidR="00315706" w:rsidRPr="00C81A10">
        <w:rPr>
          <w:rFonts w:cstheme="minorHAnsi"/>
        </w:rPr>
        <w:t>he majority of individuals sentenced with the death penalty for drug offences do not play a serious or high-level role in drug trafficking operations. They are often poor, vulnerable to exploitation, and engaged in l</w:t>
      </w:r>
      <w:r w:rsidRPr="00C81A10">
        <w:rPr>
          <w:rFonts w:cstheme="minorHAnsi"/>
        </w:rPr>
        <w:t xml:space="preserve">ow-level drug trafficking roles. </w:t>
      </w:r>
      <w:r w:rsidR="002267B4" w:rsidRPr="00C81A10">
        <w:rPr>
          <w:rFonts w:cstheme="minorHAnsi"/>
        </w:rPr>
        <w:t>A socio</w:t>
      </w:r>
      <w:r w:rsidR="00B433EA" w:rsidRPr="00C81A10">
        <w:rPr>
          <w:rFonts w:cstheme="minorHAnsi"/>
        </w:rPr>
        <w:t>-</w:t>
      </w:r>
      <w:r w:rsidR="002267B4" w:rsidRPr="00C81A10">
        <w:rPr>
          <w:rFonts w:cstheme="minorHAnsi"/>
        </w:rPr>
        <w:t xml:space="preserve">economic profiling of capital offenders in the Philippines conducted by the Free Legal Assistance Group (FLAG) showed that more </w:t>
      </w:r>
      <w:r w:rsidR="002267B4" w:rsidRPr="00C81A10">
        <w:rPr>
          <w:rFonts w:cstheme="minorHAnsi"/>
        </w:rPr>
        <w:lastRenderedPageBreak/>
        <w:t xml:space="preserve">than half of the inmates on death row in 2004 belong to the lowest socio-economic classes—largely undereducated, underemployed, </w:t>
      </w:r>
      <w:r w:rsidR="00B433EA" w:rsidRPr="00C81A10">
        <w:rPr>
          <w:rFonts w:cstheme="minorHAnsi"/>
        </w:rPr>
        <w:t xml:space="preserve">lacking access to sanitation and water </w:t>
      </w:r>
      <w:r w:rsidR="002267B4" w:rsidRPr="00C81A10">
        <w:rPr>
          <w:rFonts w:cstheme="minorHAnsi"/>
        </w:rPr>
        <w:t>and generally living in poverty.</w:t>
      </w:r>
      <w:r w:rsidR="002267B4" w:rsidRPr="00C81A10">
        <w:rPr>
          <w:rStyle w:val="FootnoteReference"/>
          <w:rFonts w:cstheme="minorHAnsi"/>
        </w:rPr>
        <w:footnoteReference w:id="5"/>
      </w:r>
      <w:r w:rsidR="002267B4" w:rsidRPr="00C81A10">
        <w:rPr>
          <w:rFonts w:cstheme="minorHAnsi"/>
        </w:rPr>
        <w:t xml:space="preserve"> </w:t>
      </w:r>
      <w:r w:rsidRPr="00C81A10">
        <w:rPr>
          <w:rFonts w:cstheme="minorHAnsi"/>
        </w:rPr>
        <w:t>Their involvement in drug-related activities are driven by poverty and socio-economic marginalisation,</w:t>
      </w:r>
      <w:r w:rsidR="009038BD" w:rsidRPr="00C81A10">
        <w:rPr>
          <w:rFonts w:cstheme="minorHAnsi"/>
        </w:rPr>
        <w:t xml:space="preserve"> which can only</w:t>
      </w:r>
      <w:r w:rsidRPr="00C81A10">
        <w:rPr>
          <w:rFonts w:cstheme="minorHAnsi"/>
        </w:rPr>
        <w:t xml:space="preserve"> be</w:t>
      </w:r>
      <w:r w:rsidR="009038BD" w:rsidRPr="00C81A10">
        <w:rPr>
          <w:rFonts w:cstheme="minorHAnsi"/>
        </w:rPr>
        <w:t xml:space="preserve"> effectively</w:t>
      </w:r>
      <w:r w:rsidRPr="00C81A10">
        <w:rPr>
          <w:rFonts w:cstheme="minorHAnsi"/>
        </w:rPr>
        <w:t xml:space="preserve"> addressed with drug policies that prioritise development over harsh punishment. In addition, the low-level roles they play in drug markets are easily replaced by other individuals, particularly those from poor and marginalised communities—</w:t>
      </w:r>
      <w:r w:rsidR="009038BD" w:rsidRPr="00C81A10">
        <w:rPr>
          <w:rFonts w:cstheme="minorHAnsi"/>
        </w:rPr>
        <w:t>just one</w:t>
      </w:r>
      <w:r w:rsidRPr="00C81A10">
        <w:rPr>
          <w:rFonts w:cstheme="minorHAnsi"/>
        </w:rPr>
        <w:t xml:space="preserve"> reason for the wholly ineffective use of the death penalty</w:t>
      </w:r>
      <w:r w:rsidR="009038BD" w:rsidRPr="00C81A10">
        <w:rPr>
          <w:rFonts w:cstheme="minorHAnsi"/>
        </w:rPr>
        <w:t xml:space="preserve"> in deterring drug-related activities</w:t>
      </w:r>
      <w:r w:rsidR="00315706" w:rsidRPr="00C81A10">
        <w:rPr>
          <w:rFonts w:cstheme="minorHAnsi"/>
        </w:rPr>
        <w:t>.</w:t>
      </w:r>
      <w:r w:rsidR="00315706" w:rsidRPr="00C81A10">
        <w:rPr>
          <w:rStyle w:val="FootnoteReference"/>
          <w:rFonts w:cstheme="minorHAnsi"/>
        </w:rPr>
        <w:footnoteReference w:id="6"/>
      </w:r>
      <w:r w:rsidR="00315706" w:rsidRPr="00C81A10">
        <w:rPr>
          <w:rFonts w:cstheme="minorHAnsi"/>
        </w:rPr>
        <w:t xml:space="preserve"> </w:t>
      </w:r>
    </w:p>
    <w:p w14:paraId="248D12BA" w14:textId="77777777" w:rsidR="00315706" w:rsidRPr="00C81A10" w:rsidRDefault="00315706" w:rsidP="00394DAD">
      <w:pPr>
        <w:pStyle w:val="NoSpacing"/>
      </w:pPr>
    </w:p>
    <w:p w14:paraId="53142C08" w14:textId="11824592" w:rsidR="00E84A7F" w:rsidRPr="00C81A10" w:rsidRDefault="009038BD" w:rsidP="00055A3C">
      <w:pPr>
        <w:pStyle w:val="NoSpacing"/>
        <w:rPr>
          <w:rFonts w:cstheme="minorHAnsi"/>
        </w:rPr>
      </w:pPr>
      <w:r w:rsidRPr="00C81A10">
        <w:rPr>
          <w:rFonts w:cstheme="minorHAnsi"/>
        </w:rPr>
        <w:t>Indeed, t</w:t>
      </w:r>
      <w:r w:rsidR="002B6240" w:rsidRPr="00C81A10">
        <w:rPr>
          <w:rFonts w:cstheme="minorHAnsi"/>
        </w:rPr>
        <w:t>here is no evidence of the effectiveness of the death penalty in deterring the use, cultivation, manufacturing and trafficking of drugs—a fact emphasised by United Nations Office on Drugs and Crime (UNODC) data predominantly showing expanding and diversifying drug markets in all regions of the world.</w:t>
      </w:r>
      <w:r w:rsidR="002B6240" w:rsidRPr="00C81A10">
        <w:rPr>
          <w:rStyle w:val="FootnoteReference"/>
          <w:rFonts w:cstheme="minorHAnsi"/>
        </w:rPr>
        <w:footnoteReference w:id="7"/>
      </w:r>
      <w:r w:rsidR="002B6240" w:rsidRPr="00C81A10">
        <w:rPr>
          <w:rFonts w:cstheme="minorHAnsi"/>
        </w:rPr>
        <w:t xml:space="preserve"> </w:t>
      </w:r>
      <w:r w:rsidRPr="00C81A10">
        <w:rPr>
          <w:rFonts w:cstheme="minorHAnsi"/>
        </w:rPr>
        <w:t>U</w:t>
      </w:r>
      <w:r w:rsidR="007A319B" w:rsidRPr="00C81A10">
        <w:t>se of the death penalty for drug offences is declining around the world. It remains in routine use by only seven countries (6 of which are in Asia, the other being Saudi Arabia).</w:t>
      </w:r>
      <w:r w:rsidR="007A319B" w:rsidRPr="00C81A10">
        <w:rPr>
          <w:rStyle w:val="FootnoteReference"/>
        </w:rPr>
        <w:footnoteReference w:id="8"/>
      </w:r>
      <w:r w:rsidR="007A319B" w:rsidRPr="00C81A10">
        <w:t xml:space="preserve"> </w:t>
      </w:r>
      <w:r w:rsidR="007A319B" w:rsidRPr="00C81A10">
        <w:rPr>
          <w:rFonts w:cstheme="minorHAnsi"/>
        </w:rPr>
        <w:t xml:space="preserve">However even in Singapore, </w:t>
      </w:r>
      <w:r w:rsidR="00E84A7F" w:rsidRPr="00C81A10">
        <w:rPr>
          <w:rFonts w:cstheme="minorHAnsi"/>
        </w:rPr>
        <w:t xml:space="preserve">despite ongoing implementation of the death penalty for drug offences, </w:t>
      </w:r>
      <w:r w:rsidR="00055A3C" w:rsidRPr="00C81A10">
        <w:rPr>
          <w:rFonts w:cstheme="minorHAnsi"/>
        </w:rPr>
        <w:t>available data on drug us</w:t>
      </w:r>
      <w:r w:rsidR="00E84A7F" w:rsidRPr="00C81A10">
        <w:rPr>
          <w:rFonts w:cstheme="minorHAnsi"/>
        </w:rPr>
        <w:t>e and supply trends</w:t>
      </w:r>
      <w:r w:rsidRPr="00C81A10">
        <w:rPr>
          <w:rFonts w:cstheme="minorHAnsi"/>
        </w:rPr>
        <w:t xml:space="preserve"> portray</w:t>
      </w:r>
      <w:r w:rsidR="00E84A7F" w:rsidRPr="00C81A10">
        <w:rPr>
          <w:rFonts w:cstheme="minorHAnsi"/>
        </w:rPr>
        <w:t xml:space="preserve"> an expanding drug market,</w:t>
      </w:r>
      <w:r w:rsidR="00E84A7F" w:rsidRPr="00C81A10">
        <w:rPr>
          <w:rStyle w:val="FootnoteReference"/>
          <w:rFonts w:cstheme="minorHAnsi"/>
        </w:rPr>
        <w:footnoteReference w:id="9"/>
      </w:r>
      <w:r w:rsidR="00E84A7F" w:rsidRPr="00C81A10">
        <w:rPr>
          <w:rFonts w:cstheme="minorHAnsi"/>
        </w:rPr>
        <w:t xml:space="preserve"> especially in relation to the supply of methamphetamine as indicated by increasing volumes of seizures</w:t>
      </w:r>
      <w:r w:rsidRPr="00C81A10">
        <w:rPr>
          <w:rFonts w:cstheme="minorHAnsi"/>
        </w:rPr>
        <w:t xml:space="preserve"> in recent years</w:t>
      </w:r>
      <w:r w:rsidR="00E84A7F" w:rsidRPr="00C81A10">
        <w:rPr>
          <w:rFonts w:cstheme="minorHAnsi"/>
        </w:rPr>
        <w:t>.</w:t>
      </w:r>
      <w:r w:rsidR="00E84A7F" w:rsidRPr="00C81A10">
        <w:rPr>
          <w:rStyle w:val="FootnoteReference"/>
          <w:rFonts w:cstheme="minorHAnsi"/>
        </w:rPr>
        <w:footnoteReference w:id="10"/>
      </w:r>
      <w:r w:rsidR="00D9781A">
        <w:rPr>
          <w:rFonts w:cstheme="minorHAnsi"/>
        </w:rPr>
        <w:t xml:space="preserve"> Use of the death penalty is also problematic in that </w:t>
      </w:r>
      <w:r w:rsidR="00D9781A">
        <w:t>the finality of execution does not allow for any redress in the event of wrongful execution. There is no perfect criminal justice system, and wrongful executions resulting from human mistakes, discrimination, biases and abuse during the sentencing process have been documented in jurisdictions including the US.</w:t>
      </w:r>
      <w:r w:rsidR="00D9781A">
        <w:rPr>
          <w:rStyle w:val="FootnoteReference"/>
        </w:rPr>
        <w:footnoteReference w:id="11"/>
      </w:r>
    </w:p>
    <w:p w14:paraId="47EA0D2A" w14:textId="77777777" w:rsidR="00E84A7F" w:rsidRPr="00C81A10" w:rsidRDefault="00E84A7F" w:rsidP="00055A3C">
      <w:pPr>
        <w:pStyle w:val="NoSpacing"/>
        <w:rPr>
          <w:rFonts w:cstheme="minorHAnsi"/>
        </w:rPr>
      </w:pPr>
    </w:p>
    <w:p w14:paraId="573CF82F" w14:textId="7AA09EF3" w:rsidR="00D22BEE" w:rsidRDefault="009038BD" w:rsidP="009038BD">
      <w:pPr>
        <w:pStyle w:val="NoSpacing"/>
        <w:rPr>
          <w:rFonts w:cstheme="minorHAnsi"/>
        </w:rPr>
      </w:pPr>
      <w:r w:rsidRPr="00C81A10">
        <w:t xml:space="preserve">Imposing the death penalty for drug offences is a violation of international human rights law. </w:t>
      </w:r>
      <w:r w:rsidR="006E2893" w:rsidRPr="00C81A10">
        <w:rPr>
          <w:rFonts w:cstheme="minorHAnsi"/>
        </w:rPr>
        <w:t xml:space="preserve">Drug offences do not meet the threshold of “most serious crimes” for which the death penalty may apply under Article 6 of the </w:t>
      </w:r>
      <w:r w:rsidR="00D22BEE">
        <w:rPr>
          <w:rFonts w:cstheme="minorHAnsi"/>
        </w:rPr>
        <w:t>ICCPR</w:t>
      </w:r>
      <w:r w:rsidR="006E2893" w:rsidRPr="00C81A10">
        <w:rPr>
          <w:rFonts w:cstheme="minorHAnsi"/>
        </w:rPr>
        <w:t>, according to the UN Human Rights Committee.</w:t>
      </w:r>
      <w:r w:rsidR="006E2893" w:rsidRPr="00C81A10">
        <w:rPr>
          <w:rStyle w:val="FootnoteReference"/>
          <w:rFonts w:cstheme="minorHAnsi"/>
        </w:rPr>
        <w:footnoteReference w:id="12"/>
      </w:r>
      <w:r w:rsidR="006E2893" w:rsidRPr="00C81A10">
        <w:rPr>
          <w:rFonts w:cstheme="minorHAnsi"/>
        </w:rPr>
        <w:t xml:space="preserve"> </w:t>
      </w:r>
      <w:r w:rsidR="00D9781A">
        <w:rPr>
          <w:rFonts w:cstheme="minorHAnsi"/>
        </w:rPr>
        <w:t>The</w:t>
      </w:r>
      <w:r w:rsidR="00D9781A">
        <w:t xml:space="preserve"> Philippines will also be breaking its legal obligations under the Second Optional Protocol to the ICCPR, thereby seriously undermining the value of its</w:t>
      </w:r>
      <w:r w:rsidR="00D22BEE">
        <w:t xml:space="preserve"> promises.  </w:t>
      </w:r>
    </w:p>
    <w:p w14:paraId="70B0FDBC" w14:textId="77777777" w:rsidR="00D22BEE" w:rsidRDefault="00D22BEE" w:rsidP="009038BD">
      <w:pPr>
        <w:pStyle w:val="NoSpacing"/>
        <w:rPr>
          <w:rFonts w:cstheme="minorHAnsi"/>
        </w:rPr>
      </w:pPr>
    </w:p>
    <w:p w14:paraId="7907F16D" w14:textId="590A06BA" w:rsidR="009038BD" w:rsidRPr="00C81A10" w:rsidRDefault="009038BD" w:rsidP="009038BD">
      <w:pPr>
        <w:pStyle w:val="NoSpacing"/>
        <w:rPr>
          <w:rFonts w:cstheme="minorHAnsi"/>
        </w:rPr>
      </w:pPr>
      <w:r w:rsidRPr="00C81A10">
        <w:rPr>
          <w:rFonts w:cstheme="minorHAnsi"/>
        </w:rPr>
        <w:t>Moreover, t</w:t>
      </w:r>
      <w:r w:rsidR="00F53147" w:rsidRPr="00C81A10">
        <w:rPr>
          <w:rFonts w:cstheme="minorHAnsi"/>
        </w:rPr>
        <w:t>he International D</w:t>
      </w:r>
      <w:r w:rsidR="006E2893" w:rsidRPr="00C81A10">
        <w:rPr>
          <w:rFonts w:cstheme="minorHAnsi"/>
        </w:rPr>
        <w:t>ru</w:t>
      </w:r>
      <w:r w:rsidR="006118D7" w:rsidRPr="00C81A10">
        <w:rPr>
          <w:rFonts w:cstheme="minorHAnsi"/>
        </w:rPr>
        <w:t>g Control C</w:t>
      </w:r>
      <w:r w:rsidR="006E2893" w:rsidRPr="00C81A10">
        <w:rPr>
          <w:rFonts w:cstheme="minorHAnsi"/>
        </w:rPr>
        <w:t>onventions</w:t>
      </w:r>
      <w:r w:rsidR="006E2893" w:rsidRPr="00C81A10">
        <w:rPr>
          <w:rStyle w:val="FootnoteReference"/>
          <w:rFonts w:cstheme="minorHAnsi"/>
        </w:rPr>
        <w:footnoteReference w:id="13"/>
      </w:r>
      <w:r w:rsidRPr="00C81A10">
        <w:rPr>
          <w:rFonts w:cstheme="minorHAnsi"/>
        </w:rPr>
        <w:t xml:space="preserve"> contain no requirement for the Philippines to impose the death penalty in order to improve the health and welfare of its citizens (the primary objective of the conventions).</w:t>
      </w:r>
      <w:r w:rsidR="006E2893" w:rsidRPr="00C81A10">
        <w:rPr>
          <w:rFonts w:cstheme="minorHAnsi"/>
        </w:rPr>
        <w:t xml:space="preserve"> </w:t>
      </w:r>
      <w:r w:rsidRPr="00C81A10">
        <w:rPr>
          <w:rFonts w:cstheme="minorHAnsi"/>
        </w:rPr>
        <w:t xml:space="preserve">Accordingly </w:t>
      </w:r>
      <w:r w:rsidR="006E2893" w:rsidRPr="00C81A10">
        <w:rPr>
          <w:rFonts w:cstheme="minorHAnsi"/>
        </w:rPr>
        <w:t xml:space="preserve">the International Narcotics Control Board (INCB), the institution established by the conventions to monitor member state implementation of its </w:t>
      </w:r>
      <w:r w:rsidR="006E2893" w:rsidRPr="00C81A10">
        <w:rPr>
          <w:rFonts w:cstheme="minorHAnsi"/>
        </w:rPr>
        <w:lastRenderedPageBreak/>
        <w:t>provisions, encourages “those States which retain and continue to impose the death penalty for drug-related offences to consider abolishing the death penalty for such offences.”</w:t>
      </w:r>
      <w:r w:rsidR="006E2893" w:rsidRPr="00C81A10">
        <w:rPr>
          <w:rStyle w:val="FootnoteReference"/>
          <w:rFonts w:cstheme="minorHAnsi"/>
        </w:rPr>
        <w:footnoteReference w:id="14"/>
      </w:r>
      <w:r w:rsidR="006E2893" w:rsidRPr="00C81A10">
        <w:rPr>
          <w:rFonts w:cstheme="minorHAnsi"/>
        </w:rPr>
        <w:t xml:space="preserve"> </w:t>
      </w:r>
    </w:p>
    <w:p w14:paraId="40C5D563" w14:textId="77777777" w:rsidR="009038BD" w:rsidRPr="00C81A10" w:rsidRDefault="009038BD" w:rsidP="009038BD">
      <w:pPr>
        <w:pStyle w:val="NoSpacing"/>
        <w:rPr>
          <w:rFonts w:cstheme="minorHAnsi"/>
        </w:rPr>
      </w:pPr>
    </w:p>
    <w:p w14:paraId="00981B4C" w14:textId="77777777" w:rsidR="006E2893" w:rsidRPr="00C81A10" w:rsidRDefault="006E2893" w:rsidP="002956EF">
      <w:pPr>
        <w:pStyle w:val="NoSpacing"/>
        <w:rPr>
          <w:rFonts w:cstheme="minorHAnsi"/>
        </w:rPr>
      </w:pPr>
      <w:r w:rsidRPr="00C81A10">
        <w:rPr>
          <w:rFonts w:cstheme="minorHAnsi"/>
        </w:rPr>
        <w:t>The INCB further cal</w:t>
      </w:r>
      <w:r w:rsidR="009038BD" w:rsidRPr="00C81A10">
        <w:rPr>
          <w:rFonts w:cstheme="minorHAnsi"/>
        </w:rPr>
        <w:t>ls on member states to institute</w:t>
      </w:r>
      <w:r w:rsidRPr="00C81A10">
        <w:rPr>
          <w:rFonts w:cstheme="minorHAnsi"/>
        </w:rPr>
        <w:t xml:space="preserve"> proportionate sentencing for drug offences</w:t>
      </w:r>
      <w:r w:rsidR="009038BD" w:rsidRPr="00C81A10">
        <w:rPr>
          <w:rFonts w:cstheme="minorHAnsi"/>
        </w:rPr>
        <w:t xml:space="preserve">, which is relevant to the range of penalties proposed in </w:t>
      </w:r>
      <w:r w:rsidR="009038BD" w:rsidRPr="00C81A10">
        <w:rPr>
          <w:rFonts w:cstheme="minorHAnsi"/>
          <w:i/>
        </w:rPr>
        <w:t>House Bill No. 1</w:t>
      </w:r>
      <w:r w:rsidRPr="00C81A10">
        <w:rPr>
          <w:rFonts w:cstheme="minorHAnsi"/>
        </w:rPr>
        <w:t>.</w:t>
      </w:r>
      <w:r w:rsidRPr="00C81A10">
        <w:rPr>
          <w:rStyle w:val="FootnoteReference"/>
          <w:rFonts w:cstheme="minorHAnsi"/>
        </w:rPr>
        <w:footnoteReference w:id="15"/>
      </w:r>
      <w:r w:rsidR="009038BD" w:rsidRPr="00C81A10">
        <w:rPr>
          <w:rFonts w:cstheme="minorHAnsi"/>
        </w:rPr>
        <w:t xml:space="preserve"> It is especially concerning to note the </w:t>
      </w:r>
      <w:r w:rsidR="002956EF" w:rsidRPr="00C81A10">
        <w:rPr>
          <w:rFonts w:cstheme="minorHAnsi"/>
        </w:rPr>
        <w:t xml:space="preserve">severely disproportionate </w:t>
      </w:r>
      <w:r w:rsidR="009038BD" w:rsidRPr="00C81A10">
        <w:rPr>
          <w:rFonts w:cstheme="minorHAnsi"/>
        </w:rPr>
        <w:t>application of penalties to drug offences “regardless of the quantity and purity involved” as stated in the proposed amendment</w:t>
      </w:r>
      <w:r w:rsidR="002956EF" w:rsidRPr="00C81A10">
        <w:rPr>
          <w:rFonts w:cstheme="minorHAnsi"/>
        </w:rPr>
        <w:t>s</w:t>
      </w:r>
      <w:r w:rsidR="009038BD" w:rsidRPr="00C81A10">
        <w:rPr>
          <w:rFonts w:cstheme="minorHAnsi"/>
        </w:rPr>
        <w:t xml:space="preserve"> to section</w:t>
      </w:r>
      <w:r w:rsidR="002956EF" w:rsidRPr="00C81A10">
        <w:rPr>
          <w:rFonts w:cstheme="minorHAnsi"/>
        </w:rPr>
        <w:t>s 4 and</w:t>
      </w:r>
      <w:r w:rsidR="009038BD" w:rsidRPr="00C81A10">
        <w:rPr>
          <w:rFonts w:cstheme="minorHAnsi"/>
        </w:rPr>
        <w:t xml:space="preserve"> 5 of </w:t>
      </w:r>
      <w:r w:rsidR="009038BD" w:rsidRPr="00C81A10">
        <w:rPr>
          <w:rFonts w:cstheme="minorHAnsi"/>
          <w:i/>
        </w:rPr>
        <w:t>Republic Act No. 9165</w:t>
      </w:r>
      <w:r w:rsidR="002956EF" w:rsidRPr="00C81A10">
        <w:rPr>
          <w:rFonts w:cstheme="minorHAnsi"/>
        </w:rPr>
        <w:t xml:space="preserve"> in </w:t>
      </w:r>
      <w:r w:rsidR="002956EF" w:rsidRPr="00C81A10">
        <w:rPr>
          <w:rFonts w:cstheme="minorHAnsi"/>
          <w:i/>
        </w:rPr>
        <w:t>House Bill No. 1</w:t>
      </w:r>
      <w:r w:rsidR="002956EF" w:rsidRPr="00C81A10">
        <w:rPr>
          <w:rFonts w:cstheme="minorHAnsi"/>
        </w:rPr>
        <w:t>. Additional factors including the circumstances and role of the offender in a drug-related activity must be considered during sentencing in order to ensure proportionality. More recently as encouraged by the INCB President in November 2016, we urge your consideration of the application of alternatives to conviction or punishment for minor drug-related crimes, particularly for the use of drugs and possession of drugs for personal use.</w:t>
      </w:r>
      <w:r w:rsidR="002956EF" w:rsidRPr="00C81A10">
        <w:rPr>
          <w:rStyle w:val="FootnoteReference"/>
          <w:rFonts w:cstheme="minorHAnsi"/>
        </w:rPr>
        <w:footnoteReference w:id="16"/>
      </w:r>
    </w:p>
    <w:p w14:paraId="665BEE66" w14:textId="77777777" w:rsidR="002956EF" w:rsidRPr="00C81A10" w:rsidRDefault="002956EF" w:rsidP="002956EF">
      <w:pPr>
        <w:pStyle w:val="NoSpacing"/>
        <w:rPr>
          <w:rFonts w:cstheme="minorHAnsi"/>
        </w:rPr>
      </w:pPr>
    </w:p>
    <w:p w14:paraId="272441D5" w14:textId="5CE5C5CC" w:rsidR="00B433EA" w:rsidRPr="00C81A10" w:rsidRDefault="002956EF" w:rsidP="00B433EA">
      <w:pPr>
        <w:pStyle w:val="NoSpacing"/>
        <w:rPr>
          <w:rFonts w:cstheme="minorHAnsi"/>
        </w:rPr>
      </w:pPr>
      <w:r w:rsidRPr="00C81A10">
        <w:rPr>
          <w:rFonts w:cstheme="minorHAnsi"/>
        </w:rPr>
        <w:t>To conclude, we call on you to value the life of each and every individual, and to uphold the principles of justice and human rights</w:t>
      </w:r>
      <w:r w:rsidR="00CD4838">
        <w:rPr>
          <w:rFonts w:cstheme="minorHAnsi"/>
        </w:rPr>
        <w:t>. Along with the ASEAN Parliamentarians for Human Rights,</w:t>
      </w:r>
      <w:r w:rsidR="00CD4838">
        <w:rPr>
          <w:rStyle w:val="FootnoteReference"/>
          <w:rFonts w:cstheme="minorHAnsi"/>
        </w:rPr>
        <w:footnoteReference w:id="17"/>
      </w:r>
      <w:r w:rsidR="00CD4838">
        <w:rPr>
          <w:rFonts w:cstheme="minorHAnsi"/>
        </w:rPr>
        <w:t xml:space="preserve">  we call on you to ensure</w:t>
      </w:r>
      <w:r w:rsidRPr="00C81A10">
        <w:rPr>
          <w:rFonts w:cstheme="minorHAnsi"/>
        </w:rPr>
        <w:t xml:space="preserve"> that </w:t>
      </w:r>
      <w:r w:rsidRPr="00C81A10">
        <w:rPr>
          <w:rFonts w:cstheme="minorHAnsi"/>
          <w:i/>
        </w:rPr>
        <w:t>House Bill No. 1</w:t>
      </w:r>
      <w:r w:rsidRPr="00C81A10">
        <w:rPr>
          <w:rFonts w:cstheme="minorHAnsi"/>
        </w:rPr>
        <w:t xml:space="preserve"> does not pass.</w:t>
      </w:r>
      <w:r w:rsidR="004E4B3F" w:rsidRPr="00C81A10">
        <w:rPr>
          <w:rFonts w:cstheme="minorHAnsi"/>
        </w:rPr>
        <w:t xml:space="preserve"> </w:t>
      </w:r>
      <w:r w:rsidR="00B433EA" w:rsidRPr="00C81A10">
        <w:rPr>
          <w:rFonts w:cstheme="minorHAnsi"/>
        </w:rPr>
        <w:t xml:space="preserve">The death penalty may kill the person, but it will </w:t>
      </w:r>
      <w:r w:rsidR="00692B94" w:rsidRPr="00C81A10">
        <w:rPr>
          <w:rFonts w:cstheme="minorHAnsi"/>
        </w:rPr>
        <w:t xml:space="preserve">only exacerbate and </w:t>
      </w:r>
      <w:r w:rsidR="00B433EA" w:rsidRPr="00C81A10">
        <w:rPr>
          <w:rFonts w:cstheme="minorHAnsi"/>
        </w:rPr>
        <w:t>not solve</w:t>
      </w:r>
      <w:r w:rsidR="00692B94" w:rsidRPr="00C81A10">
        <w:rPr>
          <w:rFonts w:cstheme="minorHAnsi"/>
        </w:rPr>
        <w:t xml:space="preserve"> the</w:t>
      </w:r>
      <w:r w:rsidR="00B433EA" w:rsidRPr="00C81A10">
        <w:rPr>
          <w:rFonts w:cstheme="minorHAnsi"/>
        </w:rPr>
        <w:t xml:space="preserve"> drug-related problems</w:t>
      </w:r>
      <w:r w:rsidR="00692B94" w:rsidRPr="00C81A10">
        <w:rPr>
          <w:rFonts w:cstheme="minorHAnsi"/>
        </w:rPr>
        <w:t xml:space="preserve"> you seek to address. It will drive</w:t>
      </w:r>
      <w:r w:rsidR="00B433EA" w:rsidRPr="00C81A10">
        <w:rPr>
          <w:rFonts w:cstheme="minorHAnsi"/>
        </w:rPr>
        <w:t xml:space="preserve"> the poor and vulnerable further underground, away</w:t>
      </w:r>
      <w:r w:rsidR="00CD4838">
        <w:rPr>
          <w:rFonts w:cstheme="minorHAnsi"/>
        </w:rPr>
        <w:t xml:space="preserve"> from interventions that</w:t>
      </w:r>
      <w:r w:rsidR="00B433EA" w:rsidRPr="00C81A10">
        <w:rPr>
          <w:rFonts w:cstheme="minorHAnsi"/>
        </w:rPr>
        <w:t xml:space="preserve"> </w:t>
      </w:r>
      <w:r w:rsidR="00CD4838">
        <w:rPr>
          <w:rFonts w:cstheme="minorHAnsi"/>
        </w:rPr>
        <w:t xml:space="preserve">seek </w:t>
      </w:r>
      <w:r w:rsidR="00692B94" w:rsidRPr="00C81A10">
        <w:rPr>
          <w:rFonts w:cstheme="minorHAnsi"/>
        </w:rPr>
        <w:t>to</w:t>
      </w:r>
      <w:r w:rsidR="00B433EA" w:rsidRPr="00C81A10">
        <w:rPr>
          <w:rFonts w:cstheme="minorHAnsi"/>
        </w:rPr>
        <w:t xml:space="preserve"> protect them. We urge you to instead </w:t>
      </w:r>
      <w:r w:rsidR="00B433EA" w:rsidRPr="00C81A10">
        <w:t xml:space="preserve">explore proportionate sentencing and harm reduction measures </w:t>
      </w:r>
      <w:r w:rsidR="00CD4838">
        <w:t>to</w:t>
      </w:r>
      <w:r w:rsidR="00646DF7" w:rsidRPr="00C81A10">
        <w:t xml:space="preserve"> </w:t>
      </w:r>
      <w:r w:rsidR="00B433EA" w:rsidRPr="00C81A10">
        <w:t>improve the health and safety of the Filipino community.</w:t>
      </w:r>
    </w:p>
    <w:p w14:paraId="75CC6779" w14:textId="77777777" w:rsidR="002956EF" w:rsidRPr="00C81A10" w:rsidRDefault="002956EF" w:rsidP="002956EF">
      <w:pPr>
        <w:pStyle w:val="NoSpacing"/>
      </w:pPr>
    </w:p>
    <w:p w14:paraId="3DAA7CD3" w14:textId="77777777" w:rsidR="006E2893" w:rsidRPr="00C81A10" w:rsidRDefault="002956EF" w:rsidP="00394DAD">
      <w:pPr>
        <w:pStyle w:val="NoSpacing"/>
        <w:rPr>
          <w:rFonts w:cstheme="minorHAnsi"/>
        </w:rPr>
      </w:pPr>
      <w:r w:rsidRPr="00C81A10">
        <w:rPr>
          <w:rFonts w:cstheme="minorHAnsi"/>
        </w:rPr>
        <w:t>Yours sincerely,</w:t>
      </w:r>
    </w:p>
    <w:p w14:paraId="50838BD5" w14:textId="77777777" w:rsidR="002956EF" w:rsidRDefault="002956EF" w:rsidP="00394DAD">
      <w:pPr>
        <w:pStyle w:val="NoSpacing"/>
        <w:rPr>
          <w:rFonts w:cstheme="minorHAnsi"/>
        </w:rPr>
      </w:pPr>
    </w:p>
    <w:p w14:paraId="61985AC5" w14:textId="77777777" w:rsidR="002956EF" w:rsidRPr="008B3748" w:rsidRDefault="002956EF" w:rsidP="00394DAD">
      <w:pPr>
        <w:pStyle w:val="NoSpacing"/>
        <w:rPr>
          <w:rFonts w:cstheme="minorHAnsi"/>
        </w:rPr>
      </w:pPr>
    </w:p>
    <w:sectPr w:rsidR="002956EF" w:rsidRPr="008B3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5898A" w14:textId="77777777" w:rsidR="00690095" w:rsidRDefault="00690095" w:rsidP="006E2893">
      <w:pPr>
        <w:spacing w:after="0" w:line="240" w:lineRule="auto"/>
      </w:pPr>
      <w:r>
        <w:separator/>
      </w:r>
    </w:p>
  </w:endnote>
  <w:endnote w:type="continuationSeparator" w:id="0">
    <w:p w14:paraId="483D92C0" w14:textId="77777777" w:rsidR="00690095" w:rsidRDefault="00690095" w:rsidP="006E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4B5D5" w14:textId="77777777" w:rsidR="00690095" w:rsidRDefault="00690095" w:rsidP="006E2893">
      <w:pPr>
        <w:spacing w:after="0" w:line="240" w:lineRule="auto"/>
      </w:pPr>
      <w:r>
        <w:separator/>
      </w:r>
    </w:p>
  </w:footnote>
  <w:footnote w:type="continuationSeparator" w:id="0">
    <w:p w14:paraId="3DD87620" w14:textId="77777777" w:rsidR="00690095" w:rsidRDefault="00690095" w:rsidP="006E2893">
      <w:pPr>
        <w:spacing w:after="0" w:line="240" w:lineRule="auto"/>
      </w:pPr>
      <w:r>
        <w:continuationSeparator/>
      </w:r>
    </w:p>
  </w:footnote>
  <w:footnote w:id="1">
    <w:p w14:paraId="0D7814BB" w14:textId="77777777" w:rsidR="00315706" w:rsidRDefault="00315706" w:rsidP="00315706">
      <w:pPr>
        <w:pStyle w:val="FootnoteText"/>
      </w:pPr>
      <w:r>
        <w:rPr>
          <w:rStyle w:val="FootnoteReference"/>
        </w:rPr>
        <w:footnoteRef/>
      </w:r>
      <w:r>
        <w:t xml:space="preserve"> House Bill No. 1 is </w:t>
      </w:r>
      <w:r>
        <w:rPr>
          <w:rFonts w:asciiTheme="minorHAnsi" w:hAnsiTheme="minorHAnsi" w:cstheme="minorHAnsi"/>
          <w:color w:val="000000"/>
          <w:szCs w:val="22"/>
        </w:rPr>
        <w:t>a</w:t>
      </w:r>
      <w:r w:rsidRPr="00F5494A">
        <w:rPr>
          <w:rFonts w:asciiTheme="minorHAnsi" w:hAnsiTheme="minorHAnsi" w:cstheme="minorHAnsi"/>
          <w:color w:val="000000"/>
          <w:szCs w:val="22"/>
        </w:rPr>
        <w:t xml:space="preserve">vailable at: </w:t>
      </w:r>
      <w:hyperlink r:id="rId1" w:history="1">
        <w:r w:rsidRPr="00F5494A">
          <w:rPr>
            <w:rStyle w:val="Hyperlink"/>
            <w:rFonts w:asciiTheme="minorHAnsi" w:hAnsiTheme="minorHAnsi" w:cstheme="minorHAnsi"/>
            <w:color w:val="1155CC"/>
            <w:szCs w:val="22"/>
          </w:rPr>
          <w:t>http://www.congress.gov.ph/legisdocs/basic_17/HB00001.pdf</w:t>
        </w:r>
      </w:hyperlink>
      <w:r>
        <w:rPr>
          <w:rStyle w:val="Hyperlink"/>
          <w:rFonts w:asciiTheme="minorHAnsi" w:hAnsiTheme="minorHAnsi" w:cstheme="minorHAnsi"/>
          <w:color w:val="1155CC"/>
          <w:szCs w:val="22"/>
        </w:rPr>
        <w:t xml:space="preserve"> </w:t>
      </w:r>
    </w:p>
  </w:footnote>
  <w:footnote w:id="2">
    <w:p w14:paraId="52C013E3" w14:textId="77777777" w:rsidR="00AF18C2" w:rsidRPr="00AF18C2" w:rsidRDefault="00AF18C2">
      <w:pPr>
        <w:pStyle w:val="FootnoteText"/>
        <w:rPr>
          <w:rFonts w:asciiTheme="minorHAnsi" w:hAnsiTheme="minorHAnsi" w:cstheme="minorHAnsi"/>
        </w:rPr>
      </w:pPr>
      <w:r>
        <w:rPr>
          <w:rStyle w:val="FootnoteReference"/>
        </w:rPr>
        <w:footnoteRef/>
      </w:r>
      <w:r>
        <w:t xml:space="preserve"> </w:t>
      </w:r>
      <w:r w:rsidRPr="00AF18C2">
        <w:rPr>
          <w:rFonts w:asciiTheme="minorHAnsi" w:hAnsiTheme="minorHAnsi" w:cstheme="minorHAnsi"/>
        </w:rPr>
        <w:t xml:space="preserve">Article III, Section 1 of the 1987 Philippine Constitution, </w:t>
      </w:r>
      <w:hyperlink r:id="rId2" w:history="1">
        <w:r w:rsidRPr="00AF18C2">
          <w:rPr>
            <w:rStyle w:val="Hyperlink"/>
            <w:rFonts w:asciiTheme="minorHAnsi" w:hAnsiTheme="minorHAnsi" w:cstheme="minorHAnsi"/>
          </w:rPr>
          <w:t>http://www.gov.ph/constitutions/1987-constitution/</w:t>
        </w:r>
      </w:hyperlink>
      <w:r w:rsidRPr="00AF18C2">
        <w:rPr>
          <w:rStyle w:val="Hyperlink"/>
          <w:rFonts w:asciiTheme="minorHAnsi" w:hAnsiTheme="minorHAnsi" w:cstheme="minorHAnsi"/>
          <w:sz w:val="18"/>
          <w:szCs w:val="18"/>
        </w:rPr>
        <w:t xml:space="preserve"> </w:t>
      </w:r>
    </w:p>
  </w:footnote>
  <w:footnote w:id="3">
    <w:p w14:paraId="2DC7D005" w14:textId="74D70F25" w:rsidR="00315706" w:rsidRPr="00315706" w:rsidRDefault="00315706" w:rsidP="00315706">
      <w:pPr>
        <w:pStyle w:val="NoSpacing"/>
        <w:rPr>
          <w:sz w:val="20"/>
          <w:szCs w:val="20"/>
          <w:lang w:val="en-US"/>
        </w:rPr>
      </w:pPr>
      <w:r>
        <w:rPr>
          <w:rStyle w:val="FootnoteReference"/>
        </w:rPr>
        <w:footnoteRef/>
      </w:r>
      <w:r>
        <w:t xml:space="preserve"> </w:t>
      </w:r>
      <w:r w:rsidR="00472930">
        <w:rPr>
          <w:bCs/>
          <w:sz w:val="20"/>
          <w:szCs w:val="20"/>
        </w:rPr>
        <w:t xml:space="preserve">Article </w:t>
      </w:r>
      <w:r w:rsidRPr="00315706">
        <w:rPr>
          <w:bCs/>
          <w:sz w:val="20"/>
          <w:szCs w:val="20"/>
        </w:rPr>
        <w:t xml:space="preserve">III:  Bill of Rights, </w:t>
      </w:r>
      <w:r w:rsidRPr="00315706">
        <w:rPr>
          <w:bCs/>
          <w:sz w:val="20"/>
          <w:szCs w:val="20"/>
          <w:lang w:val="en-US"/>
        </w:rPr>
        <w:t>SECTION 19.</w:t>
      </w:r>
      <w:r w:rsidRPr="00315706">
        <w:rPr>
          <w:sz w:val="20"/>
          <w:szCs w:val="20"/>
          <w:lang w:val="en-US"/>
        </w:rPr>
        <w:t xml:space="preserve"> (1)</w:t>
      </w:r>
      <w:r>
        <w:rPr>
          <w:sz w:val="20"/>
          <w:szCs w:val="20"/>
          <w:lang w:val="en-US"/>
        </w:rPr>
        <w:t xml:space="preserve"> of the 1987 Philippine Constitution states that “</w:t>
      </w:r>
      <w:r w:rsidRPr="00315706">
        <w:rPr>
          <w:sz w:val="20"/>
          <w:szCs w:val="20"/>
          <w:lang w:val="en-US"/>
        </w:rPr>
        <w:t xml:space="preserve">Excessive fines shall not be imposed, nor cruel, degrading or inhuman punishment inflicted. </w:t>
      </w:r>
      <w:r w:rsidRPr="00315706">
        <w:rPr>
          <w:bCs/>
          <w:sz w:val="20"/>
          <w:szCs w:val="20"/>
          <w:lang w:val="en-US"/>
        </w:rPr>
        <w:t>Neither shall death penalty be imposed</w:t>
      </w:r>
      <w:r w:rsidRPr="00315706">
        <w:rPr>
          <w:sz w:val="20"/>
          <w:szCs w:val="20"/>
          <w:lang w:val="en-US"/>
        </w:rPr>
        <w:t xml:space="preserve">, unless, for compelling reasons involving heinous crimes, the Congress hereafter provides for it. Any death penalty already imposed shall be reduced to reclusion </w:t>
      </w:r>
      <w:proofErr w:type="spellStart"/>
      <w:r w:rsidRPr="00315706">
        <w:rPr>
          <w:sz w:val="20"/>
          <w:szCs w:val="20"/>
          <w:lang w:val="en-US"/>
        </w:rPr>
        <w:t>perpetua</w:t>
      </w:r>
      <w:proofErr w:type="spellEnd"/>
      <w:r w:rsidRPr="00315706">
        <w:rPr>
          <w:sz w:val="20"/>
          <w:szCs w:val="20"/>
          <w:lang w:val="en-US"/>
        </w:rPr>
        <w:t>.</w:t>
      </w:r>
      <w:r>
        <w:rPr>
          <w:sz w:val="20"/>
          <w:szCs w:val="20"/>
          <w:lang w:val="en-US"/>
        </w:rPr>
        <w:t>”</w:t>
      </w:r>
    </w:p>
  </w:footnote>
  <w:footnote w:id="4">
    <w:p w14:paraId="4A8FA158" w14:textId="4E8C7F6A" w:rsidR="00655F78" w:rsidRDefault="00655F78">
      <w:pPr>
        <w:pStyle w:val="FootnoteText"/>
      </w:pPr>
      <w:r>
        <w:rPr>
          <w:rStyle w:val="FootnoteReference"/>
        </w:rPr>
        <w:footnoteRef/>
      </w:r>
      <w:r>
        <w:t xml:space="preserve"> Harm reduction refers to policies, programmes and practices that aim primarily to reduce the adverse health, social and economic consequences of the use of legal and illegal psychoactive drugs without necessarily reducing drug consumption: </w:t>
      </w:r>
      <w:hyperlink r:id="rId3" w:history="1">
        <w:r w:rsidRPr="00176439">
          <w:rPr>
            <w:rStyle w:val="Hyperlink"/>
          </w:rPr>
          <w:t>https://www.hri.global/what-is-harm-reduction</w:t>
        </w:r>
      </w:hyperlink>
      <w:r>
        <w:t xml:space="preserve"> </w:t>
      </w:r>
    </w:p>
  </w:footnote>
  <w:footnote w:id="5">
    <w:p w14:paraId="2D9B345E" w14:textId="5C8F67D3" w:rsidR="002267B4" w:rsidRPr="00692B94" w:rsidRDefault="002267B4">
      <w:pPr>
        <w:pStyle w:val="FootnoteText"/>
        <w:rPr>
          <w:lang w:val="en-US"/>
        </w:rPr>
      </w:pPr>
      <w:r>
        <w:rPr>
          <w:rStyle w:val="FootnoteReference"/>
        </w:rPr>
        <w:footnoteRef/>
      </w:r>
      <w:r>
        <w:t xml:space="preserve"> </w:t>
      </w:r>
      <w:r w:rsidRPr="00C81A10">
        <w:rPr>
          <w:rFonts w:asciiTheme="minorHAnsi" w:hAnsiTheme="minorHAnsi" w:cstheme="minorHAnsi"/>
          <w:lang w:val="en-US"/>
        </w:rPr>
        <w:t xml:space="preserve">Free Legal Assistance Group (2006). </w:t>
      </w:r>
      <w:r w:rsidRPr="00D22BEE">
        <w:rPr>
          <w:rFonts w:asciiTheme="minorHAnsi" w:hAnsiTheme="minorHAnsi" w:cstheme="minorHAnsi"/>
          <w:i/>
          <w:lang w:val="en-US"/>
        </w:rPr>
        <w:t>Socio-Economic Profile of Capital Offenders in the Philippines</w:t>
      </w:r>
      <w:r w:rsidRPr="00C81A10">
        <w:rPr>
          <w:rFonts w:asciiTheme="minorHAnsi" w:hAnsiTheme="minorHAnsi" w:cstheme="minorHAnsi"/>
          <w:lang w:val="en-US"/>
        </w:rPr>
        <w:t>.</w:t>
      </w:r>
      <w:r>
        <w:rPr>
          <w:lang w:val="en-US"/>
        </w:rPr>
        <w:t xml:space="preserve"> </w:t>
      </w:r>
    </w:p>
  </w:footnote>
  <w:footnote w:id="6">
    <w:p w14:paraId="65842083" w14:textId="77777777" w:rsidR="00315706" w:rsidRPr="00974DEE" w:rsidRDefault="00315706" w:rsidP="00315706">
      <w:pPr>
        <w:pStyle w:val="FootnoteText"/>
        <w:rPr>
          <w:i/>
          <w:lang w:val="en-US"/>
        </w:rPr>
      </w:pPr>
      <w:r>
        <w:rPr>
          <w:rStyle w:val="FootnoteReference"/>
        </w:rPr>
        <w:footnoteRef/>
      </w:r>
      <w:r>
        <w:t xml:space="preserve"> </w:t>
      </w:r>
      <w:proofErr w:type="spellStart"/>
      <w:r w:rsidRPr="00C81A10">
        <w:rPr>
          <w:rFonts w:asciiTheme="minorHAnsi" w:hAnsiTheme="minorHAnsi" w:cstheme="minorHAnsi"/>
        </w:rPr>
        <w:t>Gallahue</w:t>
      </w:r>
      <w:proofErr w:type="spellEnd"/>
      <w:r w:rsidRPr="00C81A10">
        <w:rPr>
          <w:rFonts w:asciiTheme="minorHAnsi" w:hAnsiTheme="minorHAnsi" w:cstheme="minorHAnsi"/>
        </w:rPr>
        <w:t xml:space="preserve">, P. et al., </w:t>
      </w:r>
      <w:r w:rsidRPr="00C81A10">
        <w:rPr>
          <w:rFonts w:asciiTheme="minorHAnsi" w:hAnsiTheme="minorHAnsi" w:cstheme="minorHAnsi"/>
          <w:i/>
          <w:lang w:val="en-US"/>
        </w:rPr>
        <w:t>The Death Penalty for Drug Offences: Global Overview 2012 - Tipping the scales for abolition</w:t>
      </w:r>
      <w:r w:rsidRPr="00C81A10">
        <w:rPr>
          <w:rFonts w:asciiTheme="minorHAnsi" w:hAnsiTheme="minorHAnsi" w:cstheme="minorHAnsi"/>
          <w:lang w:val="en-US"/>
        </w:rPr>
        <w:t xml:space="preserve">, International Harm Reduction Association (now known as Harm Reduction International), (2012), pp. 21 – 22, </w:t>
      </w:r>
      <w:hyperlink r:id="rId4" w:history="1">
        <w:r w:rsidRPr="00C81A10">
          <w:rPr>
            <w:rStyle w:val="Hyperlink"/>
            <w:rFonts w:asciiTheme="minorHAnsi" w:hAnsiTheme="minorHAnsi" w:cstheme="minorHAnsi"/>
            <w:lang w:val="en-US"/>
          </w:rPr>
          <w:t>http://www.ihra.net/files/2012/11/27/HRI_-_2012_Death_Penalty_Report_-_FINAL.pdf</w:t>
        </w:r>
      </w:hyperlink>
      <w:r>
        <w:rPr>
          <w:lang w:val="en-US"/>
        </w:rPr>
        <w:t xml:space="preserve">  </w:t>
      </w:r>
      <w:r>
        <w:rPr>
          <w:i/>
          <w:lang w:val="en-US"/>
        </w:rPr>
        <w:t xml:space="preserve"> </w:t>
      </w:r>
    </w:p>
  </w:footnote>
  <w:footnote w:id="7">
    <w:p w14:paraId="18E0337C" w14:textId="77777777" w:rsidR="002B6240" w:rsidRPr="00315706" w:rsidRDefault="002B6240" w:rsidP="002B6240">
      <w:pPr>
        <w:pStyle w:val="FootnoteText"/>
        <w:rPr>
          <w:rFonts w:asciiTheme="minorHAnsi" w:hAnsiTheme="minorHAnsi" w:cstheme="minorHAnsi"/>
          <w:lang w:val="en-US"/>
        </w:rPr>
      </w:pPr>
      <w:r w:rsidRPr="00315706">
        <w:rPr>
          <w:rStyle w:val="FootnoteReference"/>
          <w:rFonts w:asciiTheme="minorHAnsi" w:hAnsiTheme="minorHAnsi" w:cstheme="minorHAnsi"/>
        </w:rPr>
        <w:footnoteRef/>
      </w:r>
      <w:r w:rsidRPr="00315706">
        <w:rPr>
          <w:rFonts w:asciiTheme="minorHAnsi" w:hAnsiTheme="minorHAnsi" w:cstheme="minorHAnsi"/>
        </w:rPr>
        <w:t xml:space="preserve"> </w:t>
      </w:r>
      <w:r w:rsidRPr="00315706">
        <w:rPr>
          <w:rFonts w:asciiTheme="minorHAnsi" w:hAnsiTheme="minorHAnsi" w:cstheme="minorHAnsi"/>
          <w:lang w:val="en-US"/>
        </w:rPr>
        <w:t xml:space="preserve">UNODC, </w:t>
      </w:r>
      <w:r w:rsidRPr="00315706">
        <w:rPr>
          <w:rFonts w:asciiTheme="minorHAnsi" w:hAnsiTheme="minorHAnsi" w:cstheme="minorHAnsi"/>
          <w:i/>
          <w:lang w:val="en-US"/>
        </w:rPr>
        <w:t>World Drug Report 2015</w:t>
      </w:r>
      <w:r w:rsidRPr="00315706">
        <w:rPr>
          <w:rFonts w:asciiTheme="minorHAnsi" w:hAnsiTheme="minorHAnsi" w:cstheme="minorHAnsi"/>
          <w:lang w:val="en-US"/>
        </w:rPr>
        <w:t xml:space="preserve">, (2015), </w:t>
      </w:r>
      <w:hyperlink r:id="rId5" w:history="1">
        <w:r w:rsidRPr="00315706">
          <w:rPr>
            <w:rStyle w:val="Hyperlink"/>
            <w:rFonts w:asciiTheme="minorHAnsi" w:hAnsiTheme="minorHAnsi" w:cstheme="minorHAnsi"/>
            <w:lang w:val="en-US"/>
          </w:rPr>
          <w:t>http://www.unodc.org/unodc/en/frontpage/2015/June/2015-world-drug-report-finds-drug-use-stable--access-to-drug-and-hiv-treatment-still-low.html?ref=fs1</w:t>
        </w:r>
      </w:hyperlink>
      <w:r w:rsidRPr="00315706">
        <w:rPr>
          <w:rFonts w:asciiTheme="minorHAnsi" w:hAnsiTheme="minorHAnsi" w:cstheme="minorHAnsi"/>
          <w:lang w:val="en-US"/>
        </w:rPr>
        <w:t xml:space="preserve"> </w:t>
      </w:r>
    </w:p>
  </w:footnote>
  <w:footnote w:id="8">
    <w:p w14:paraId="6C23D31E" w14:textId="77777777" w:rsidR="007A319B" w:rsidRDefault="007A319B" w:rsidP="007A319B">
      <w:pPr>
        <w:pStyle w:val="FootnoteText"/>
      </w:pPr>
      <w:r>
        <w:rPr>
          <w:rStyle w:val="FootnoteReference"/>
        </w:rPr>
        <w:footnoteRef/>
      </w:r>
      <w:r>
        <w:t xml:space="preserve"> The six countries in Asia which routinely execute people for drug offences are: China, Iran, Vietnam, Malaysia, Singapore, and Indonesia. See: </w:t>
      </w:r>
      <w:hyperlink r:id="rId6" w:history="1">
        <w:r w:rsidRPr="00403CDE">
          <w:rPr>
            <w:rStyle w:val="Hyperlink"/>
          </w:rPr>
          <w:t>https://www.fidh.org/IMG/pdf/asia_death_penalty_drug_crimes_fidh_wcadp_report_oct_2015_pdf.pdf</w:t>
        </w:r>
      </w:hyperlink>
      <w:r>
        <w:t xml:space="preserve"> </w:t>
      </w:r>
    </w:p>
  </w:footnote>
  <w:footnote w:id="9">
    <w:p w14:paraId="35671325" w14:textId="77777777" w:rsidR="00E84A7F" w:rsidRPr="00315706" w:rsidRDefault="00E84A7F">
      <w:pPr>
        <w:pStyle w:val="FootnoteText"/>
        <w:rPr>
          <w:rFonts w:asciiTheme="minorHAnsi" w:hAnsiTheme="minorHAnsi" w:cstheme="minorHAnsi"/>
        </w:rPr>
      </w:pPr>
      <w:r w:rsidRPr="00315706">
        <w:rPr>
          <w:rStyle w:val="FootnoteReference"/>
          <w:rFonts w:asciiTheme="minorHAnsi" w:hAnsiTheme="minorHAnsi" w:cstheme="minorHAnsi"/>
        </w:rPr>
        <w:footnoteRef/>
      </w:r>
      <w:r w:rsidRPr="00315706">
        <w:rPr>
          <w:rFonts w:asciiTheme="minorHAnsi" w:hAnsiTheme="minorHAnsi" w:cstheme="minorHAnsi"/>
        </w:rPr>
        <w:t xml:space="preserve"> Singapore Government Central Narcotics Bureau, ‘Drug Situation Report,’ </w:t>
      </w:r>
      <w:hyperlink r:id="rId7" w:history="1">
        <w:r w:rsidRPr="00315706">
          <w:rPr>
            <w:rStyle w:val="Hyperlink"/>
            <w:rFonts w:asciiTheme="minorHAnsi" w:hAnsiTheme="minorHAnsi" w:cstheme="minorHAnsi"/>
          </w:rPr>
          <w:t>https://www.cnb.gov.sg/drugsituationreport/drugsituationreport2015_copy1.aspx</w:t>
        </w:r>
      </w:hyperlink>
      <w:r w:rsidRPr="00315706">
        <w:rPr>
          <w:rFonts w:asciiTheme="minorHAnsi" w:hAnsiTheme="minorHAnsi" w:cstheme="minorHAnsi"/>
        </w:rPr>
        <w:t xml:space="preserve"> </w:t>
      </w:r>
    </w:p>
  </w:footnote>
  <w:footnote w:id="10">
    <w:p w14:paraId="4E5645FC" w14:textId="77777777" w:rsidR="00E84A7F" w:rsidRDefault="00E84A7F">
      <w:pPr>
        <w:pStyle w:val="FootnoteText"/>
      </w:pPr>
      <w:r w:rsidRPr="00315706">
        <w:rPr>
          <w:rStyle w:val="FootnoteReference"/>
          <w:rFonts w:asciiTheme="minorHAnsi" w:hAnsiTheme="minorHAnsi" w:cstheme="minorHAnsi"/>
        </w:rPr>
        <w:footnoteRef/>
      </w:r>
      <w:r w:rsidRPr="00315706">
        <w:rPr>
          <w:rFonts w:asciiTheme="minorHAnsi" w:hAnsiTheme="minorHAnsi" w:cstheme="minorHAnsi"/>
        </w:rPr>
        <w:t xml:space="preserve"> Asia-Pacific Amphetamine-Type Stimulants Information Centre, ‘Synthetic Drugs National Trends – Singapore,’ </w:t>
      </w:r>
      <w:hyperlink r:id="rId8" w:history="1">
        <w:r w:rsidRPr="00315706">
          <w:rPr>
            <w:rStyle w:val="Hyperlink"/>
            <w:rFonts w:asciiTheme="minorHAnsi" w:hAnsiTheme="minorHAnsi" w:cstheme="minorHAnsi"/>
          </w:rPr>
          <w:t>http://www.apaic.org/index.php?option=com_content&amp;view=article&amp;id=382&amp;Itemid=813</w:t>
        </w:r>
      </w:hyperlink>
      <w:r>
        <w:t xml:space="preserve"> </w:t>
      </w:r>
    </w:p>
  </w:footnote>
  <w:footnote w:id="11">
    <w:p w14:paraId="4DB3AB35" w14:textId="693C4535" w:rsidR="00D9781A" w:rsidRDefault="00D9781A">
      <w:pPr>
        <w:pStyle w:val="FootnoteText"/>
      </w:pPr>
      <w:r>
        <w:rPr>
          <w:rStyle w:val="FootnoteReference"/>
        </w:rPr>
        <w:footnoteRef/>
      </w:r>
      <w:r>
        <w:t xml:space="preserve"> Death Penalty Information </w:t>
      </w:r>
      <w:proofErr w:type="spellStart"/>
      <w:r>
        <w:t>Center</w:t>
      </w:r>
      <w:proofErr w:type="spellEnd"/>
      <w:r>
        <w:t>, ‘</w:t>
      </w:r>
      <w:r w:rsidR="00153956">
        <w:t>Executed but Possibly I</w:t>
      </w:r>
      <w:r>
        <w:t>nnocent</w:t>
      </w:r>
      <w:r w:rsidR="00153956">
        <w:t>,</w:t>
      </w:r>
      <w:r>
        <w:t>’</w:t>
      </w:r>
      <w:r w:rsidR="00153956">
        <w:t xml:space="preserve"> </w:t>
      </w:r>
      <w:hyperlink r:id="rId9" w:history="1">
        <w:r w:rsidR="00153956" w:rsidRPr="0002499D">
          <w:rPr>
            <w:rStyle w:val="Hyperlink"/>
          </w:rPr>
          <w:t>http://www.deathpenaltyinfo.org/executed-possibly-innocent</w:t>
        </w:r>
      </w:hyperlink>
      <w:r w:rsidR="00153956">
        <w:t xml:space="preserve"> </w:t>
      </w:r>
    </w:p>
  </w:footnote>
  <w:footnote w:id="12">
    <w:p w14:paraId="5EC7C2B1" w14:textId="77777777" w:rsidR="006E2893" w:rsidRPr="00AB129A" w:rsidRDefault="006E2893" w:rsidP="006E2893">
      <w:pPr>
        <w:pStyle w:val="FootnoteText"/>
        <w:rPr>
          <w:lang w:val="en-US"/>
        </w:rPr>
      </w:pPr>
      <w:r>
        <w:rPr>
          <w:rStyle w:val="FootnoteReference"/>
        </w:rPr>
        <w:footnoteRef/>
      </w:r>
      <w:r>
        <w:t xml:space="preserve"> </w:t>
      </w:r>
      <w:r w:rsidRPr="00C81A10">
        <w:rPr>
          <w:rFonts w:asciiTheme="minorHAnsi" w:hAnsiTheme="minorHAnsi" w:cstheme="minorHAnsi"/>
        </w:rPr>
        <w:t xml:space="preserve">UN High Commissioner for Human Rights, </w:t>
      </w:r>
      <w:r w:rsidRPr="00C81A10">
        <w:rPr>
          <w:rFonts w:asciiTheme="minorHAnsi" w:hAnsiTheme="minorHAnsi" w:cstheme="minorHAnsi"/>
          <w:i/>
        </w:rPr>
        <w:t>Study on the impact of the world drug problem on the enjoyment of human rights: Report of the UN High Commissioner for Human Rights</w:t>
      </w:r>
      <w:r w:rsidRPr="00C81A10">
        <w:rPr>
          <w:rFonts w:asciiTheme="minorHAnsi" w:hAnsiTheme="minorHAnsi" w:cstheme="minorHAnsi"/>
        </w:rPr>
        <w:t xml:space="preserve">, 4 September 2015, at para. 38, </w:t>
      </w:r>
      <w:hyperlink r:id="rId10" w:history="1">
        <w:r w:rsidRPr="00C81A10">
          <w:rPr>
            <w:rStyle w:val="Hyperlink"/>
            <w:rFonts w:asciiTheme="minorHAnsi" w:eastAsiaTheme="minorHAnsi" w:hAnsiTheme="minorHAnsi" w:cstheme="minorHAnsi"/>
            <w:lang w:val="en-US"/>
          </w:rPr>
          <w:t>www.ohchr.org/EN/HRBodies/.../Session30/Documents/A_HRC_30_65_E.docx</w:t>
        </w:r>
      </w:hyperlink>
      <w:r>
        <w:rPr>
          <w:rFonts w:ascii="Arial" w:eastAsiaTheme="minorHAnsi" w:hAnsi="Arial" w:cs="Arial"/>
          <w:color w:val="44546A" w:themeColor="text2"/>
          <w:lang w:val="en-US"/>
        </w:rPr>
        <w:t xml:space="preserve"> </w:t>
      </w:r>
    </w:p>
  </w:footnote>
  <w:footnote w:id="13">
    <w:p w14:paraId="3084DA97" w14:textId="77777777" w:rsidR="006E2893" w:rsidRPr="000A35FA" w:rsidRDefault="006E2893" w:rsidP="006E2893">
      <w:pPr>
        <w:pStyle w:val="FootnoteText"/>
        <w:rPr>
          <w:lang w:val="en-US"/>
        </w:rPr>
      </w:pPr>
      <w:r>
        <w:rPr>
          <w:rStyle w:val="FootnoteReference"/>
        </w:rPr>
        <w:footnoteRef/>
      </w:r>
      <w:r>
        <w:t xml:space="preserve"> </w:t>
      </w:r>
      <w:r w:rsidRPr="00C81A10">
        <w:rPr>
          <w:rFonts w:cs="Calibri"/>
          <w:i/>
        </w:rPr>
        <w:t>Single Convention on Narcotic Drugs, 1961; Convention on Psychotropic Substances, 1971</w:t>
      </w:r>
      <w:r w:rsidRPr="00C81A10">
        <w:rPr>
          <w:rFonts w:cs="Calibri"/>
        </w:rPr>
        <w:t xml:space="preserve">, and; </w:t>
      </w:r>
      <w:r w:rsidRPr="00C81A10">
        <w:rPr>
          <w:rFonts w:cs="Calibri"/>
          <w:i/>
        </w:rPr>
        <w:t>United Nations Convention against Illicit Traffic in Narcotic Drugs and Psychotropic Substances, 1988</w:t>
      </w:r>
      <w:r w:rsidRPr="00C81A10">
        <w:rPr>
          <w:rFonts w:cs="Calibri"/>
        </w:rPr>
        <w:t>.</w:t>
      </w:r>
    </w:p>
  </w:footnote>
  <w:footnote w:id="14">
    <w:p w14:paraId="73C2A7F9" w14:textId="77777777" w:rsidR="006E2893" w:rsidRPr="00C81A10" w:rsidRDefault="006E2893" w:rsidP="006E2893">
      <w:pPr>
        <w:pStyle w:val="FootnoteText"/>
        <w:rPr>
          <w:rFonts w:asciiTheme="minorHAnsi" w:hAnsiTheme="minorHAnsi" w:cstheme="minorHAnsi"/>
          <w:lang w:val="en-US"/>
        </w:rPr>
      </w:pPr>
      <w:r>
        <w:rPr>
          <w:rStyle w:val="FootnoteReference"/>
        </w:rPr>
        <w:footnoteRef/>
      </w:r>
      <w:r>
        <w:t xml:space="preserve"> </w:t>
      </w:r>
      <w:r w:rsidRPr="00C81A10">
        <w:rPr>
          <w:rFonts w:asciiTheme="minorHAnsi" w:hAnsiTheme="minorHAnsi" w:cstheme="minorHAnsi"/>
          <w:lang w:val="en-US"/>
        </w:rPr>
        <w:t xml:space="preserve">International Narcotics Control Board, </w:t>
      </w:r>
      <w:r w:rsidRPr="00C81A10">
        <w:rPr>
          <w:rFonts w:asciiTheme="minorHAnsi" w:hAnsiTheme="minorHAnsi" w:cstheme="minorHAnsi"/>
          <w:i/>
          <w:lang w:val="en-US"/>
        </w:rPr>
        <w:t>Report of the International Narcotics Control Board for 2014</w:t>
      </w:r>
      <w:r w:rsidRPr="00C81A10">
        <w:rPr>
          <w:rFonts w:asciiTheme="minorHAnsi" w:hAnsiTheme="minorHAnsi" w:cstheme="minorHAnsi"/>
          <w:lang w:val="en-US"/>
        </w:rPr>
        <w:t xml:space="preserve">, (2015), at p. iii, </w:t>
      </w:r>
      <w:hyperlink r:id="rId11" w:history="1">
        <w:r w:rsidRPr="00C81A10">
          <w:rPr>
            <w:rStyle w:val="Hyperlink"/>
            <w:rFonts w:asciiTheme="minorHAnsi" w:hAnsiTheme="minorHAnsi" w:cstheme="minorHAnsi"/>
            <w:lang w:val="en-US"/>
          </w:rPr>
          <w:t>http://www.incb.org/incb/en/publications/annual-reports/annual-report-2014.html</w:t>
        </w:r>
      </w:hyperlink>
      <w:r w:rsidRPr="00C81A10">
        <w:rPr>
          <w:rStyle w:val="Hyperlink"/>
          <w:rFonts w:asciiTheme="minorHAnsi" w:hAnsiTheme="minorHAnsi" w:cstheme="minorHAnsi"/>
          <w:lang w:val="en-US"/>
        </w:rPr>
        <w:t xml:space="preserve">. See also UNODC, </w:t>
      </w:r>
      <w:r w:rsidRPr="00C81A10">
        <w:rPr>
          <w:rFonts w:asciiTheme="minorHAnsi" w:hAnsiTheme="minorHAnsi" w:cstheme="minorHAnsi"/>
          <w:i/>
          <w:iCs/>
          <w:shd w:val="clear" w:color="auto" w:fill="FFFFFF"/>
        </w:rPr>
        <w:t>Contribution of the Executive Director of the United Nations Office on Drugs and Crime</w:t>
      </w:r>
      <w:r w:rsidRPr="00C81A10">
        <w:rPr>
          <w:rFonts w:asciiTheme="minorHAnsi" w:hAnsiTheme="minorHAnsi" w:cstheme="minorHAnsi"/>
          <w:shd w:val="clear" w:color="auto" w:fill="FFFFFF"/>
        </w:rPr>
        <w:t xml:space="preserve"> </w:t>
      </w:r>
      <w:r w:rsidRPr="00C81A10">
        <w:rPr>
          <w:rFonts w:asciiTheme="minorHAnsi" w:hAnsiTheme="minorHAnsi" w:cstheme="minorHAnsi"/>
          <w:i/>
          <w:iCs/>
          <w:color w:val="000000"/>
          <w:shd w:val="clear" w:color="auto" w:fill="FFFFFF"/>
        </w:rPr>
        <w:t>to the high-level review of the implementation of the Political Declaration and Plan of Action on International Cooperation towards an Integrated and Balanced Strategy to Counter the World Drug Problem, to be conducted by the Commission on Narcotic Drugs in 2014</w:t>
      </w:r>
      <w:r w:rsidRPr="00C81A10">
        <w:rPr>
          <w:rFonts w:asciiTheme="minorHAnsi" w:hAnsiTheme="minorHAnsi" w:cstheme="minorHAnsi"/>
          <w:color w:val="000000"/>
          <w:shd w:val="clear" w:color="auto" w:fill="FFFFFF"/>
        </w:rPr>
        <w:t>, (2014), at para. 52(c),</w:t>
      </w:r>
      <w:r w:rsidRPr="00B34305">
        <w:rPr>
          <w:rFonts w:ascii="Arial" w:hAnsi="Arial" w:cs="Arial"/>
          <w:color w:val="000000"/>
          <w:shd w:val="clear" w:color="auto" w:fill="FFFFFF"/>
        </w:rPr>
        <w:t xml:space="preserve"> </w:t>
      </w:r>
      <w:r w:rsidRPr="00B34305">
        <w:rPr>
          <w:rStyle w:val="Hyperlink"/>
          <w:rFonts w:ascii="Arial" w:hAnsi="Arial" w:cs="Arial"/>
          <w:lang w:val="en-US"/>
        </w:rPr>
        <w:t xml:space="preserve"> </w:t>
      </w:r>
      <w:hyperlink r:id="rId12" w:history="1">
        <w:r w:rsidRPr="00C81A10">
          <w:rPr>
            <w:rStyle w:val="Hyperlink"/>
            <w:rFonts w:asciiTheme="minorHAnsi" w:hAnsiTheme="minorHAnsi" w:cstheme="minorHAnsi"/>
            <w:lang w:val="en-US"/>
          </w:rPr>
          <w:t>https://www.unodc.org/documents/commissions/CND/CND_Sessions/CND_57/_UNODC-ED-2014-1/UNODC-ED-2014-1_V1388514_E.pdf</w:t>
        </w:r>
      </w:hyperlink>
      <w:r w:rsidRPr="00C81A10">
        <w:rPr>
          <w:rStyle w:val="Hyperlink"/>
          <w:rFonts w:asciiTheme="minorHAnsi" w:hAnsiTheme="minorHAnsi" w:cstheme="minorHAnsi"/>
          <w:lang w:val="en-US"/>
        </w:rPr>
        <w:t xml:space="preserve"> </w:t>
      </w:r>
      <w:r w:rsidRPr="00C81A10">
        <w:rPr>
          <w:rFonts w:asciiTheme="minorHAnsi" w:hAnsiTheme="minorHAnsi" w:cstheme="minorHAnsi"/>
          <w:lang w:val="en-US"/>
        </w:rPr>
        <w:t xml:space="preserve"> </w:t>
      </w:r>
    </w:p>
  </w:footnote>
  <w:footnote w:id="15">
    <w:p w14:paraId="0DB2E27D" w14:textId="77777777" w:rsidR="006E2893" w:rsidRPr="00C81A10" w:rsidRDefault="006E2893" w:rsidP="006E2893">
      <w:pPr>
        <w:pStyle w:val="FootnoteText"/>
        <w:rPr>
          <w:rFonts w:asciiTheme="minorHAnsi" w:hAnsiTheme="minorHAnsi" w:cstheme="minorHAnsi"/>
          <w:lang w:val="en-US"/>
        </w:rPr>
      </w:pPr>
      <w:r w:rsidRPr="00C81A10">
        <w:rPr>
          <w:rStyle w:val="FootnoteReference"/>
          <w:rFonts w:asciiTheme="minorHAnsi" w:hAnsiTheme="minorHAnsi" w:cstheme="minorHAnsi"/>
        </w:rPr>
        <w:footnoteRef/>
      </w:r>
      <w:r w:rsidRPr="00C81A10">
        <w:rPr>
          <w:rFonts w:asciiTheme="minorHAnsi" w:hAnsiTheme="minorHAnsi" w:cstheme="minorHAnsi"/>
        </w:rPr>
        <w:t xml:space="preserve"> </w:t>
      </w:r>
      <w:r w:rsidRPr="00C81A10">
        <w:rPr>
          <w:rFonts w:asciiTheme="minorHAnsi" w:hAnsiTheme="minorHAnsi" w:cstheme="minorHAnsi"/>
          <w:lang w:val="en-US"/>
        </w:rPr>
        <w:t xml:space="preserve">International Narcotics Control Board, </w:t>
      </w:r>
      <w:r w:rsidRPr="00C81A10">
        <w:rPr>
          <w:rFonts w:asciiTheme="minorHAnsi" w:hAnsiTheme="minorHAnsi" w:cstheme="minorHAnsi"/>
          <w:i/>
          <w:lang w:val="en-US"/>
        </w:rPr>
        <w:t>Report of the International Narcotics Control Board for 2007</w:t>
      </w:r>
      <w:r w:rsidRPr="00C81A10">
        <w:rPr>
          <w:rFonts w:asciiTheme="minorHAnsi" w:hAnsiTheme="minorHAnsi" w:cstheme="minorHAnsi"/>
          <w:lang w:val="en-US"/>
        </w:rPr>
        <w:t xml:space="preserve">, (2008), at pp. 1 – 14, </w:t>
      </w:r>
      <w:hyperlink r:id="rId13" w:history="1">
        <w:r w:rsidRPr="00C81A10">
          <w:rPr>
            <w:rStyle w:val="Hyperlink"/>
            <w:rFonts w:asciiTheme="minorHAnsi" w:hAnsiTheme="minorHAnsi" w:cstheme="minorHAnsi"/>
            <w:lang w:val="en-US"/>
          </w:rPr>
          <w:t>http://www.incb.org/documents/Publications/AnnualReports/Thematic_chapters/English/AR_2007_E_Chapter_I.pdf</w:t>
        </w:r>
      </w:hyperlink>
      <w:r w:rsidRPr="00C81A10">
        <w:rPr>
          <w:rFonts w:asciiTheme="minorHAnsi" w:hAnsiTheme="minorHAnsi" w:cstheme="minorHAnsi"/>
          <w:lang w:val="en-US"/>
        </w:rPr>
        <w:t xml:space="preserve"> </w:t>
      </w:r>
    </w:p>
  </w:footnote>
  <w:footnote w:id="16">
    <w:p w14:paraId="22A77F99" w14:textId="77777777" w:rsidR="002956EF" w:rsidRPr="00C81A10" w:rsidRDefault="002956EF" w:rsidP="002956EF">
      <w:pPr>
        <w:pStyle w:val="NormalWeb"/>
        <w:spacing w:before="0" w:beforeAutospacing="0" w:after="0" w:afterAutospacing="0"/>
        <w:rPr>
          <w:rFonts w:asciiTheme="minorHAnsi" w:eastAsiaTheme="minorHAnsi" w:hAnsiTheme="minorHAnsi" w:cstheme="minorHAnsi"/>
          <w:sz w:val="20"/>
          <w:szCs w:val="20"/>
          <w:lang w:eastAsia="en-US"/>
        </w:rPr>
      </w:pPr>
      <w:r w:rsidRPr="00C81A10">
        <w:rPr>
          <w:rStyle w:val="FootnoteReference"/>
          <w:rFonts w:asciiTheme="minorHAnsi" w:hAnsiTheme="minorHAnsi" w:cstheme="minorHAnsi"/>
          <w:sz w:val="20"/>
          <w:szCs w:val="20"/>
        </w:rPr>
        <w:footnoteRef/>
      </w:r>
      <w:r w:rsidRPr="00C81A10">
        <w:rPr>
          <w:rFonts w:asciiTheme="minorHAnsi" w:hAnsiTheme="minorHAnsi" w:cstheme="minorHAnsi"/>
          <w:sz w:val="20"/>
          <w:szCs w:val="20"/>
        </w:rPr>
        <w:t xml:space="preserve"> </w:t>
      </w:r>
      <w:hyperlink r:id="rId14" w:history="1">
        <w:r w:rsidRPr="00C81A10">
          <w:rPr>
            <w:rStyle w:val="Hyperlink"/>
            <w:rFonts w:asciiTheme="minorHAnsi" w:eastAsiaTheme="minorHAnsi" w:hAnsiTheme="minorHAnsi" w:cstheme="minorHAnsi"/>
            <w:sz w:val="20"/>
            <w:szCs w:val="20"/>
            <w:lang w:eastAsia="en-US"/>
          </w:rPr>
          <w:t>http://www.incb.org/incb/en/news/press-releases/2016/press_release181116.html</w:t>
        </w:r>
      </w:hyperlink>
    </w:p>
  </w:footnote>
  <w:footnote w:id="17">
    <w:p w14:paraId="62561EF6" w14:textId="77777777" w:rsidR="00CD4838" w:rsidRDefault="00CD4838" w:rsidP="00CD4838">
      <w:pPr>
        <w:pStyle w:val="FootnoteText"/>
      </w:pPr>
      <w:r>
        <w:rPr>
          <w:rStyle w:val="FootnoteReference"/>
        </w:rPr>
        <w:footnoteRef/>
      </w:r>
      <w:r>
        <w:t xml:space="preserve"> ASEAN Parliamentarians for Human Rights, ‘Regional MPs call on Philippine Counterparts to reject death penalty bill,’ 1 December 2016, </w:t>
      </w:r>
      <w:hyperlink r:id="rId15" w:history="1">
        <w:r w:rsidRPr="00176439">
          <w:rPr>
            <w:rStyle w:val="Hyperlink"/>
          </w:rPr>
          <w:t>http://aseanmp.org/2016/12/01/regional-mps-call-on-philippine-counterparts-to-reject-death-penalty-bill/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AD"/>
    <w:rsid w:val="00006A0E"/>
    <w:rsid w:val="00055A3C"/>
    <w:rsid w:val="000767A2"/>
    <w:rsid w:val="000C1508"/>
    <w:rsid w:val="000D2D95"/>
    <w:rsid w:val="0012217C"/>
    <w:rsid w:val="00142B33"/>
    <w:rsid w:val="00153956"/>
    <w:rsid w:val="0019614A"/>
    <w:rsid w:val="001A0FBB"/>
    <w:rsid w:val="001B3335"/>
    <w:rsid w:val="001E1FA6"/>
    <w:rsid w:val="001E4EF3"/>
    <w:rsid w:val="002267B4"/>
    <w:rsid w:val="002411F9"/>
    <w:rsid w:val="002434DC"/>
    <w:rsid w:val="002956EF"/>
    <w:rsid w:val="002B6240"/>
    <w:rsid w:val="002D752D"/>
    <w:rsid w:val="00315706"/>
    <w:rsid w:val="00356E4D"/>
    <w:rsid w:val="00394DAD"/>
    <w:rsid w:val="00401435"/>
    <w:rsid w:val="00436C7C"/>
    <w:rsid w:val="00472930"/>
    <w:rsid w:val="004A4F0F"/>
    <w:rsid w:val="004E4B3F"/>
    <w:rsid w:val="00510EB6"/>
    <w:rsid w:val="005242B8"/>
    <w:rsid w:val="00557F19"/>
    <w:rsid w:val="005F7CC3"/>
    <w:rsid w:val="00605613"/>
    <w:rsid w:val="006118D7"/>
    <w:rsid w:val="00646DF7"/>
    <w:rsid w:val="00655F78"/>
    <w:rsid w:val="00690095"/>
    <w:rsid w:val="00692B94"/>
    <w:rsid w:val="006B6B51"/>
    <w:rsid w:val="006E2893"/>
    <w:rsid w:val="007A319B"/>
    <w:rsid w:val="007A5519"/>
    <w:rsid w:val="008974BE"/>
    <w:rsid w:val="008B3748"/>
    <w:rsid w:val="008C45A8"/>
    <w:rsid w:val="009038BD"/>
    <w:rsid w:val="009160C1"/>
    <w:rsid w:val="00940165"/>
    <w:rsid w:val="009F37D5"/>
    <w:rsid w:val="00AA6C6E"/>
    <w:rsid w:val="00AF18C2"/>
    <w:rsid w:val="00B433EA"/>
    <w:rsid w:val="00B641A8"/>
    <w:rsid w:val="00B70107"/>
    <w:rsid w:val="00B94A02"/>
    <w:rsid w:val="00BC0C51"/>
    <w:rsid w:val="00BC13F4"/>
    <w:rsid w:val="00BF7F3C"/>
    <w:rsid w:val="00C14709"/>
    <w:rsid w:val="00C16FEA"/>
    <w:rsid w:val="00C63ECA"/>
    <w:rsid w:val="00C81A10"/>
    <w:rsid w:val="00CB5B20"/>
    <w:rsid w:val="00CD4838"/>
    <w:rsid w:val="00D015C5"/>
    <w:rsid w:val="00D22BEE"/>
    <w:rsid w:val="00D72197"/>
    <w:rsid w:val="00D9781A"/>
    <w:rsid w:val="00DC2D12"/>
    <w:rsid w:val="00DD541F"/>
    <w:rsid w:val="00E84A7F"/>
    <w:rsid w:val="00E86B75"/>
    <w:rsid w:val="00F53147"/>
    <w:rsid w:val="00F5494A"/>
    <w:rsid w:val="00F61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666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89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DAD"/>
    <w:pPr>
      <w:spacing w:after="0" w:line="240" w:lineRule="auto"/>
    </w:pPr>
  </w:style>
  <w:style w:type="paragraph" w:styleId="NormalWeb">
    <w:name w:val="Normal (Web)"/>
    <w:basedOn w:val="Normal"/>
    <w:uiPriority w:val="99"/>
    <w:unhideWhenUsed/>
    <w:rsid w:val="006E289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E2893"/>
    <w:rPr>
      <w:color w:val="0000FF"/>
      <w:u w:val="single"/>
    </w:rPr>
  </w:style>
  <w:style w:type="paragraph" w:styleId="FootnoteText">
    <w:name w:val="footnote text"/>
    <w:aliases w:val=" Char,Char,ft,Footnote Text1 Char,single space,single space Char,5_G"/>
    <w:basedOn w:val="Normal"/>
    <w:link w:val="FootnoteTextChar"/>
    <w:uiPriority w:val="99"/>
    <w:unhideWhenUsed/>
    <w:rsid w:val="006E2893"/>
    <w:pPr>
      <w:spacing w:after="0" w:line="240" w:lineRule="auto"/>
    </w:pPr>
    <w:rPr>
      <w:sz w:val="20"/>
      <w:szCs w:val="20"/>
    </w:rPr>
  </w:style>
  <w:style w:type="character" w:customStyle="1" w:styleId="FootnoteTextChar">
    <w:name w:val="Footnote Text Char"/>
    <w:aliases w:val=" Char Char,Char Char,ft Char,Footnote Text1 Char Char,single space Char1,single space Char Char,5_G Char"/>
    <w:basedOn w:val="DefaultParagraphFont"/>
    <w:link w:val="FootnoteText"/>
    <w:uiPriority w:val="99"/>
    <w:rsid w:val="006E2893"/>
    <w:rPr>
      <w:rFonts w:ascii="Calibri" w:eastAsia="Times New Roman" w:hAnsi="Calibri" w:cs="Times New Roman"/>
      <w:sz w:val="20"/>
      <w:szCs w:val="20"/>
      <w:lang w:eastAsia="en-GB"/>
    </w:rPr>
  </w:style>
  <w:style w:type="character" w:styleId="FootnoteReference">
    <w:name w:val="footnote reference"/>
    <w:aliases w:val="4_G"/>
    <w:basedOn w:val="DefaultParagraphFont"/>
    <w:uiPriority w:val="99"/>
    <w:unhideWhenUsed/>
    <w:rsid w:val="006E2893"/>
    <w:rPr>
      <w:vertAlign w:val="superscript"/>
    </w:rPr>
  </w:style>
  <w:style w:type="character" w:customStyle="1" w:styleId="apple-converted-space">
    <w:name w:val="apple-converted-space"/>
    <w:basedOn w:val="DefaultParagraphFont"/>
    <w:rsid w:val="006E2893"/>
  </w:style>
  <w:style w:type="character" w:styleId="FollowedHyperlink">
    <w:name w:val="FollowedHyperlink"/>
    <w:basedOn w:val="DefaultParagraphFont"/>
    <w:uiPriority w:val="99"/>
    <w:semiHidden/>
    <w:unhideWhenUsed/>
    <w:rsid w:val="00F5494A"/>
    <w:rPr>
      <w:color w:val="954F72" w:themeColor="followedHyperlink"/>
      <w:u w:val="single"/>
    </w:rPr>
  </w:style>
  <w:style w:type="paragraph" w:styleId="BalloonText">
    <w:name w:val="Balloon Text"/>
    <w:basedOn w:val="Normal"/>
    <w:link w:val="BalloonTextChar"/>
    <w:uiPriority w:val="99"/>
    <w:semiHidden/>
    <w:unhideWhenUsed/>
    <w:rsid w:val="000D2D9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2D95"/>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605613"/>
    <w:rPr>
      <w:sz w:val="18"/>
      <w:szCs w:val="18"/>
    </w:rPr>
  </w:style>
  <w:style w:type="paragraph" w:styleId="CommentText">
    <w:name w:val="annotation text"/>
    <w:basedOn w:val="Normal"/>
    <w:link w:val="CommentTextChar"/>
    <w:uiPriority w:val="99"/>
    <w:semiHidden/>
    <w:unhideWhenUsed/>
    <w:rsid w:val="00605613"/>
    <w:pPr>
      <w:spacing w:line="240" w:lineRule="auto"/>
    </w:pPr>
    <w:rPr>
      <w:sz w:val="24"/>
      <w:szCs w:val="24"/>
    </w:rPr>
  </w:style>
  <w:style w:type="character" w:customStyle="1" w:styleId="CommentTextChar">
    <w:name w:val="Comment Text Char"/>
    <w:basedOn w:val="DefaultParagraphFont"/>
    <w:link w:val="CommentText"/>
    <w:uiPriority w:val="99"/>
    <w:semiHidden/>
    <w:rsid w:val="00605613"/>
    <w:rPr>
      <w:rFonts w:ascii="Calibri" w:eastAsia="Times New Roman" w:hAnsi="Calibri"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05613"/>
    <w:rPr>
      <w:b/>
      <w:bCs/>
      <w:sz w:val="20"/>
      <w:szCs w:val="20"/>
    </w:rPr>
  </w:style>
  <w:style w:type="character" w:customStyle="1" w:styleId="CommentSubjectChar">
    <w:name w:val="Comment Subject Char"/>
    <w:basedOn w:val="CommentTextChar"/>
    <w:link w:val="CommentSubject"/>
    <w:uiPriority w:val="99"/>
    <w:semiHidden/>
    <w:rsid w:val="00605613"/>
    <w:rPr>
      <w:rFonts w:ascii="Calibri" w:eastAsia="Times New Roman" w:hAnsi="Calibri" w:cs="Times New Roman"/>
      <w:b/>
      <w:bCs/>
      <w:sz w:val="20"/>
      <w:szCs w:val="20"/>
      <w:lang w:eastAsia="en-GB"/>
    </w:rPr>
  </w:style>
  <w:style w:type="character" w:styleId="Strong">
    <w:name w:val="Strong"/>
    <w:basedOn w:val="DefaultParagraphFont"/>
    <w:uiPriority w:val="22"/>
    <w:qFormat/>
    <w:rsid w:val="00C8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opimenteloffice@yahoo.com" TargetMode="External"/><Relationship Id="rId3" Type="http://schemas.openxmlformats.org/officeDocument/2006/relationships/settings" Target="settings.xml"/><Relationship Id="rId7" Type="http://schemas.openxmlformats.org/officeDocument/2006/relationships/hyperlink" Target="mailto:speakerpda@congress.gov.p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ey.umali@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paic.org/index.php?option=com_content&amp;view=article&amp;id=382&amp;Itemid=813" TargetMode="External"/><Relationship Id="rId13" Type="http://schemas.openxmlformats.org/officeDocument/2006/relationships/hyperlink" Target="http://www.incb.org/documents/Publications/AnnualReports/Thematic_chapters/English/AR_2007_E_Chapter_I.pdf" TargetMode="External"/><Relationship Id="rId3" Type="http://schemas.openxmlformats.org/officeDocument/2006/relationships/hyperlink" Target="https://www.hri.global/what-is-harm-reduction" TargetMode="External"/><Relationship Id="rId7" Type="http://schemas.openxmlformats.org/officeDocument/2006/relationships/hyperlink" Target="https://www.cnb.gov.sg/drugsituationreport/drugsituationreport2015_copy1.aspx" TargetMode="External"/><Relationship Id="rId12" Type="http://schemas.openxmlformats.org/officeDocument/2006/relationships/hyperlink" Target="https://www.unodc.org/documents/commissions/CND/CND_Sessions/CND_57/_UNODC-ED-2014-1/UNODC-ED-2014-1_V1388514_E.pdf" TargetMode="External"/><Relationship Id="rId2" Type="http://schemas.openxmlformats.org/officeDocument/2006/relationships/hyperlink" Target="http://www.gov.ph/constitutions/1987-constitution/" TargetMode="External"/><Relationship Id="rId1" Type="http://schemas.openxmlformats.org/officeDocument/2006/relationships/hyperlink" Target="http://www.congress.gov.ph/legisdocs/basic_17/HB00001.pdf" TargetMode="External"/><Relationship Id="rId6" Type="http://schemas.openxmlformats.org/officeDocument/2006/relationships/hyperlink" Target="https://www.fidh.org/IMG/pdf/asia_death_penalty_drug_crimes_fidh_wcadp_report_oct_2015_pdf.pdf" TargetMode="External"/><Relationship Id="rId11" Type="http://schemas.openxmlformats.org/officeDocument/2006/relationships/hyperlink" Target="http://www.incb.org/incb/en/publications/annual-reports/annual-report-2014.html" TargetMode="External"/><Relationship Id="rId5" Type="http://schemas.openxmlformats.org/officeDocument/2006/relationships/hyperlink" Target="http://www.unodc.org/unodc/en/frontpage/2015/June/2015-world-drug-report-finds-drug-use-stable--access-to-drug-and-hiv-treatment-still-low.html?ref=fs1" TargetMode="External"/><Relationship Id="rId15" Type="http://schemas.openxmlformats.org/officeDocument/2006/relationships/hyperlink" Target="http://aseanmp.org/2016/12/01/regional-mps-call-on-philippine-counterparts-to-reject-death-penalty-bill/" TargetMode="External"/><Relationship Id="rId10" Type="http://schemas.openxmlformats.org/officeDocument/2006/relationships/hyperlink" Target="http://www.ohchr.org/EN/HRBodies/.../Session30/Documents/A_HRC_30_65_E.docx" TargetMode="External"/><Relationship Id="rId4" Type="http://schemas.openxmlformats.org/officeDocument/2006/relationships/hyperlink" Target="http://www.ihra.net/files/2012/11/27/HRI_-_2012_Death_Penalty_Report_-_FINAL.pdf" TargetMode="External"/><Relationship Id="rId9" Type="http://schemas.openxmlformats.org/officeDocument/2006/relationships/hyperlink" Target="http://www.deathpenaltyinfo.org/executed-possibly-innocent" TargetMode="External"/><Relationship Id="rId14" Type="http://schemas.openxmlformats.org/officeDocument/2006/relationships/hyperlink" Target="http://www.incb.org/incb/en/news/press-releases/2016/press_release1811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5079-4467-4D39-A992-2E93A6E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lai</dc:creator>
  <cp:keywords/>
  <dc:description/>
  <cp:lastModifiedBy>gloria lai</cp:lastModifiedBy>
  <cp:revision>3</cp:revision>
  <dcterms:created xsi:type="dcterms:W3CDTF">2016-12-01T08:20:00Z</dcterms:created>
  <dcterms:modified xsi:type="dcterms:W3CDTF">2016-12-01T08:23:00Z</dcterms:modified>
</cp:coreProperties>
</file>