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FE56" w14:textId="03AF3C8D" w:rsidR="007C10A7" w:rsidRDefault="00262DFA">
      <w:pPr>
        <w:pBdr>
          <w:top w:val="nil"/>
          <w:left w:val="nil"/>
          <w:bottom w:val="nil"/>
          <w:right w:val="nil"/>
          <w:between w:val="nil"/>
        </w:pBdr>
        <w:tabs>
          <w:tab w:val="center" w:pos="4680"/>
          <w:tab w:val="right" w:pos="9360"/>
        </w:tabs>
        <w:jc w:val="center"/>
        <w:rPr>
          <w:rFonts w:ascii="Calibri" w:eastAsia="Calibri" w:hAnsi="Calibri" w:cs="Calibri"/>
          <w:b/>
          <w:color w:val="000000"/>
          <w:sz w:val="32"/>
          <w:szCs w:val="32"/>
        </w:rPr>
      </w:pPr>
      <w:r>
        <w:rPr>
          <w:rFonts w:ascii="Calibri" w:eastAsia="Calibri" w:hAnsi="Calibri" w:cs="Calibri"/>
          <w:b/>
          <w:color w:val="000000"/>
          <w:sz w:val="32"/>
          <w:szCs w:val="32"/>
        </w:rPr>
        <w:t>CI-GEF/GCF PROJECT AGENCIES</w:t>
      </w:r>
    </w:p>
    <w:p w14:paraId="2DDCEB2E"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jc w:val="center"/>
        <w:rPr>
          <w:rFonts w:ascii="Calibri" w:eastAsia="Calibri" w:hAnsi="Calibri" w:cs="Calibri"/>
          <w:color w:val="000000"/>
          <w:sz w:val="32"/>
          <w:szCs w:val="32"/>
        </w:rPr>
      </w:pPr>
      <w:r>
        <w:rPr>
          <w:rFonts w:ascii="Calibri" w:eastAsia="Calibri" w:hAnsi="Calibri" w:cs="Calibri"/>
          <w:b/>
          <w:color w:val="000000"/>
          <w:sz w:val="32"/>
          <w:szCs w:val="32"/>
        </w:rPr>
        <w:t>CI-GEF GENDER MAINSTREAMING PLAN (GMP)</w:t>
      </w:r>
    </w:p>
    <w:p w14:paraId="0F37178F"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color w:val="000000"/>
        </w:rPr>
      </w:pPr>
    </w:p>
    <w:p w14:paraId="4F8F863D" w14:textId="77777777" w:rsidR="007C10A7" w:rsidRDefault="007C10A7">
      <w:pPr>
        <w:widowControl w:val="0"/>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Calibri" w:eastAsia="Calibri" w:hAnsi="Calibri" w:cs="Calibri"/>
          <w:b/>
          <w:color w:val="000000"/>
        </w:rPr>
      </w:pPr>
    </w:p>
    <w:p w14:paraId="501DC254" w14:textId="77777777" w:rsidR="007C10A7" w:rsidRDefault="00262DFA">
      <w:pPr>
        <w:widowControl w:val="0"/>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Calibri" w:eastAsia="Calibri" w:hAnsi="Calibri" w:cs="Calibri"/>
          <w:color w:val="000000"/>
          <w:sz w:val="28"/>
          <w:szCs w:val="28"/>
        </w:rPr>
      </w:pPr>
      <w:r>
        <w:rPr>
          <w:rFonts w:ascii="Calibri" w:eastAsia="Calibri" w:hAnsi="Calibri" w:cs="Calibri"/>
          <w:b/>
          <w:color w:val="000000"/>
          <w:sz w:val="28"/>
          <w:szCs w:val="28"/>
        </w:rPr>
        <w:t>SECTION I: Project Information</w:t>
      </w:r>
    </w:p>
    <w:p w14:paraId="20B4E723"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b/>
          <w:color w:val="000000"/>
        </w:rPr>
      </w:pPr>
    </w:p>
    <w:tbl>
      <w:tblPr>
        <w:tblStyle w:val="a3"/>
        <w:tblW w:w="10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1"/>
        <w:gridCol w:w="1912"/>
        <w:gridCol w:w="2003"/>
        <w:gridCol w:w="2322"/>
      </w:tblGrid>
      <w:tr w:rsidR="007C10A7" w14:paraId="2FFC6EA9" w14:textId="77777777">
        <w:trPr>
          <w:trHeight w:val="358"/>
        </w:trPr>
        <w:tc>
          <w:tcPr>
            <w:tcW w:w="3911" w:type="dxa"/>
            <w:shd w:val="clear" w:color="auto" w:fill="D5DCE4"/>
            <w:vAlign w:val="center"/>
          </w:tcPr>
          <w:p w14:paraId="5713DC4A"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PROJECT TITLE:</w:t>
            </w:r>
          </w:p>
        </w:tc>
        <w:tc>
          <w:tcPr>
            <w:tcW w:w="6237" w:type="dxa"/>
            <w:gridSpan w:val="3"/>
            <w:vAlign w:val="center"/>
          </w:tcPr>
          <w:p w14:paraId="2FF6F407" w14:textId="77777777" w:rsidR="007C10A7" w:rsidRDefault="00262DFA">
            <w:pPr>
              <w:ind w:left="227" w:hanging="227"/>
              <w:rPr>
                <w:b/>
                <w:color w:val="000000"/>
                <w:sz w:val="22"/>
                <w:szCs w:val="22"/>
              </w:rPr>
            </w:pPr>
            <w:r>
              <w:rPr>
                <w:sz w:val="22"/>
                <w:szCs w:val="22"/>
              </w:rPr>
              <w:t>Building the next generation LDN investment pipeline through national Technical Assistance Hubs</w:t>
            </w:r>
          </w:p>
        </w:tc>
      </w:tr>
      <w:tr w:rsidR="007C10A7" w14:paraId="1009CEA6" w14:textId="77777777">
        <w:trPr>
          <w:trHeight w:val="358"/>
        </w:trPr>
        <w:tc>
          <w:tcPr>
            <w:tcW w:w="3911" w:type="dxa"/>
            <w:shd w:val="clear" w:color="auto" w:fill="D5DCE4"/>
            <w:vAlign w:val="center"/>
          </w:tcPr>
          <w:p w14:paraId="022E1321"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GEF/GCF PROJECT ID:</w:t>
            </w:r>
          </w:p>
        </w:tc>
        <w:tc>
          <w:tcPr>
            <w:tcW w:w="1912" w:type="dxa"/>
            <w:vAlign w:val="center"/>
          </w:tcPr>
          <w:p w14:paraId="3CA08246" w14:textId="77777777" w:rsidR="007C10A7" w:rsidRDefault="00262DFA">
            <w:pPr>
              <w:ind w:left="227" w:hanging="227"/>
              <w:rPr>
                <w:b/>
                <w:color w:val="000000"/>
                <w:sz w:val="22"/>
                <w:szCs w:val="22"/>
              </w:rPr>
            </w:pPr>
            <w:r>
              <w:rPr>
                <w:sz w:val="22"/>
                <w:szCs w:val="22"/>
              </w:rPr>
              <w:t>11006</w:t>
            </w:r>
          </w:p>
        </w:tc>
        <w:tc>
          <w:tcPr>
            <w:tcW w:w="2003" w:type="dxa"/>
            <w:shd w:val="clear" w:color="auto" w:fill="D5DCE4"/>
            <w:vAlign w:val="center"/>
          </w:tcPr>
          <w:p w14:paraId="74B2947D"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center"/>
              <w:rPr>
                <w:b/>
                <w:color w:val="000000"/>
                <w:sz w:val="22"/>
                <w:szCs w:val="22"/>
              </w:rPr>
            </w:pPr>
            <w:r>
              <w:rPr>
                <w:b/>
                <w:color w:val="000000"/>
                <w:sz w:val="22"/>
                <w:szCs w:val="22"/>
              </w:rPr>
              <w:t>PROJECT DURATION:</w:t>
            </w:r>
          </w:p>
        </w:tc>
        <w:tc>
          <w:tcPr>
            <w:tcW w:w="2322" w:type="dxa"/>
            <w:vAlign w:val="center"/>
          </w:tcPr>
          <w:p w14:paraId="01F7872F"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rPr>
                <w:color w:val="000000"/>
                <w:sz w:val="22"/>
                <w:szCs w:val="22"/>
              </w:rPr>
            </w:pPr>
            <w:r>
              <w:rPr>
                <w:sz w:val="22"/>
                <w:szCs w:val="22"/>
              </w:rPr>
              <w:t xml:space="preserve">36 </w:t>
            </w:r>
            <w:r>
              <w:rPr>
                <w:color w:val="000000"/>
                <w:sz w:val="22"/>
                <w:szCs w:val="22"/>
              </w:rPr>
              <w:t>months</w:t>
            </w:r>
          </w:p>
        </w:tc>
      </w:tr>
      <w:tr w:rsidR="007C10A7" w14:paraId="6AC31970" w14:textId="77777777">
        <w:trPr>
          <w:trHeight w:val="358"/>
        </w:trPr>
        <w:tc>
          <w:tcPr>
            <w:tcW w:w="3911" w:type="dxa"/>
            <w:shd w:val="clear" w:color="auto" w:fill="D5DCE4"/>
            <w:vAlign w:val="center"/>
          </w:tcPr>
          <w:p w14:paraId="63496F1A"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EXECUTING AGENCY/ENTITY:</w:t>
            </w:r>
          </w:p>
        </w:tc>
        <w:tc>
          <w:tcPr>
            <w:tcW w:w="6237" w:type="dxa"/>
            <w:gridSpan w:val="3"/>
            <w:vAlign w:val="center"/>
          </w:tcPr>
          <w:p w14:paraId="13381D27"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rPr>
                <w:color w:val="000000"/>
                <w:sz w:val="22"/>
                <w:szCs w:val="22"/>
              </w:rPr>
            </w:pPr>
            <w:r>
              <w:rPr>
                <w:sz w:val="22"/>
                <w:szCs w:val="22"/>
              </w:rPr>
              <w:t>IDH</w:t>
            </w:r>
          </w:p>
        </w:tc>
      </w:tr>
      <w:tr w:rsidR="007C10A7" w14:paraId="7DD5F7C4" w14:textId="77777777">
        <w:trPr>
          <w:trHeight w:val="358"/>
        </w:trPr>
        <w:tc>
          <w:tcPr>
            <w:tcW w:w="3911" w:type="dxa"/>
            <w:shd w:val="clear" w:color="auto" w:fill="D5DCE4"/>
            <w:vAlign w:val="center"/>
          </w:tcPr>
          <w:p w14:paraId="59B3C756"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PROJECT ANTICIPATED START DATE</w:t>
            </w:r>
            <w:r>
              <w:rPr>
                <w:b/>
                <w:i/>
                <w:color w:val="000000"/>
                <w:sz w:val="22"/>
                <w:szCs w:val="22"/>
              </w:rPr>
              <w:t>:</w:t>
            </w:r>
          </w:p>
        </w:tc>
        <w:tc>
          <w:tcPr>
            <w:tcW w:w="1912" w:type="dxa"/>
            <w:vAlign w:val="center"/>
          </w:tcPr>
          <w:p w14:paraId="60F30C6D" w14:textId="77777777" w:rsidR="007C10A7" w:rsidRDefault="00262DFA">
            <w:pPr>
              <w:widowControl w:val="0"/>
              <w:ind w:left="227" w:hanging="227"/>
              <w:rPr>
                <w:color w:val="000000"/>
                <w:sz w:val="22"/>
                <w:szCs w:val="22"/>
              </w:rPr>
            </w:pPr>
            <w:r>
              <w:rPr>
                <w:i/>
                <w:sz w:val="22"/>
                <w:szCs w:val="22"/>
              </w:rPr>
              <w:t>TBD</w:t>
            </w:r>
          </w:p>
        </w:tc>
        <w:tc>
          <w:tcPr>
            <w:tcW w:w="2003" w:type="dxa"/>
            <w:shd w:val="clear" w:color="auto" w:fill="D5DCE4"/>
            <w:vAlign w:val="center"/>
          </w:tcPr>
          <w:p w14:paraId="673097CC"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center"/>
              <w:rPr>
                <w:color w:val="000000"/>
                <w:sz w:val="22"/>
                <w:szCs w:val="22"/>
              </w:rPr>
            </w:pPr>
            <w:r>
              <w:rPr>
                <w:b/>
                <w:color w:val="000000"/>
                <w:sz w:val="22"/>
                <w:szCs w:val="22"/>
              </w:rPr>
              <w:t>PROJECT END DATE</w:t>
            </w:r>
            <w:r>
              <w:rPr>
                <w:b/>
                <w:i/>
                <w:color w:val="000000"/>
                <w:sz w:val="22"/>
                <w:szCs w:val="22"/>
              </w:rPr>
              <w:t>:</w:t>
            </w:r>
          </w:p>
        </w:tc>
        <w:tc>
          <w:tcPr>
            <w:tcW w:w="2322" w:type="dxa"/>
            <w:vAlign w:val="center"/>
          </w:tcPr>
          <w:p w14:paraId="4E3C6405" w14:textId="77777777" w:rsidR="007C10A7" w:rsidRDefault="00262DFA">
            <w:pPr>
              <w:widowControl w:val="0"/>
              <w:ind w:left="227" w:hanging="227"/>
              <w:rPr>
                <w:color w:val="000000"/>
                <w:sz w:val="22"/>
                <w:szCs w:val="22"/>
              </w:rPr>
            </w:pPr>
            <w:r>
              <w:rPr>
                <w:i/>
                <w:sz w:val="22"/>
                <w:szCs w:val="22"/>
              </w:rPr>
              <w:t>TBD</w:t>
            </w:r>
          </w:p>
        </w:tc>
      </w:tr>
      <w:tr w:rsidR="007C10A7" w14:paraId="6BBF4B20" w14:textId="77777777">
        <w:trPr>
          <w:trHeight w:val="358"/>
        </w:trPr>
        <w:tc>
          <w:tcPr>
            <w:tcW w:w="3911" w:type="dxa"/>
            <w:shd w:val="clear" w:color="auto" w:fill="D5DCE4"/>
            <w:vAlign w:val="center"/>
          </w:tcPr>
          <w:p w14:paraId="148F263F"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GMP PREPARED BY:</w:t>
            </w:r>
          </w:p>
        </w:tc>
        <w:tc>
          <w:tcPr>
            <w:tcW w:w="6237" w:type="dxa"/>
            <w:gridSpan w:val="3"/>
            <w:vAlign w:val="center"/>
          </w:tcPr>
          <w:p w14:paraId="52BB0518" w14:textId="77777777" w:rsidR="007C10A7" w:rsidRDefault="00262DFA">
            <w:pPr>
              <w:widowControl w:val="0"/>
              <w:ind w:left="227" w:hanging="227"/>
              <w:rPr>
                <w:color w:val="000000"/>
                <w:sz w:val="22"/>
                <w:szCs w:val="22"/>
              </w:rPr>
            </w:pPr>
            <w:r>
              <w:rPr>
                <w:sz w:val="22"/>
                <w:szCs w:val="22"/>
              </w:rPr>
              <w:t>Jim Stephenson &amp; Izzy Brown (</w:t>
            </w:r>
            <w:proofErr w:type="spellStart"/>
            <w:r>
              <w:rPr>
                <w:sz w:val="22"/>
                <w:szCs w:val="22"/>
              </w:rPr>
              <w:t>Terranomics</w:t>
            </w:r>
            <w:proofErr w:type="spellEnd"/>
            <w:r>
              <w:rPr>
                <w:sz w:val="22"/>
                <w:szCs w:val="22"/>
              </w:rPr>
              <w:t xml:space="preserve"> Limited) and Nienke Stam and Ari Nova Firnanda (IDH)</w:t>
            </w:r>
          </w:p>
        </w:tc>
      </w:tr>
      <w:tr w:rsidR="007C10A7" w14:paraId="0DACC9BF" w14:textId="77777777">
        <w:trPr>
          <w:trHeight w:val="358"/>
        </w:trPr>
        <w:tc>
          <w:tcPr>
            <w:tcW w:w="3911" w:type="dxa"/>
            <w:shd w:val="clear" w:color="auto" w:fill="D5DCE4"/>
            <w:vAlign w:val="center"/>
          </w:tcPr>
          <w:p w14:paraId="24B1E990"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DATE OF (RE)SUBMISSION TO CI-GEF/GCF:</w:t>
            </w:r>
          </w:p>
        </w:tc>
        <w:tc>
          <w:tcPr>
            <w:tcW w:w="6237" w:type="dxa"/>
            <w:gridSpan w:val="3"/>
            <w:vAlign w:val="center"/>
          </w:tcPr>
          <w:p w14:paraId="5859F22F" w14:textId="2EC6F736" w:rsidR="007C10A7" w:rsidRDefault="00633FD9">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rPr>
                <w:b/>
                <w:color w:val="000000"/>
                <w:sz w:val="22"/>
                <w:szCs w:val="22"/>
              </w:rPr>
            </w:pPr>
            <w:r>
              <w:rPr>
                <w:sz w:val="22"/>
                <w:szCs w:val="22"/>
              </w:rPr>
              <w:t>9</w:t>
            </w:r>
            <w:r w:rsidR="00262DFA">
              <w:rPr>
                <w:sz w:val="22"/>
                <w:szCs w:val="22"/>
              </w:rPr>
              <w:t xml:space="preserve">/12/22; </w:t>
            </w:r>
            <w:r>
              <w:rPr>
                <w:sz w:val="22"/>
                <w:szCs w:val="22"/>
              </w:rPr>
              <w:t xml:space="preserve">23/12/22; </w:t>
            </w:r>
            <w:r w:rsidR="00262DFA">
              <w:rPr>
                <w:sz w:val="22"/>
                <w:szCs w:val="22"/>
              </w:rPr>
              <w:t>13/02/23</w:t>
            </w:r>
          </w:p>
        </w:tc>
      </w:tr>
      <w:tr w:rsidR="007C10A7" w14:paraId="3B80782E" w14:textId="77777777">
        <w:trPr>
          <w:trHeight w:val="358"/>
        </w:trPr>
        <w:tc>
          <w:tcPr>
            <w:tcW w:w="3911" w:type="dxa"/>
            <w:shd w:val="clear" w:color="auto" w:fill="D5DCE4"/>
            <w:vAlign w:val="center"/>
          </w:tcPr>
          <w:p w14:paraId="38C4619B"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GMP APPROVED BY:</w:t>
            </w:r>
          </w:p>
        </w:tc>
        <w:tc>
          <w:tcPr>
            <w:tcW w:w="6237" w:type="dxa"/>
            <w:gridSpan w:val="3"/>
            <w:vAlign w:val="center"/>
          </w:tcPr>
          <w:p w14:paraId="60E13A25" w14:textId="22949522"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both"/>
              <w:rPr>
                <w:color w:val="000000"/>
                <w:sz w:val="22"/>
                <w:szCs w:val="22"/>
              </w:rPr>
            </w:pPr>
            <w:r w:rsidRPr="00262DFA">
              <w:rPr>
                <w:color w:val="000000"/>
                <w:sz w:val="22"/>
                <w:szCs w:val="22"/>
              </w:rPr>
              <w:t>Ian Kissoon, Senior Director of ESMS, CI-GEF/GCF Agencies</w:t>
            </w:r>
          </w:p>
        </w:tc>
      </w:tr>
      <w:tr w:rsidR="007C10A7" w14:paraId="34CB9271" w14:textId="77777777">
        <w:trPr>
          <w:trHeight w:val="358"/>
        </w:trPr>
        <w:tc>
          <w:tcPr>
            <w:tcW w:w="3911" w:type="dxa"/>
            <w:shd w:val="clear" w:color="auto" w:fill="D5DCE4"/>
            <w:vAlign w:val="center"/>
          </w:tcPr>
          <w:p w14:paraId="4A8F5547"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DATE OF CI-GEF/GCF APPROVAL:</w:t>
            </w:r>
          </w:p>
        </w:tc>
        <w:tc>
          <w:tcPr>
            <w:tcW w:w="6237" w:type="dxa"/>
            <w:gridSpan w:val="3"/>
            <w:vAlign w:val="center"/>
          </w:tcPr>
          <w:p w14:paraId="77C75317" w14:textId="553580E1"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both"/>
              <w:rPr>
                <w:color w:val="000000"/>
                <w:sz w:val="22"/>
                <w:szCs w:val="22"/>
              </w:rPr>
            </w:pPr>
            <w:r>
              <w:rPr>
                <w:color w:val="000000"/>
                <w:sz w:val="22"/>
                <w:szCs w:val="22"/>
              </w:rPr>
              <w:t>February 14, 2023</w:t>
            </w:r>
          </w:p>
        </w:tc>
      </w:tr>
      <w:tr w:rsidR="007C10A7" w14:paraId="79AA3021" w14:textId="77777777">
        <w:trPr>
          <w:trHeight w:val="600"/>
        </w:trPr>
        <w:tc>
          <w:tcPr>
            <w:tcW w:w="3911" w:type="dxa"/>
            <w:shd w:val="clear" w:color="auto" w:fill="D5DCE4"/>
            <w:vAlign w:val="center"/>
          </w:tcPr>
          <w:p w14:paraId="00BDC0E9"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PERSON RESPONSIBLE FOR IMPLEMENTING AND MONITORING THE GMP:</w:t>
            </w:r>
          </w:p>
        </w:tc>
        <w:tc>
          <w:tcPr>
            <w:tcW w:w="6237" w:type="dxa"/>
            <w:gridSpan w:val="3"/>
            <w:vAlign w:val="center"/>
          </w:tcPr>
          <w:p w14:paraId="0A9E658B"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both"/>
              <w:rPr>
                <w:color w:val="000000"/>
                <w:sz w:val="22"/>
                <w:szCs w:val="22"/>
              </w:rPr>
            </w:pPr>
            <w:r>
              <w:rPr>
                <w:sz w:val="22"/>
                <w:szCs w:val="22"/>
              </w:rPr>
              <w:t>National Project Manager and Stakeholder Manager based in Colombia (name tbc, new staff)</w:t>
            </w:r>
          </w:p>
        </w:tc>
      </w:tr>
      <w:tr w:rsidR="007C10A7" w14:paraId="6E4AD6B0" w14:textId="77777777">
        <w:trPr>
          <w:trHeight w:val="461"/>
        </w:trPr>
        <w:tc>
          <w:tcPr>
            <w:tcW w:w="3911" w:type="dxa"/>
            <w:shd w:val="clear" w:color="auto" w:fill="D5DCE4"/>
            <w:vAlign w:val="center"/>
          </w:tcPr>
          <w:p w14:paraId="110554E5"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bookmarkStart w:id="0" w:name="_Hlk127276807"/>
            <w:r>
              <w:rPr>
                <w:b/>
                <w:color w:val="000000"/>
                <w:sz w:val="22"/>
                <w:szCs w:val="22"/>
              </w:rPr>
              <w:t>HOW/WHERE WILL THE APPROVED GMP BE DISCLOSED</w:t>
            </w:r>
            <w:r>
              <w:rPr>
                <w:b/>
                <w:color w:val="000000"/>
                <w:sz w:val="22"/>
                <w:szCs w:val="22"/>
                <w:vertAlign w:val="superscript"/>
              </w:rPr>
              <w:footnoteReference w:id="1"/>
            </w:r>
            <w:r>
              <w:rPr>
                <w:b/>
                <w:color w:val="000000"/>
                <w:sz w:val="22"/>
                <w:szCs w:val="22"/>
              </w:rPr>
              <w:t>:</w:t>
            </w:r>
            <w:bookmarkEnd w:id="0"/>
          </w:p>
        </w:tc>
        <w:tc>
          <w:tcPr>
            <w:tcW w:w="6237" w:type="dxa"/>
            <w:gridSpan w:val="3"/>
            <w:vAlign w:val="center"/>
          </w:tcPr>
          <w:p w14:paraId="14968A78" w14:textId="697776A7" w:rsidR="007C10A7" w:rsidRDefault="00637F23">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both"/>
              <w:rPr>
                <w:color w:val="000000"/>
                <w:sz w:val="22"/>
                <w:szCs w:val="22"/>
              </w:rPr>
            </w:pPr>
            <w:r>
              <w:rPr>
                <w:sz w:val="22"/>
                <w:szCs w:val="22"/>
              </w:rPr>
              <w:t>The EA will</w:t>
            </w:r>
            <w:r>
              <w:t xml:space="preserve"> share the GMP during</w:t>
            </w:r>
            <w:r w:rsidRPr="00637F23">
              <w:rPr>
                <w:sz w:val="22"/>
                <w:szCs w:val="22"/>
              </w:rPr>
              <w:t xml:space="preserve"> the kick -off meeting</w:t>
            </w:r>
            <w:r>
              <w:rPr>
                <w:sz w:val="22"/>
                <w:szCs w:val="22"/>
              </w:rPr>
              <w:t>,</w:t>
            </w:r>
            <w:r w:rsidRPr="00637F23">
              <w:rPr>
                <w:sz w:val="22"/>
                <w:szCs w:val="22"/>
              </w:rPr>
              <w:t xml:space="preserve"> at the beginning of the implementation phase</w:t>
            </w:r>
            <w:r>
              <w:rPr>
                <w:sz w:val="22"/>
                <w:szCs w:val="22"/>
              </w:rPr>
              <w:t>, at the Colombia based stakeholder workshops and online webinars</w:t>
            </w:r>
            <w:r w:rsidRPr="00637F23">
              <w:rPr>
                <w:sz w:val="22"/>
                <w:szCs w:val="22"/>
              </w:rPr>
              <w:t>.</w:t>
            </w:r>
            <w:r>
              <w:rPr>
                <w:sz w:val="22"/>
                <w:szCs w:val="22"/>
              </w:rPr>
              <w:t xml:space="preserve"> The GMP will also be d</w:t>
            </w:r>
            <w:r w:rsidR="00262DFA">
              <w:rPr>
                <w:sz w:val="22"/>
                <w:szCs w:val="22"/>
              </w:rPr>
              <w:t>isclosed on the CI-GEF Agency website.</w:t>
            </w:r>
          </w:p>
        </w:tc>
      </w:tr>
      <w:tr w:rsidR="007C10A7" w14:paraId="122DC008" w14:textId="77777777">
        <w:trPr>
          <w:trHeight w:val="455"/>
        </w:trPr>
        <w:tc>
          <w:tcPr>
            <w:tcW w:w="3911" w:type="dxa"/>
            <w:shd w:val="clear" w:color="auto" w:fill="D5DCE4"/>
            <w:vAlign w:val="center"/>
          </w:tcPr>
          <w:p w14:paraId="481B0783"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WHEN WILL THE APPROVED GMP BE DISCLOSED:</w:t>
            </w:r>
          </w:p>
        </w:tc>
        <w:tc>
          <w:tcPr>
            <w:tcW w:w="6237" w:type="dxa"/>
            <w:gridSpan w:val="3"/>
            <w:vAlign w:val="center"/>
          </w:tcPr>
          <w:p w14:paraId="4FFC03E1"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227" w:hanging="227"/>
              <w:jc w:val="both"/>
              <w:rPr>
                <w:color w:val="000000"/>
                <w:sz w:val="22"/>
                <w:szCs w:val="22"/>
              </w:rPr>
            </w:pPr>
            <w:r>
              <w:rPr>
                <w:color w:val="000000"/>
                <w:sz w:val="22"/>
                <w:szCs w:val="22"/>
              </w:rPr>
              <w:t>E.g. at the start of the implementation phase, before the end of the first quarter during implementation phase, etc.</w:t>
            </w:r>
          </w:p>
        </w:tc>
      </w:tr>
    </w:tbl>
    <w:p w14:paraId="002CBEF6" w14:textId="77777777" w:rsidR="007C10A7" w:rsidRDefault="00262DFA">
      <w:pPr>
        <w:pBdr>
          <w:bottom w:val="single" w:sz="4" w:space="1" w:color="000000"/>
        </w:pBdr>
        <w:spacing w:after="120"/>
        <w:rPr>
          <w:rFonts w:ascii="Calibri" w:eastAsia="Calibri" w:hAnsi="Calibri" w:cs="Calibri"/>
          <w:b/>
          <w:sz w:val="28"/>
          <w:szCs w:val="28"/>
        </w:rPr>
      </w:pPr>
      <w:r>
        <w:br w:type="page"/>
      </w:r>
      <w:r>
        <w:rPr>
          <w:rFonts w:ascii="Calibri" w:eastAsia="Calibri" w:hAnsi="Calibri" w:cs="Calibri"/>
          <w:b/>
          <w:sz w:val="28"/>
          <w:szCs w:val="28"/>
        </w:rPr>
        <w:lastRenderedPageBreak/>
        <w:t>SECTION II: Gender Analysis/Assessment</w:t>
      </w:r>
    </w:p>
    <w:p w14:paraId="4FA6A4DB"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b/>
          <w:color w:val="000000"/>
        </w:rPr>
      </w:pPr>
      <w:r>
        <w:rPr>
          <w:rFonts w:ascii="Calibri" w:eastAsia="Calibri" w:hAnsi="Calibri" w:cs="Calibri"/>
          <w:b/>
          <w:color w:val="000000"/>
        </w:rPr>
        <w:t>The general state of gender</w:t>
      </w:r>
    </w:p>
    <w:p w14:paraId="470F35F5"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b/>
          <w:highlight w:val="yellow"/>
        </w:rPr>
      </w:pPr>
    </w:p>
    <w:p w14:paraId="2D95DC69"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As Colombia is the only specific country identified for activities in Component 1, and Components 2 and 3 are global in nature, this gender analysis focuses on Colombia.</w:t>
      </w:r>
    </w:p>
    <w:p w14:paraId="69356AE7"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rPr>
      </w:pPr>
    </w:p>
    <w:p w14:paraId="41531A0D"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sz w:val="22"/>
          <w:szCs w:val="22"/>
        </w:rPr>
      </w:pPr>
      <w:r>
        <w:rPr>
          <w:rFonts w:ascii="Calibri" w:eastAsia="Calibri" w:hAnsi="Calibri" w:cs="Calibri"/>
          <w:i/>
          <w:sz w:val="22"/>
          <w:szCs w:val="22"/>
          <w:highlight w:val="white"/>
        </w:rPr>
        <w:t xml:space="preserve">Unless stated otherwise, all information contained in this section is derived from the </w:t>
      </w:r>
      <w:hyperlink r:id="rId8">
        <w:r>
          <w:rPr>
            <w:rFonts w:ascii="Calibri" w:eastAsia="Calibri" w:hAnsi="Calibri" w:cs="Calibri"/>
            <w:i/>
            <w:color w:val="1155CC"/>
            <w:sz w:val="22"/>
            <w:szCs w:val="22"/>
            <w:highlight w:val="white"/>
            <w:u w:val="single"/>
          </w:rPr>
          <w:t xml:space="preserve">OECD Library </w:t>
        </w:r>
      </w:hyperlink>
      <w:r>
        <w:rPr>
          <w:rFonts w:ascii="Calibri" w:eastAsia="Calibri" w:hAnsi="Calibri" w:cs="Calibri"/>
          <w:i/>
          <w:sz w:val="22"/>
          <w:szCs w:val="22"/>
        </w:rPr>
        <w:t>website under the themes of ‘Colombia’, ‘Ensuring equal opportunities for students across socio-economic backgrounds’, and ‘Overview of gender equality in Colombia’.</w:t>
      </w:r>
      <w:r>
        <w:rPr>
          <w:rFonts w:ascii="Calibri" w:eastAsia="Calibri" w:hAnsi="Calibri" w:cs="Calibri"/>
          <w:i/>
          <w:sz w:val="22"/>
          <w:szCs w:val="22"/>
          <w:vertAlign w:val="superscript"/>
        </w:rPr>
        <w:footnoteReference w:id="2"/>
      </w:r>
      <w:r>
        <w:rPr>
          <w:rFonts w:ascii="Calibri" w:eastAsia="Calibri" w:hAnsi="Calibri" w:cs="Calibri"/>
          <w:i/>
          <w:sz w:val="22"/>
          <w:szCs w:val="22"/>
        </w:rPr>
        <w:t xml:space="preserve"> </w:t>
      </w:r>
      <w:r>
        <w:rPr>
          <w:rFonts w:ascii="Calibri" w:eastAsia="Calibri" w:hAnsi="Calibri" w:cs="Calibri"/>
          <w:i/>
          <w:sz w:val="22"/>
          <w:szCs w:val="22"/>
          <w:vertAlign w:val="superscript"/>
        </w:rPr>
        <w:footnoteReference w:id="3"/>
      </w:r>
    </w:p>
    <w:p w14:paraId="2C1B4169"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rPr>
      </w:pPr>
    </w:p>
    <w:p w14:paraId="2CA92712" w14:textId="77777777" w:rsidR="007C10A7" w:rsidRDefault="00262DFA">
      <w:pP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 xml:space="preserve">According to the latest census recorded in Colombia, and published by the OECD, there are 25.17 million males (49.01 percent) and 26.09 (50.90 percent) million females in Colombia. Education patterns for gender in Colombia align with those across OECD countries, with women enrolling at higher numbers than men at 52 percent of the student population. In Colombia, women were more likely to receive tertiary education at 34 percent of 25-34-year-old women in 2020 compared to 26 percent of their male peers. However, women with tertiary education in Colombia have the lowest earnings relative to men with a similar education level, earning 80 percent as much, while men with below upper secondary education earn 87 percent more than women. </w:t>
      </w:r>
    </w:p>
    <w:p w14:paraId="704CB3C7" w14:textId="77777777" w:rsidR="007C10A7" w:rsidRDefault="007C10A7">
      <w:pPr>
        <w:tabs>
          <w:tab w:val="left" w:pos="0"/>
          <w:tab w:val="right" w:pos="73"/>
          <w:tab w:val="right" w:pos="1712"/>
          <w:tab w:val="right" w:pos="4160"/>
          <w:tab w:val="right" w:pos="6528"/>
          <w:tab w:val="right" w:pos="9384"/>
        </w:tabs>
        <w:jc w:val="both"/>
        <w:rPr>
          <w:rFonts w:ascii="Calibri" w:eastAsia="Calibri" w:hAnsi="Calibri" w:cs="Calibri"/>
          <w:sz w:val="22"/>
          <w:szCs w:val="22"/>
        </w:rPr>
      </w:pPr>
    </w:p>
    <w:p w14:paraId="4999DC1E" w14:textId="77777777" w:rsidR="007C10A7" w:rsidRDefault="00262DFA">
      <w:pPr>
        <w:shd w:val="clear" w:color="auto" w:fill="FFFFFF"/>
        <w:jc w:val="both"/>
        <w:rPr>
          <w:rFonts w:ascii="Calibri" w:eastAsia="Calibri" w:hAnsi="Calibri" w:cs="Calibri"/>
          <w:sz w:val="22"/>
          <w:szCs w:val="22"/>
          <w:vertAlign w:val="superscript"/>
        </w:rPr>
      </w:pPr>
      <w:r>
        <w:rPr>
          <w:rFonts w:ascii="Calibri" w:eastAsia="Calibri" w:hAnsi="Calibri" w:cs="Calibri"/>
          <w:sz w:val="22"/>
          <w:szCs w:val="22"/>
        </w:rPr>
        <w:t xml:space="preserve">Regarding economic rights, the percentage of women in monetary poverty for 2013 was 27.6 in urban areas and 44.5 in rural areas and in terms of remuneration, rural women earn on average 25 percent less than their male peers (conditions for the empowerment of rural women in Colombia); on the other hand, women's access to formal employment and their participation in the </w:t>
      </w:r>
      <w:proofErr w:type="spellStart"/>
      <w:r>
        <w:rPr>
          <w:rFonts w:ascii="Calibri" w:eastAsia="Calibri" w:hAnsi="Calibri" w:cs="Calibri"/>
          <w:sz w:val="22"/>
          <w:szCs w:val="22"/>
        </w:rPr>
        <w:t>labor</w:t>
      </w:r>
      <w:proofErr w:type="spellEnd"/>
      <w:r>
        <w:rPr>
          <w:rFonts w:ascii="Calibri" w:eastAsia="Calibri" w:hAnsi="Calibri" w:cs="Calibri"/>
          <w:sz w:val="22"/>
          <w:szCs w:val="22"/>
        </w:rPr>
        <w:t xml:space="preserve"> market, although it has been growing, is still limited. In 2013, the labour participation gap was 20.94 percent (compared to 26.63 percent in 2001); the unemployment gap was 5.30 percent (compared to 7.38 in 2001), and in 2012 gender wage gap was 23.28 percent (compared to 17.61 percent in 2002). </w:t>
      </w:r>
      <w:r>
        <w:rPr>
          <w:rFonts w:ascii="Calibri" w:eastAsia="Calibri" w:hAnsi="Calibri" w:cs="Calibri"/>
          <w:sz w:val="22"/>
          <w:szCs w:val="22"/>
          <w:vertAlign w:val="superscript"/>
        </w:rPr>
        <w:footnoteReference w:id="4"/>
      </w:r>
      <w:r>
        <w:rPr>
          <w:rFonts w:ascii="Calibri" w:eastAsia="Calibri" w:hAnsi="Calibri" w:cs="Calibri"/>
          <w:sz w:val="22"/>
          <w:szCs w:val="22"/>
        </w:rPr>
        <w:t xml:space="preserve"> Additionally, Women and girls aged 15 years and older dedicate at least 5 percent of their time to unpaid care and domestic work compared to 2.7 percent of men.</w:t>
      </w:r>
    </w:p>
    <w:p w14:paraId="2E9E4A6F" w14:textId="77777777" w:rsidR="007C10A7" w:rsidRDefault="007C10A7">
      <w:pPr>
        <w:tabs>
          <w:tab w:val="left" w:pos="0"/>
          <w:tab w:val="right" w:pos="73"/>
          <w:tab w:val="right" w:pos="1712"/>
          <w:tab w:val="right" w:pos="4160"/>
          <w:tab w:val="right" w:pos="6528"/>
          <w:tab w:val="right" w:pos="9384"/>
        </w:tabs>
        <w:jc w:val="both"/>
        <w:rPr>
          <w:rFonts w:ascii="Calibri" w:eastAsia="Calibri" w:hAnsi="Calibri" w:cs="Calibri"/>
          <w:i/>
          <w:sz w:val="22"/>
          <w:szCs w:val="22"/>
        </w:rPr>
      </w:pPr>
    </w:p>
    <w:p w14:paraId="099A4E82" w14:textId="77777777" w:rsidR="007C10A7" w:rsidRDefault="00262DFA">
      <w:pPr>
        <w:widowControl w:val="0"/>
        <w:tabs>
          <w:tab w:val="left" w:pos="0"/>
          <w:tab w:val="right" w:pos="73"/>
          <w:tab w:val="right" w:pos="1712"/>
          <w:tab w:val="right" w:pos="4160"/>
          <w:tab w:val="right" w:pos="6528"/>
          <w:tab w:val="right" w:pos="9384"/>
        </w:tabs>
        <w:jc w:val="both"/>
        <w:rPr>
          <w:rFonts w:ascii="Calibri" w:eastAsia="Calibri" w:hAnsi="Calibri" w:cs="Calibri"/>
          <w:sz w:val="22"/>
          <w:szCs w:val="22"/>
          <w:vertAlign w:val="superscript"/>
        </w:rPr>
      </w:pPr>
      <w:r>
        <w:rPr>
          <w:rFonts w:ascii="Calibri" w:eastAsia="Calibri" w:hAnsi="Calibri" w:cs="Calibri"/>
          <w:sz w:val="22"/>
          <w:szCs w:val="22"/>
        </w:rPr>
        <w:t xml:space="preserve">In rural settings, women in Colombia are at a large disadvantage, spending time completing unpaid labour hours. For example, rural women on average spend five hours a day collecting water and spend on average 19 hours more on housework per week than men. These domestic activities reflect the living conditions in rural Colombia as 39 percent of people live in poverty and 18 percent live in what is considered extreme poverty; a collection of supplies and cleaning reflects 85 percent of the rural population without sewerage system access, and 60 percent without potable water. Due to aspects such as lower education opportunities and time spent completing domestic activities, little time can be spent in a paid job therefore the average monthly salary of rural women is $76 (compared to $230 for urban women). </w:t>
      </w:r>
      <w:r>
        <w:rPr>
          <w:rFonts w:ascii="Calibri" w:eastAsia="Calibri" w:hAnsi="Calibri" w:cs="Calibri"/>
          <w:sz w:val="22"/>
          <w:szCs w:val="22"/>
          <w:vertAlign w:val="superscript"/>
        </w:rPr>
        <w:footnoteReference w:id="5"/>
      </w:r>
    </w:p>
    <w:p w14:paraId="7FC27DF5" w14:textId="77777777" w:rsidR="007C10A7" w:rsidRDefault="007C10A7">
      <w:pPr>
        <w:widowControl w:val="0"/>
        <w:tabs>
          <w:tab w:val="left" w:pos="0"/>
          <w:tab w:val="right" w:pos="73"/>
          <w:tab w:val="right" w:pos="1712"/>
          <w:tab w:val="right" w:pos="4160"/>
          <w:tab w:val="right" w:pos="6528"/>
          <w:tab w:val="right" w:pos="9384"/>
        </w:tabs>
        <w:jc w:val="both"/>
        <w:rPr>
          <w:rFonts w:ascii="Calibri" w:eastAsia="Calibri" w:hAnsi="Calibri" w:cs="Calibri"/>
          <w:sz w:val="22"/>
          <w:szCs w:val="22"/>
        </w:rPr>
      </w:pPr>
    </w:p>
    <w:p w14:paraId="63670AB3" w14:textId="77777777" w:rsidR="007C10A7" w:rsidRDefault="00262DFA">
      <w:pPr>
        <w:widowControl w:val="0"/>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 xml:space="preserve">Gender roles and stereotypes persist throughout Colombia, with some components of society revealing regressive attitudes in comparison to OECD countries. For example, Colombia’s 2019 regional elections revealed a regression in women’s political empowerment when only two women were elected governors </w:t>
      </w:r>
      <w:r>
        <w:rPr>
          <w:rFonts w:ascii="Calibri" w:eastAsia="Calibri" w:hAnsi="Calibri" w:cs="Calibri"/>
          <w:sz w:val="22"/>
          <w:szCs w:val="22"/>
        </w:rPr>
        <w:lastRenderedPageBreak/>
        <w:t>compared to five in 2015. At only 6.25 percent of the 30 departments governed by women for the 2020-2023 period, Colombia are disallowing women a platform for the political and leadership power necessary in the country's decision-making process. Furthermore, these attitudes are reinforced at an early age with traditional concepts of masculinity and femininity deeply rooted in a macho culture mentality. These attitudes persist in both domestic and labour settings with women implied to do almost all household chores whilst men are more commonly working and seen outside of the house. All duties that relate to household chores or feminine qualities are only just beginning to be quantified, but it is not remunerated, nor does it receive any social recognition. Moreover, the wage gap reaches the average figure of 19 percent in Colombia, and according to the DANE (National Statistics Department), there is a difference of more than five percentage points between the unemployment rates of men and women.</w:t>
      </w:r>
    </w:p>
    <w:p w14:paraId="0312680C"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rPr>
      </w:pPr>
    </w:p>
    <w:p w14:paraId="742E40DD" w14:textId="77777777" w:rsidR="007C10A7" w:rsidRDefault="00262DFA">
      <w:pP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 xml:space="preserve">Gender-based violence (GBV) is a point of concern in Colombia. According to United Nations statistics, approximately 12 percent of women aged 15- 49 years have reported being subject to physical and/or sexual violence by a current or former intimate partner in the previous 12 months. An important factor of GBV in Colombia has been the ongoing civil armed conflict. 8.8 million people have registered as victims of armed conflict, the majority of which have been subject to forced displacement of which 80 percent are women and children. Moreover, 87 percent of those involved in forced displacement have been from rural areas and 15.8 percent of women displaced due to armed conflict were victims of sexual violence. Indigenous and Afro-Colombian women are massively impacted by armed conflict, with 51.6 percent of indigenous women and 40.7 percent of Afro-Colombia women declared victims of conflict. Furthermore, of 3,445 cases of murder of indigenous and Afro-Colombian individuals, 65.5 percent of the victims were women. Yet there are few analyses of the conflict through the combined lenses of gender, ethnicity, and territoriality. </w:t>
      </w:r>
    </w:p>
    <w:p w14:paraId="2D7B5A72" w14:textId="77777777" w:rsidR="007C10A7" w:rsidRDefault="007C10A7">
      <w:pPr>
        <w:tabs>
          <w:tab w:val="left" w:pos="0"/>
          <w:tab w:val="right" w:pos="73"/>
          <w:tab w:val="right" w:pos="1712"/>
          <w:tab w:val="right" w:pos="4160"/>
          <w:tab w:val="right" w:pos="6528"/>
          <w:tab w:val="right" w:pos="9384"/>
        </w:tabs>
        <w:jc w:val="both"/>
        <w:rPr>
          <w:rFonts w:ascii="Calibri" w:eastAsia="Calibri" w:hAnsi="Calibri" w:cs="Calibri"/>
          <w:sz w:val="22"/>
          <w:szCs w:val="22"/>
        </w:rPr>
      </w:pPr>
    </w:p>
    <w:p w14:paraId="70499111" w14:textId="77777777" w:rsidR="007C10A7" w:rsidRDefault="00262DFA">
      <w:pPr>
        <w:tabs>
          <w:tab w:val="left" w:pos="0"/>
          <w:tab w:val="right" w:pos="73"/>
          <w:tab w:val="right" w:pos="1712"/>
          <w:tab w:val="right" w:pos="4160"/>
          <w:tab w:val="right" w:pos="6528"/>
          <w:tab w:val="right" w:pos="9384"/>
        </w:tabs>
        <w:jc w:val="both"/>
        <w:rPr>
          <w:rFonts w:ascii="Roboto" w:eastAsia="Roboto" w:hAnsi="Roboto" w:cs="Roboto"/>
          <w:color w:val="980000"/>
          <w:sz w:val="21"/>
          <w:szCs w:val="21"/>
        </w:rPr>
      </w:pPr>
      <w:r>
        <w:rPr>
          <w:rFonts w:ascii="Calibri" w:eastAsia="Calibri" w:hAnsi="Calibri" w:cs="Calibri"/>
          <w:sz w:val="22"/>
          <w:szCs w:val="22"/>
        </w:rPr>
        <w:t xml:space="preserve">In addition to armed conflict-based violence, women in Colombia are experiencing violence in everyday life, such as within their households. Furthermore, women face political, </w:t>
      </w:r>
      <w:proofErr w:type="spellStart"/>
      <w:r>
        <w:rPr>
          <w:rFonts w:ascii="Calibri" w:eastAsia="Calibri" w:hAnsi="Calibri" w:cs="Calibri"/>
          <w:sz w:val="22"/>
          <w:szCs w:val="22"/>
        </w:rPr>
        <w:t>economical</w:t>
      </w:r>
      <w:proofErr w:type="spellEnd"/>
      <w:r>
        <w:rPr>
          <w:rFonts w:ascii="Calibri" w:eastAsia="Calibri" w:hAnsi="Calibri" w:cs="Calibri"/>
          <w:sz w:val="22"/>
          <w:szCs w:val="22"/>
        </w:rPr>
        <w:t>, and cultural discrimination. For example, a World Bank study in 2014 found that only 34 percent of women over 15 years old held an account at a financial institution, compared to 43 percent of men</w:t>
      </w:r>
      <w:r>
        <w:rPr>
          <w:rFonts w:ascii="Calibri" w:eastAsia="Calibri" w:hAnsi="Calibri" w:cs="Calibri"/>
          <w:i/>
          <w:sz w:val="22"/>
          <w:szCs w:val="22"/>
        </w:rPr>
        <w:t xml:space="preserve">. </w:t>
      </w:r>
      <w:r>
        <w:rPr>
          <w:rFonts w:ascii="Calibri" w:eastAsia="Calibri" w:hAnsi="Calibri" w:cs="Calibri"/>
          <w:sz w:val="22"/>
          <w:szCs w:val="22"/>
        </w:rPr>
        <w:t xml:space="preserve">Households with female-heads display the highest rates of poverty, with those in rural areas being even more vulnerable. In addition to this, men in rural areas are much more common to be landowners with ownership certificates than women. This is because women face greater barriers in accessing land, although there is a lack of sex-disaggregated data and analysis, the third National Verification Survey of the Rights of Displaced Persons, carried out by the Monitoring Committee of Public Policy on Forced Displacement, notes a historical trend of lack of access to land for women. </w:t>
      </w:r>
      <w:r>
        <w:rPr>
          <w:rFonts w:ascii="Calibri" w:eastAsia="Calibri" w:hAnsi="Calibri" w:cs="Calibri"/>
          <w:sz w:val="22"/>
          <w:szCs w:val="22"/>
          <w:vertAlign w:val="superscript"/>
        </w:rPr>
        <w:footnoteReference w:id="6"/>
      </w:r>
    </w:p>
    <w:p w14:paraId="514F2838" w14:textId="77777777" w:rsidR="007C10A7" w:rsidRDefault="007C10A7"/>
    <w:p w14:paraId="64C6CDAC" w14:textId="77777777" w:rsidR="007C10A7" w:rsidRDefault="00262DFA">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Project-level gender considerations</w:t>
      </w:r>
    </w:p>
    <w:p w14:paraId="39CD3DD0" w14:textId="77777777" w:rsidR="007C10A7" w:rsidRDefault="007C10A7">
      <w:pPr>
        <w:pBdr>
          <w:top w:val="nil"/>
          <w:left w:val="nil"/>
          <w:bottom w:val="nil"/>
          <w:right w:val="nil"/>
          <w:between w:val="nil"/>
        </w:pBdr>
        <w:rPr>
          <w:rFonts w:ascii="Calibri" w:eastAsia="Calibri" w:hAnsi="Calibri" w:cs="Calibri"/>
          <w:i/>
          <w:color w:val="000000"/>
          <w:sz w:val="22"/>
          <w:szCs w:val="22"/>
        </w:rPr>
      </w:pPr>
    </w:p>
    <w:p w14:paraId="11C937D8" w14:textId="77777777" w:rsidR="007C10A7" w:rsidRDefault="00262DFA">
      <w:pPr>
        <w:numPr>
          <w:ilvl w:val="0"/>
          <w:numId w:val="4"/>
        </w:numPr>
        <w:pBdr>
          <w:top w:val="nil"/>
          <w:left w:val="nil"/>
          <w:bottom w:val="nil"/>
          <w:right w:val="nil"/>
          <w:between w:val="nil"/>
        </w:pBdr>
        <w:ind w:left="420"/>
        <w:rPr>
          <w:rFonts w:ascii="Calibri" w:eastAsia="Calibri" w:hAnsi="Calibri" w:cs="Calibri"/>
          <w:i/>
          <w:color w:val="000000"/>
          <w:sz w:val="22"/>
          <w:szCs w:val="22"/>
        </w:rPr>
      </w:pPr>
      <w:r>
        <w:rPr>
          <w:rFonts w:ascii="Calibri" w:eastAsia="Calibri" w:hAnsi="Calibri" w:cs="Calibri"/>
          <w:i/>
          <w:color w:val="000000"/>
          <w:sz w:val="22"/>
          <w:szCs w:val="22"/>
        </w:rPr>
        <w:t>How do women and men currently utilize the natural resources that this project impacts? How might that change during and after the project?</w:t>
      </w:r>
    </w:p>
    <w:p w14:paraId="6F7026CB"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3C8D24F8"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Gender gaps exist in terms of women's overall well-being and that of their families, especially in terms of food security and access and control over resources caused by barriers to land ownership and the availability of economic opportunities. Land distribution in Colombia is highly inequitable, with an estimated 0.4 percent of the population owning 62 percent of the country’s best land. Upward of 68 percent of the rural population lives below the official poverty level. </w:t>
      </w:r>
      <w:r>
        <w:rPr>
          <w:rFonts w:ascii="Calibri" w:eastAsia="Calibri" w:hAnsi="Calibri" w:cs="Calibri"/>
          <w:color w:val="000000"/>
          <w:sz w:val="22"/>
          <w:szCs w:val="22"/>
          <w:vertAlign w:val="superscript"/>
        </w:rPr>
        <w:footnoteReference w:id="7"/>
      </w:r>
    </w:p>
    <w:p w14:paraId="0DD0153D" w14:textId="77777777" w:rsidR="007C10A7" w:rsidRDefault="00262DFA">
      <w:pPr>
        <w:pBdr>
          <w:top w:val="nil"/>
          <w:left w:val="nil"/>
          <w:bottom w:val="nil"/>
          <w:right w:val="nil"/>
          <w:between w:val="nil"/>
        </w:pBdr>
        <w:shd w:val="clear" w:color="auto" w:fill="FFFFFF"/>
        <w:jc w:val="both"/>
        <w:rPr>
          <w:color w:val="000000"/>
        </w:rPr>
      </w:pPr>
      <w:r>
        <w:rPr>
          <w:color w:val="000000"/>
        </w:rPr>
        <w:t> </w:t>
      </w:r>
    </w:p>
    <w:p w14:paraId="02CB8228"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lastRenderedPageBreak/>
        <w:t>Women are poorly linked to land ownership in Colombia. Traditionally both men and women in the countryside consider land-use work such as agriculture to be a male activity, in addition to land as being the property of men. For instance, it is frequently reported that widows may not know the exact locality of the parcel or the position of its boundaries. This uncertainty is heightened in the times following conflict as the informality of land rights and tenure is prevalent throughout Colombia. Many landowners and households do not have documentation of ownership or rental.</w:t>
      </w:r>
      <w:r>
        <w:rPr>
          <w:rFonts w:ascii="Calibri" w:eastAsia="Calibri" w:hAnsi="Calibri" w:cs="Calibri"/>
          <w:color w:val="000000"/>
          <w:sz w:val="22"/>
          <w:szCs w:val="22"/>
          <w:vertAlign w:val="superscript"/>
        </w:rPr>
        <w:footnoteReference w:id="8"/>
      </w:r>
    </w:p>
    <w:p w14:paraId="544CE676"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253223F9"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Women and men interact in different ways with natural resources and the care economy, both in unpaid activities in the household (e.g. managing water, energy and food) and in income-generating activities inside or outside the household (e.g. land tenure and agricultural work). This is a result of culture and traditions, but it also has to do with their relationships with the territory, the environment and biodiversity. For example, the use of forest resources differs for women and men who traditionally have different specialized knowledge of forest ecosystems and management practices. Women play important roles in agroecology, ensuring family food security, the use of medicinal plants, handicraft production and transmitting forest knowledge to the next generation. Women are more often interacting with resources for domestic work such as wood, water and production (egg and milk) collection which are often unpaid and for family security rather than a business. Whilst men often work as decision-makers in businesses from entrepreneurial and management work </w:t>
      </w:r>
      <w:proofErr w:type="spellStart"/>
      <w:r>
        <w:rPr>
          <w:rFonts w:ascii="Calibri" w:eastAsia="Calibri" w:hAnsi="Calibri" w:cs="Calibri"/>
          <w:color w:val="000000"/>
          <w:sz w:val="22"/>
          <w:szCs w:val="22"/>
        </w:rPr>
        <w:t>to</w:t>
      </w:r>
      <w:proofErr w:type="spellEnd"/>
      <w:r>
        <w:rPr>
          <w:rFonts w:ascii="Calibri" w:eastAsia="Calibri" w:hAnsi="Calibri" w:cs="Calibri"/>
          <w:color w:val="000000"/>
          <w:sz w:val="22"/>
          <w:szCs w:val="22"/>
        </w:rPr>
        <w:t xml:space="preserve"> hard labour as employees in extractive industries, such as timber, cash crops and livestock.</w:t>
      </w:r>
      <w:r>
        <w:rPr>
          <w:rFonts w:ascii="Calibri" w:eastAsia="Calibri" w:hAnsi="Calibri" w:cs="Calibri"/>
          <w:color w:val="000000"/>
          <w:sz w:val="22"/>
          <w:szCs w:val="22"/>
          <w:vertAlign w:val="superscript"/>
        </w:rPr>
        <w:footnoteReference w:id="9"/>
      </w:r>
      <w:r>
        <w:rPr>
          <w:rFonts w:ascii="Calibri" w:eastAsia="Calibri" w:hAnsi="Calibri" w:cs="Calibri"/>
          <w:color w:val="000000"/>
          <w:sz w:val="22"/>
          <w:szCs w:val="22"/>
        </w:rPr>
        <w:t xml:space="preserve"> </w:t>
      </w:r>
      <w:r>
        <w:rPr>
          <w:rFonts w:ascii="Calibri" w:eastAsia="Calibri" w:hAnsi="Calibri" w:cs="Calibri"/>
          <w:color w:val="000000"/>
          <w:sz w:val="22"/>
          <w:szCs w:val="22"/>
          <w:vertAlign w:val="superscript"/>
        </w:rPr>
        <w:footnoteReference w:id="10"/>
      </w:r>
    </w:p>
    <w:p w14:paraId="0F9ACF8B"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4118B0EF"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According to </w:t>
      </w:r>
      <w:proofErr w:type="spellStart"/>
      <w:r>
        <w:rPr>
          <w:rFonts w:ascii="Calibri" w:eastAsia="Calibri" w:hAnsi="Calibri" w:cs="Calibri"/>
          <w:color w:val="000000"/>
          <w:sz w:val="22"/>
          <w:szCs w:val="22"/>
        </w:rPr>
        <w:t>Fedecacao</w:t>
      </w:r>
      <w:proofErr w:type="spellEnd"/>
      <w:r>
        <w:rPr>
          <w:rFonts w:ascii="Calibri" w:eastAsia="Calibri" w:hAnsi="Calibri" w:cs="Calibri"/>
          <w:color w:val="000000"/>
          <w:sz w:val="22"/>
          <w:szCs w:val="22"/>
        </w:rPr>
        <w:t>, only 23.3 percent of cocoa farmers are women, compared to 76.7 percent of men who are engaged in this activity. Further, The Foundation for the Development of Canada, states that 31 percent of women working in agriculture in Colombia are considered family helpers without wages. These numbers coincide with the indicators reflected in the current regions of TCE. </w:t>
      </w:r>
    </w:p>
    <w:p w14:paraId="6B488575"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5834C207"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IDH-Colombia is currently working in the Colombian regions of </w:t>
      </w:r>
      <w:proofErr w:type="spellStart"/>
      <w:r>
        <w:rPr>
          <w:rFonts w:ascii="Calibri" w:eastAsia="Calibri" w:hAnsi="Calibri" w:cs="Calibri"/>
          <w:color w:val="000000"/>
          <w:sz w:val="22"/>
          <w:szCs w:val="22"/>
        </w:rPr>
        <w:t>Hulia</w:t>
      </w:r>
      <w:proofErr w:type="spellEnd"/>
      <w:r>
        <w:rPr>
          <w:rFonts w:ascii="Calibri" w:eastAsia="Calibri" w:hAnsi="Calibri" w:cs="Calibri"/>
          <w:color w:val="000000"/>
          <w:sz w:val="22"/>
          <w:szCs w:val="22"/>
        </w:rPr>
        <w:t>, Cesar and Magdalena, and within the supply chains, they recognised the following:</w:t>
      </w:r>
    </w:p>
    <w:p w14:paraId="7B046F5D"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74314768"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u w:val="single"/>
        </w:rPr>
        <w:t>Department of Huila</w:t>
      </w:r>
    </w:p>
    <w:p w14:paraId="218D4E1B"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The participation of women in cacao post-harvest activities can be highly relevant for the quality of the product, but the lack of training and the economic nonremuneration of this activity means that their contribution is not valued enough. Additionally, the prevailing macho culture in Huila families is a factor that affects women's participation in household economic activities. Although Huila has the potential to be a 100 percent exporting territory of Fine </w:t>
      </w:r>
      <w:proofErr w:type="spellStart"/>
      <w:r>
        <w:rPr>
          <w:rFonts w:ascii="Calibri" w:eastAsia="Calibri" w:hAnsi="Calibri" w:cs="Calibri"/>
          <w:color w:val="000000"/>
          <w:sz w:val="22"/>
          <w:szCs w:val="22"/>
        </w:rPr>
        <w:t>Flavor</w:t>
      </w:r>
      <w:proofErr w:type="spellEnd"/>
      <w:r>
        <w:rPr>
          <w:rFonts w:ascii="Calibri" w:eastAsia="Calibri" w:hAnsi="Calibri" w:cs="Calibri"/>
          <w:color w:val="000000"/>
          <w:sz w:val="22"/>
          <w:szCs w:val="22"/>
        </w:rPr>
        <w:t xml:space="preserve"> Cocoa due to its genetic and territorial conditions, the use of this competitive advantage depends on good practices that are developed throughout the production process. Especially during the harvest and post-harvest, which represents an opportunity for women to oversee these activities in their crops and ensure higher quality while raising their household income and contributing to the importance and acknowledgement of their activity. Failure to include women in best practice training and entrepreneurship activities promoted by this project would contribute to the continuation of Huila’s macho culture in agriculture and particularly in the cultivation of cocoa.</w:t>
      </w:r>
    </w:p>
    <w:p w14:paraId="44FA15E2"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49266228"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u w:val="single"/>
        </w:rPr>
        <w:t>Department of Cesar and Magdalena</w:t>
      </w:r>
    </w:p>
    <w:p w14:paraId="60907750"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lastRenderedPageBreak/>
        <w:t>Violence and discrimination against women remain a problem in Colombia, particularly in Magdalena and Cesar rural areas. Although women enjoy the same legal rights as men, gender inequality manifests in insufficient access to education, employment, justice, health care services and participation opportunities. The farming structures in the project region are mainly family-owned crops, where women participate in the maintenance and administration process, but lack access to the benefits, governance, and decision-making structures, mostly because palm oil production is seen as male-dominant. The result is that women that play a key role in the field labour force but are underpaid, are excluded from social security systems and from economic decision-making at home and the farms, due to the nature of the family farm structure and the male ownership of land (father or husband). In spite of these traditional practices, there is an emerging group of women who are farm owners and entrepreneurs and are gaining acceptance in the Palm Oil sector. This trend includes female heads of household, as a side effect of rural violence that left widows and daughters that had to assume family businesses.</w:t>
      </w:r>
    </w:p>
    <w:p w14:paraId="213E2FA6"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69B6C93F"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One of the keyways in which the project will impact the issues outlined above is by providing technical assistance to women-owned businesses and supporting them to access investment to scale up their activities and access to resources. The National Technical Assistance (TA) Hub will also support businesses with women-owned and </w:t>
      </w:r>
      <w:r>
        <w:rPr>
          <w:rFonts w:ascii="Calibri" w:eastAsia="Calibri" w:hAnsi="Calibri" w:cs="Calibri"/>
          <w:sz w:val="22"/>
          <w:szCs w:val="22"/>
        </w:rPr>
        <w:t>worked</w:t>
      </w:r>
      <w:r>
        <w:rPr>
          <w:rFonts w:ascii="Calibri" w:eastAsia="Calibri" w:hAnsi="Calibri" w:cs="Calibri"/>
          <w:color w:val="000000"/>
          <w:sz w:val="22"/>
          <w:szCs w:val="22"/>
        </w:rPr>
        <w:t xml:space="preserve"> farming operations in their supply chains to expand and create further livelihood and employment opportunities for women in the natural resource sector. </w:t>
      </w:r>
    </w:p>
    <w:p w14:paraId="24535CD7"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2D1D6D9D" w14:textId="77777777" w:rsidR="007C10A7" w:rsidRDefault="00262DFA">
      <w:pPr>
        <w:numPr>
          <w:ilvl w:val="0"/>
          <w:numId w:val="6"/>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How will women and men be impacted (positively or negatively) by project activities including on their livelihoods, workload, control over resources, etc.?</w:t>
      </w:r>
    </w:p>
    <w:p w14:paraId="5D02DAC7"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518FEDB7"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starting point for all Technical Assistance Facility (TAF) interventions is the do-no-harm principle: project interventions must not negatively influence gender relations and dynamics within the project scope. Building from this the TAF will align with the GEF 7 ‘Do Good’ principle whereby the role of the TAF is to both enhance understanding of the baseline gender dynamics in the early project cycle and to maximize opportunities for enhanced gender equality and empowerment. By considering how women and men participate in interventions, the TAF strives to enable LDN Fund and other finance network members’ investment projects that benefit both men and women and do no harm to either, but also scope and define opportunities for projects to have a positive impact on rural women.</w:t>
      </w:r>
    </w:p>
    <w:p w14:paraId="199F7520" w14:textId="77777777" w:rsidR="007C10A7" w:rsidRDefault="00262DFA">
      <w:pPr>
        <w:pBdr>
          <w:top w:val="nil"/>
          <w:left w:val="nil"/>
          <w:bottom w:val="nil"/>
          <w:right w:val="nil"/>
          <w:between w:val="nil"/>
        </w:pBdr>
        <w:shd w:val="clear" w:color="auto" w:fill="FFFFFF"/>
        <w:ind w:left="420"/>
        <w:jc w:val="both"/>
        <w:rPr>
          <w:color w:val="000000"/>
        </w:rPr>
      </w:pPr>
      <w:r>
        <w:rPr>
          <w:rFonts w:ascii="Calibri" w:eastAsia="Calibri" w:hAnsi="Calibri" w:cs="Calibri"/>
          <w:color w:val="000000"/>
          <w:sz w:val="22"/>
          <w:szCs w:val="22"/>
        </w:rPr>
        <w:t> </w:t>
      </w:r>
    </w:p>
    <w:p w14:paraId="155D18D4"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Projects must be gender sensitive in their formulation, even as early as the TAF application phase. The TAF application form, as well as the LDN Fund E&amp;S Questionnaire, contain questions that are focused on a project’s gender aspects, and the Fund’s assessment process will include an analysis of positive impacts. To be eligible for investment by the LDN Fund and/or the LDN TAF, project developers are expected to demonstrate that they consider gender equality in the project design and ensure that these aspects are maintained and improved during operation. Opportunities for gender-positive impact created by the business are discussed by the TAF and project developer throughout the TA design and implementation.</w:t>
      </w:r>
    </w:p>
    <w:p w14:paraId="2F8E4C71"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01175336"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All TAF-supported projects will include awareness-raising activities regarding gender. IDH’s gender toolkit is used to support this process:</w:t>
      </w:r>
    </w:p>
    <w:p w14:paraId="76DFEF05"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w:t>
      </w:r>
      <w:hyperlink r:id="rId9">
        <w:r>
          <w:rPr>
            <w:rFonts w:ascii="Calibri" w:eastAsia="Calibri" w:hAnsi="Calibri" w:cs="Calibri"/>
            <w:color w:val="1155CC"/>
            <w:u w:val="single"/>
          </w:rPr>
          <w:t>https://www.idhsustainabletrade.com/news/gender-toolkit-inspire-integrating-gender-aspects-supply-chain-approaches/</w:t>
        </w:r>
      </w:hyperlink>
      <w:r>
        <w:rPr>
          <w:rFonts w:ascii="Calibri" w:eastAsia="Calibri" w:hAnsi="Calibri" w:cs="Calibri"/>
          <w:color w:val="000000"/>
          <w:sz w:val="20"/>
          <w:szCs w:val="20"/>
        </w:rPr>
        <w:t>)</w:t>
      </w:r>
      <w:r>
        <w:rPr>
          <w:rFonts w:ascii="Calibri" w:eastAsia="Calibri" w:hAnsi="Calibri" w:cs="Calibri"/>
          <w:color w:val="000000"/>
          <w:sz w:val="22"/>
          <w:szCs w:val="22"/>
        </w:rPr>
        <w:t xml:space="preserve">. This document guides program teams and partners on how to recognize opportunities related to gender in their programs. Following six programming steps, it provides tools on how to integrate gender aspects into project design with a private sector company, and implementation, and how to develop gender-sensitive indicators for M&amp;E to keep track of progress on gender positive impact created after the investment. The toolkit has been designed to be accessible for SMEs who are smaller and may have less knowledge and technical capacities on this issue. During project </w:t>
      </w:r>
      <w:r>
        <w:rPr>
          <w:rFonts w:ascii="Calibri" w:eastAsia="Calibri" w:hAnsi="Calibri" w:cs="Calibri"/>
          <w:color w:val="000000"/>
          <w:sz w:val="22"/>
          <w:szCs w:val="22"/>
        </w:rPr>
        <w:lastRenderedPageBreak/>
        <w:t>imple</w:t>
      </w:r>
      <w:r>
        <w:rPr>
          <w:rFonts w:ascii="Calibri" w:eastAsia="Calibri" w:hAnsi="Calibri" w:cs="Calibri"/>
          <w:sz w:val="22"/>
          <w:szCs w:val="22"/>
        </w:rPr>
        <w:t>mentation,</w:t>
      </w:r>
      <w:r>
        <w:rPr>
          <w:rFonts w:ascii="Calibri" w:eastAsia="Calibri" w:hAnsi="Calibri" w:cs="Calibri"/>
          <w:color w:val="000000"/>
          <w:sz w:val="22"/>
          <w:szCs w:val="22"/>
        </w:rPr>
        <w:t xml:space="preserve"> Spanish versions</w:t>
      </w:r>
      <w:r>
        <w:rPr>
          <w:rFonts w:ascii="Calibri" w:eastAsia="Calibri" w:hAnsi="Calibri" w:cs="Calibri"/>
          <w:sz w:val="22"/>
          <w:szCs w:val="22"/>
        </w:rPr>
        <w:t xml:space="preserve"> will become available</w:t>
      </w:r>
      <w:r>
        <w:rPr>
          <w:rFonts w:ascii="Calibri" w:eastAsia="Calibri" w:hAnsi="Calibri" w:cs="Calibri"/>
          <w:color w:val="000000"/>
          <w:sz w:val="22"/>
          <w:szCs w:val="22"/>
        </w:rPr>
        <w:t xml:space="preserve"> and trained IDH employees w</w:t>
      </w:r>
      <w:r>
        <w:rPr>
          <w:rFonts w:ascii="Calibri" w:eastAsia="Calibri" w:hAnsi="Calibri" w:cs="Calibri"/>
          <w:sz w:val="22"/>
          <w:szCs w:val="22"/>
        </w:rPr>
        <w:t>ill socialise</w:t>
      </w:r>
      <w:r>
        <w:rPr>
          <w:rFonts w:ascii="Calibri" w:eastAsia="Calibri" w:hAnsi="Calibri" w:cs="Calibri"/>
          <w:color w:val="000000"/>
          <w:sz w:val="22"/>
          <w:szCs w:val="22"/>
        </w:rPr>
        <w:t xml:space="preserve"> the toolkit. </w:t>
      </w:r>
    </w:p>
    <w:p w14:paraId="07E179B3"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70066FD0"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The actions undertaken to improve both women's and men’s through the project's activities will positively impact current livelihoods, workload and control over resources. This will occur through improved aspects such as climate resiliency, </w:t>
      </w:r>
      <w:r>
        <w:rPr>
          <w:rFonts w:ascii="Calibri" w:eastAsia="Calibri" w:hAnsi="Calibri" w:cs="Calibri"/>
          <w:sz w:val="22"/>
          <w:szCs w:val="22"/>
        </w:rPr>
        <w:t>the development of new productive skills and</w:t>
      </w:r>
      <w:r>
        <w:rPr>
          <w:rFonts w:ascii="Calibri" w:eastAsia="Calibri" w:hAnsi="Calibri" w:cs="Calibri"/>
          <w:color w:val="000000"/>
          <w:sz w:val="22"/>
          <w:szCs w:val="22"/>
        </w:rPr>
        <w:t xml:space="preserve"> increased efficiency and growth of early-stage SMEs</w:t>
      </w:r>
      <w:r>
        <w:rPr>
          <w:rFonts w:ascii="Calibri" w:eastAsia="Calibri" w:hAnsi="Calibri" w:cs="Calibri"/>
          <w:color w:val="980000"/>
          <w:sz w:val="22"/>
          <w:szCs w:val="22"/>
        </w:rPr>
        <w:t>. </w:t>
      </w:r>
    </w:p>
    <w:p w14:paraId="41FC69B6" w14:textId="77777777" w:rsidR="007C10A7" w:rsidRDefault="00262DFA">
      <w:pPr>
        <w:pBdr>
          <w:top w:val="nil"/>
          <w:left w:val="nil"/>
          <w:bottom w:val="nil"/>
          <w:right w:val="nil"/>
          <w:between w:val="nil"/>
        </w:pBdr>
        <w:shd w:val="clear" w:color="auto" w:fill="FFFFFF"/>
        <w:ind w:left="420"/>
        <w:rPr>
          <w:color w:val="000000"/>
        </w:rPr>
      </w:pPr>
      <w:r>
        <w:rPr>
          <w:color w:val="000000"/>
        </w:rPr>
        <w:t> </w:t>
      </w:r>
    </w:p>
    <w:p w14:paraId="0B703B5E" w14:textId="77777777" w:rsidR="007C10A7" w:rsidRDefault="00262DFA">
      <w:pPr>
        <w:numPr>
          <w:ilvl w:val="0"/>
          <w:numId w:val="8"/>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To what extent do women and men participate in decision-making processes about those natural resources and is that likely to carry over into project decision-making? What are the constraints (social, cultural, economic, political) that restrict women’s active participation in household, community and project-level decision-making processes?</w:t>
      </w:r>
    </w:p>
    <w:p w14:paraId="6BA24D3A" w14:textId="77777777" w:rsidR="007C10A7" w:rsidRDefault="007C10A7">
      <w:pPr>
        <w:pBdr>
          <w:top w:val="nil"/>
          <w:left w:val="nil"/>
          <w:bottom w:val="nil"/>
          <w:right w:val="nil"/>
          <w:between w:val="nil"/>
        </w:pBdr>
        <w:jc w:val="both"/>
        <w:rPr>
          <w:rFonts w:ascii="Calibri" w:eastAsia="Calibri" w:hAnsi="Calibri" w:cs="Calibri"/>
          <w:i/>
          <w:color w:val="000000"/>
          <w:sz w:val="22"/>
          <w:szCs w:val="22"/>
        </w:rPr>
      </w:pPr>
    </w:p>
    <w:p w14:paraId="4C79A03B"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There are inequalities and inequities between men and women in Colombia, leading to decision-making being </w:t>
      </w:r>
      <w:proofErr w:type="gramStart"/>
      <w:r>
        <w:rPr>
          <w:rFonts w:ascii="Calibri" w:eastAsia="Calibri" w:hAnsi="Calibri" w:cs="Calibri"/>
          <w:color w:val="000000"/>
          <w:sz w:val="22"/>
          <w:szCs w:val="22"/>
        </w:rPr>
        <w:t>male-dominated</w:t>
      </w:r>
      <w:proofErr w:type="gramEnd"/>
      <w:r>
        <w:rPr>
          <w:rFonts w:ascii="Calibri" w:eastAsia="Calibri" w:hAnsi="Calibri" w:cs="Calibri"/>
          <w:color w:val="000000"/>
          <w:sz w:val="22"/>
          <w:szCs w:val="22"/>
        </w:rPr>
        <w:t>. However, this project will improve women's participation by working towards appropriate equal gender inclusion at all levels of decision-making. </w:t>
      </w:r>
    </w:p>
    <w:p w14:paraId="7104E281"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63725E5B"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Factors that have created a differentiated impact between men and women in the decision-making processes over natural resources are the unequal access to ownership and control of natural resources. This imbalance has created a gender gap in natural resource governance, and therefore, decision-making. The United Nations notes that in Colombia, this is understood as ‘governance of the ownership, modes of appropriation and distribution of the costs and benefits of renewable and non-renewable natural resources so that society as a whole can benefit from their exploitation and/or conservation.’ With women not in a place of decision-making, it further establishes the unfair division of labour in which women are overburdened with care duties, a situation that has been further exacerbated during and following the COVID-19 pandemic.</w:t>
      </w:r>
      <w:r>
        <w:rPr>
          <w:rFonts w:ascii="Calibri" w:eastAsia="Calibri" w:hAnsi="Calibri" w:cs="Calibri"/>
          <w:color w:val="000000"/>
          <w:sz w:val="22"/>
          <w:szCs w:val="22"/>
          <w:vertAlign w:val="superscript"/>
        </w:rPr>
        <w:footnoteReference w:id="11"/>
      </w:r>
    </w:p>
    <w:p w14:paraId="359AADB0"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0A06109B" w14:textId="77777777" w:rsidR="007C10A7" w:rsidRDefault="00262DFA">
      <w:pPr>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The imbalance discussed above may carry over into project-decision making if no efforts are put in place to overcome</w:t>
      </w:r>
      <w:r>
        <w:rPr>
          <w:rFonts w:ascii="Calibri" w:eastAsia="Calibri" w:hAnsi="Calibri" w:cs="Calibri"/>
          <w:sz w:val="22"/>
          <w:szCs w:val="22"/>
        </w:rPr>
        <w:t xml:space="preserve"> barriers for women to become involved in processes</w:t>
      </w:r>
      <w:r>
        <w:rPr>
          <w:rFonts w:ascii="Calibri" w:eastAsia="Calibri" w:hAnsi="Calibri" w:cs="Calibri"/>
          <w:color w:val="000000"/>
          <w:sz w:val="22"/>
          <w:szCs w:val="22"/>
        </w:rPr>
        <w:t>. For instance, women are expected to spend more time in domestic activities such as household chores and childcare. This may lead to restrictions in the availability of time and travel to TA events, therefore the TAF activities will work to accommodate everyone. Staff involved in the project will be educated in awareness of gender equality to improve their understanding of these issues and plan meetings accordingly. Furthermore, if a difference in decision-making between women and men is identified, efforts will be conducted to tailor capacity building to address those needs. </w:t>
      </w:r>
    </w:p>
    <w:p w14:paraId="25B7D1B8" w14:textId="77777777" w:rsidR="007C10A7" w:rsidRDefault="007C10A7">
      <w:pPr>
        <w:pBdr>
          <w:top w:val="nil"/>
          <w:left w:val="nil"/>
          <w:bottom w:val="nil"/>
          <w:right w:val="nil"/>
          <w:between w:val="nil"/>
        </w:pBdr>
        <w:shd w:val="clear" w:color="auto" w:fill="FFFFFF"/>
        <w:jc w:val="both"/>
        <w:rPr>
          <w:rFonts w:ascii="Calibri" w:eastAsia="Calibri" w:hAnsi="Calibri" w:cs="Calibri"/>
          <w:sz w:val="22"/>
          <w:szCs w:val="22"/>
        </w:rPr>
      </w:pPr>
    </w:p>
    <w:p w14:paraId="17F5374B"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sz w:val="22"/>
          <w:szCs w:val="22"/>
        </w:rPr>
        <w:t xml:space="preserve">Examples of how these needs may be addressed include educating </w:t>
      </w:r>
      <w:r>
        <w:rPr>
          <w:rFonts w:ascii="Calibri" w:eastAsia="Calibri" w:hAnsi="Calibri" w:cs="Calibri"/>
          <w:sz w:val="22"/>
          <w:szCs w:val="22"/>
          <w:highlight w:val="white"/>
        </w:rPr>
        <w:t xml:space="preserve">stakeholders and local communities on the importance of women having a voice in decision-making. Skill development in speaking in public and negotiation skills development for women. Support in the form of resources such as transport or care duty provisions to allow women to attend events that pertain to decision-making processes. </w:t>
      </w:r>
      <w:r>
        <w:rPr>
          <w:color w:val="000000"/>
        </w:rPr>
        <w:br/>
      </w:r>
    </w:p>
    <w:p w14:paraId="3556FB9C" w14:textId="77777777" w:rsidR="007C10A7" w:rsidRDefault="00262DFA">
      <w:pPr>
        <w:numPr>
          <w:ilvl w:val="0"/>
          <w:numId w:val="5"/>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Do women and men have equal access to information and opportunities necessary to participate and benefit fully from the activities of the project? How do gender-related barriers/challenges potentially limit women’s ability to fully participate, make decisions and benefit from the project? How will the project overcome them?</w:t>
      </w:r>
    </w:p>
    <w:p w14:paraId="64FF4E76"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3171E6F3"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lastRenderedPageBreak/>
        <w:t>Although up-to-date Information is scarce in relation to rural finance or land tenure that is disaggregated by sex. It has been qualitatively found that rural women make an essential contribution to the agricultural sector despite having less access to productive resources and services, especially land, credit, and technical assistance. All of these are necessary for rural economic development as the formalization of access to land for women, for example, has the potential to generate multiple benefits; land ownership reduces the risk of dispossession, generates incentives to invest in the properties, and strengthens the sense of belonging in the territories, promoting stronger social involvement. </w:t>
      </w:r>
    </w:p>
    <w:p w14:paraId="79B5C932"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4DF489F6"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In Colombia, as of 2014, 26 percent of the landholdings controlled by natural persons are run by women. According to the results published by the DANE the other 61.4 percent are run by men and the remaining 12.6 percent are managed jointly. This unequal holding is also magnified by the size, in which those run by women are smaller as those under 5 hectares are the average. Additionally, these women-run holdings register less access to machinery, credit, and technical assistance. This inequality of holdings does not reflect the higher levels of women in agriculture</w:t>
      </w:r>
      <w:r>
        <w:rPr>
          <w:rFonts w:ascii="Calibri" w:eastAsia="Calibri" w:hAnsi="Calibri" w:cs="Calibri"/>
          <w:sz w:val="22"/>
          <w:szCs w:val="22"/>
        </w:rPr>
        <w:t>. For example, i</w:t>
      </w:r>
      <w:r>
        <w:rPr>
          <w:rFonts w:ascii="Calibri" w:eastAsia="Calibri" w:hAnsi="Calibri" w:cs="Calibri"/>
          <w:color w:val="000000"/>
          <w:sz w:val="22"/>
          <w:szCs w:val="22"/>
        </w:rPr>
        <w:t>n 2014, 36.6 percent of agricultural production was in the hands of women and approximately 40.7 percent of rural women and 72.2 percent of rural men depended on agricultural production for their livelihoods.</w:t>
      </w:r>
      <w:r>
        <w:rPr>
          <w:rFonts w:ascii="Calibri" w:eastAsia="Calibri" w:hAnsi="Calibri" w:cs="Calibri"/>
          <w:color w:val="000000"/>
          <w:sz w:val="22"/>
          <w:szCs w:val="22"/>
          <w:vertAlign w:val="superscript"/>
        </w:rPr>
        <w:footnoteReference w:id="12"/>
      </w:r>
    </w:p>
    <w:p w14:paraId="395D7384"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51255DED"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Government of Colombia has enacted legislation favourable to women’s rights to land and property, as seen in The Law on Rural Women, Law 731 (2002). This law specifically recognizes the rights of women to agricultural reform parcels and calls for the participation of women in the allocation of parcels. Yet, women-headed households and women-run land holdings remain especially susceptible to insecurity, poverty, and the consequences of forced displacement</w:t>
      </w:r>
    </w:p>
    <w:p w14:paraId="2191382C"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5B24B91D"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Rurally, women face challenges in education and resource access. With limited access to vocational training and higher education, women and in particular, young women, experience limited job and entrepreneurial opportunities. Therefore, there is a distinct need to improve young rural women’s access to education and to incorporate agricultural skills into rural training more generally.</w:t>
      </w:r>
    </w:p>
    <w:p w14:paraId="2ADE722A"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32CE8CED"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Access to information and communications technologies (ICTs) by those living rurally, and more so women in rural settings, reflects and exacerbates the existing inequalities within the gender and the rural-urban divide. Specifically, rural women have less access to ICTs than rural men </w:t>
      </w:r>
      <w:r>
        <w:rPr>
          <w:rFonts w:ascii="Calibri" w:eastAsia="Calibri" w:hAnsi="Calibri" w:cs="Calibri"/>
          <w:sz w:val="22"/>
          <w:szCs w:val="22"/>
        </w:rPr>
        <w:t xml:space="preserve">due to a </w:t>
      </w:r>
      <w:r>
        <w:rPr>
          <w:rFonts w:ascii="Calibri" w:eastAsia="Calibri" w:hAnsi="Calibri" w:cs="Calibri"/>
          <w:color w:val="000000"/>
          <w:sz w:val="22"/>
          <w:szCs w:val="22"/>
        </w:rPr>
        <w:t>lack of financial resources and time</w:t>
      </w:r>
      <w:r>
        <w:rPr>
          <w:rFonts w:ascii="Calibri" w:eastAsia="Calibri" w:hAnsi="Calibri" w:cs="Calibri"/>
          <w:sz w:val="22"/>
          <w:szCs w:val="22"/>
        </w:rPr>
        <w:t xml:space="preserve"> which for example, is</w:t>
      </w:r>
      <w:r>
        <w:rPr>
          <w:rFonts w:ascii="Calibri" w:eastAsia="Calibri" w:hAnsi="Calibri" w:cs="Calibri"/>
          <w:color w:val="000000"/>
          <w:sz w:val="22"/>
          <w:szCs w:val="22"/>
        </w:rPr>
        <w:t xml:space="preserve"> spent completing domestic activities such as water collection. In a 2013, government-sponsored survey, it was found that 62 percent of urban Colombians reported having Internet service of some kind. This is nearly double when compared to 38 percent of rural Colombians. Furthermore, 38 percent of urban Colombians owned a laptop computer, and 41 percent owned a desktop computer, compared to 19 percent of rural Colombians. </w:t>
      </w:r>
      <w:r>
        <w:rPr>
          <w:rFonts w:ascii="Calibri" w:eastAsia="Calibri" w:hAnsi="Calibri" w:cs="Calibri"/>
          <w:color w:val="000000"/>
          <w:sz w:val="22"/>
          <w:szCs w:val="22"/>
          <w:vertAlign w:val="superscript"/>
        </w:rPr>
        <w:footnoteReference w:id="13"/>
      </w:r>
    </w:p>
    <w:p w14:paraId="39012781"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7C555DAC"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 xml:space="preserve">The project will ensure that any gender-related adverse impact in the project is avoided, minimised and/or mitigated. Barriers to equal access to employment opportunities, finance, and land rights in Colombia are significant obstacles to women’s social and economic advancement, and this has subsequent impacts on their ability to access opportunities provided by this Project. However, this project has been designed to overcome these disadvantages. For example, land tenure is often insecure for women-headed households, particularly for small-scale farmers, who have barriers to land ownership and have been forcibly displaced at disproportionately high levels. To overcome this insecurity, women may be supported with resources teaching how to establish tenure. Additionally, rural women who will be disadvantaged by </w:t>
      </w:r>
      <w:r>
        <w:rPr>
          <w:rFonts w:ascii="Calibri" w:eastAsia="Calibri" w:hAnsi="Calibri" w:cs="Calibri"/>
          <w:color w:val="000000"/>
          <w:sz w:val="22"/>
          <w:szCs w:val="22"/>
        </w:rPr>
        <w:lastRenderedPageBreak/>
        <w:t>the inability to access the internet will be supported by in-person engagement at locations determined by the stakeholder. Furthermore, information and resources of the TA will be available outside of platforms that are only accessible by the internet. </w:t>
      </w:r>
    </w:p>
    <w:p w14:paraId="71F77935"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3DF1CB7C" w14:textId="77777777" w:rsidR="007C10A7" w:rsidRDefault="00262DFA">
      <w:pPr>
        <w:numPr>
          <w:ilvl w:val="0"/>
          <w:numId w:val="7"/>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What are the different interests, needs and priorities of men and women within the project context? How will the project be able to address their respective needs and priorities?</w:t>
      </w:r>
    </w:p>
    <w:p w14:paraId="001816D0" w14:textId="77777777" w:rsidR="007C10A7" w:rsidRDefault="007C10A7">
      <w:pPr>
        <w:pBdr>
          <w:top w:val="nil"/>
          <w:left w:val="nil"/>
          <w:bottom w:val="nil"/>
          <w:right w:val="nil"/>
          <w:between w:val="nil"/>
        </w:pBdr>
        <w:jc w:val="both"/>
        <w:rPr>
          <w:rFonts w:ascii="Calibri" w:eastAsia="Calibri" w:hAnsi="Calibri" w:cs="Calibri"/>
          <w:i/>
          <w:color w:val="000000"/>
          <w:sz w:val="22"/>
          <w:szCs w:val="22"/>
        </w:rPr>
      </w:pPr>
    </w:p>
    <w:p w14:paraId="372FD6F8"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priorities, needs and interests of women and men differ due to differences in social norms and gender equality within Colombia. Women may be less able to be involved in public events therefore, flexibility to overcome the barriers to women's involvement will be made. Thus, projects must be gender sensitive in their formulation, even as early as the TAF application phase. The TAF application form, as well as the LDN Fund E&amp;S Questionnaire, contain questions that are focused on a project’s gender aspects, and the Fund’s assessment process will include an analysis of positive impacts. To be eligible for investment by the LDN Fund and/or the LDN TAF, project developers are expected to demonstrate that they consider gender equality in the project design and ensure that these aspects are maintained and improved during operation. Opportunities for</w:t>
      </w:r>
      <w:r>
        <w:rPr>
          <w:rFonts w:ascii="Calibri" w:eastAsia="Calibri" w:hAnsi="Calibri" w:cs="Calibri"/>
          <w:i/>
          <w:color w:val="000000"/>
          <w:sz w:val="22"/>
          <w:szCs w:val="22"/>
        </w:rPr>
        <w:t xml:space="preserve"> </w:t>
      </w:r>
      <w:r>
        <w:rPr>
          <w:rFonts w:ascii="Calibri" w:eastAsia="Calibri" w:hAnsi="Calibri" w:cs="Calibri"/>
          <w:color w:val="000000"/>
          <w:sz w:val="22"/>
          <w:szCs w:val="22"/>
        </w:rPr>
        <w:t>gender inclusion are discussed by the TAF and project developer throughout the TA proposal design. All TAF-supported projects will include awareness-raising activities regarding gender. IDH’s gender tool is used to support this process. This document guides program teams and partners on how to recognize opportunities related to gender in their programs.</w:t>
      </w:r>
    </w:p>
    <w:p w14:paraId="4156C4C8" w14:textId="77777777" w:rsidR="007C10A7" w:rsidRDefault="007C10A7">
      <w:pPr>
        <w:pBdr>
          <w:top w:val="nil"/>
          <w:left w:val="nil"/>
          <w:bottom w:val="nil"/>
          <w:right w:val="nil"/>
          <w:between w:val="nil"/>
        </w:pBdr>
        <w:shd w:val="clear" w:color="auto" w:fill="FFFFFF"/>
        <w:jc w:val="both"/>
        <w:rPr>
          <w:color w:val="000000"/>
        </w:rPr>
      </w:pPr>
    </w:p>
    <w:p w14:paraId="38C80838" w14:textId="77777777" w:rsidR="007C10A7" w:rsidRDefault="00262DFA">
      <w:pPr>
        <w:numPr>
          <w:ilvl w:val="0"/>
          <w:numId w:val="9"/>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How might project activities create new opportunities (economic, leadership, etc.) for women?</w:t>
      </w:r>
    </w:p>
    <w:p w14:paraId="6CF024D5" w14:textId="77777777" w:rsidR="007C10A7" w:rsidRDefault="007C10A7">
      <w:pPr>
        <w:pBdr>
          <w:top w:val="nil"/>
          <w:left w:val="nil"/>
          <w:bottom w:val="nil"/>
          <w:right w:val="nil"/>
          <w:between w:val="nil"/>
        </w:pBdr>
        <w:jc w:val="both"/>
        <w:rPr>
          <w:rFonts w:ascii="Calibri" w:eastAsia="Calibri" w:hAnsi="Calibri" w:cs="Calibri"/>
          <w:i/>
          <w:color w:val="000000"/>
          <w:sz w:val="22"/>
          <w:szCs w:val="22"/>
        </w:rPr>
      </w:pPr>
    </w:p>
    <w:p w14:paraId="53C1ED13"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TAF aim is for at least 30 percent of the portfolio of TAF projects to have the potential to be gender transformational. This can include companies that provide services (inputs, credit, training, offtake) for crops by women-led businesses and cooperatives. Business coaches will be trained on gender and will play a vital role in identifying / co-developing these gender-impact investment opportunities.  </w:t>
      </w:r>
    </w:p>
    <w:p w14:paraId="51B0C8BE"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06120EDF"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TAF will align with the GEF 7 ‘Do Good’ principle whereby the role of the TAF is to both enhance understanding of the baseline gender dynamics in the early project cycle and to maximize opportunities for enhanced gender equality and empowerment.</w:t>
      </w:r>
    </w:p>
    <w:p w14:paraId="7DD13F6C"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5F7B1E33" w14:textId="77777777" w:rsidR="007C10A7" w:rsidRDefault="00262DFA">
      <w:pPr>
        <w:numPr>
          <w:ilvl w:val="0"/>
          <w:numId w:val="10"/>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Is there a possibility that project activities may perpetuate/increase inequalities, including gender-based violence? (</w:t>
      </w:r>
      <w:proofErr w:type="gramStart"/>
      <w:r>
        <w:rPr>
          <w:rFonts w:ascii="Calibri" w:eastAsia="Calibri" w:hAnsi="Calibri" w:cs="Calibri"/>
          <w:i/>
          <w:color w:val="000000"/>
          <w:sz w:val="22"/>
          <w:szCs w:val="22"/>
        </w:rPr>
        <w:t>why</w:t>
      </w:r>
      <w:proofErr w:type="gramEnd"/>
      <w:r>
        <w:rPr>
          <w:rFonts w:ascii="Calibri" w:eastAsia="Calibri" w:hAnsi="Calibri" w:cs="Calibri"/>
          <w:i/>
          <w:color w:val="000000"/>
          <w:sz w:val="22"/>
          <w:szCs w:val="22"/>
        </w:rPr>
        <w:t xml:space="preserve"> or why not)</w:t>
      </w:r>
    </w:p>
    <w:p w14:paraId="1142700F" w14:textId="77777777" w:rsidR="007C10A7" w:rsidRDefault="007C10A7">
      <w:pPr>
        <w:pBdr>
          <w:top w:val="nil"/>
          <w:left w:val="nil"/>
          <w:bottom w:val="nil"/>
          <w:right w:val="nil"/>
          <w:between w:val="nil"/>
        </w:pBdr>
        <w:jc w:val="both"/>
        <w:rPr>
          <w:rFonts w:ascii="Calibri" w:eastAsia="Calibri" w:hAnsi="Calibri" w:cs="Calibri"/>
          <w:i/>
          <w:color w:val="000000"/>
          <w:sz w:val="22"/>
          <w:szCs w:val="22"/>
        </w:rPr>
      </w:pPr>
    </w:p>
    <w:p w14:paraId="3CD1A7A5"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It is not anticipated that the project’s activities will perpetuate inequalities due to the implementation of the IDH Do no Harm policies outlined above, and the implementation of specific targets to support a greater percentage of women via Technical Assistance than would be present in a typical sample of rural business owners in Colombia.</w:t>
      </w:r>
    </w:p>
    <w:p w14:paraId="5219479F"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2EDD8112"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Additionally, the requisites of an SME will be taken into consideration when defining project selection criteria during the development of a business coaches toolkit in the early project implementation phase. This criterion consists of aspects such as minimum business size, balance sheet, assets for SMEs and therefore, whether the project is selected for TA support, or not. These criteria are to be designed to ensure no differentiated barriers for women-owned SMEs are formed so that women have opportunities that may not previously be presented, such as those who may have lower access to resources such as credits and assets. </w:t>
      </w:r>
    </w:p>
    <w:p w14:paraId="02AD4F02" w14:textId="77777777" w:rsidR="007C10A7" w:rsidRDefault="007C10A7">
      <w:pPr>
        <w:pBdr>
          <w:top w:val="nil"/>
          <w:left w:val="nil"/>
          <w:bottom w:val="nil"/>
          <w:right w:val="nil"/>
          <w:between w:val="nil"/>
        </w:pBdr>
        <w:shd w:val="clear" w:color="auto" w:fill="FFFFFF"/>
        <w:jc w:val="both"/>
        <w:rPr>
          <w:color w:val="000000"/>
        </w:rPr>
      </w:pPr>
    </w:p>
    <w:p w14:paraId="4DBCAD6F" w14:textId="77777777" w:rsidR="007C10A7" w:rsidRDefault="00262DFA">
      <w:pPr>
        <w:numPr>
          <w:ilvl w:val="0"/>
          <w:numId w:val="1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What is the level of gender awareness and capacity to address gender issues amongst local authorities, project partners and project staff?</w:t>
      </w:r>
    </w:p>
    <w:p w14:paraId="5A564D86" w14:textId="77777777" w:rsidR="007C10A7" w:rsidRDefault="007C10A7">
      <w:pPr>
        <w:pBdr>
          <w:top w:val="nil"/>
          <w:left w:val="nil"/>
          <w:bottom w:val="nil"/>
          <w:right w:val="nil"/>
          <w:between w:val="nil"/>
        </w:pBdr>
        <w:rPr>
          <w:rFonts w:ascii="Calibri" w:eastAsia="Calibri" w:hAnsi="Calibri" w:cs="Calibri"/>
          <w:i/>
          <w:color w:val="000000"/>
          <w:sz w:val="22"/>
          <w:szCs w:val="22"/>
        </w:rPr>
      </w:pPr>
    </w:p>
    <w:p w14:paraId="3BE8E220"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TAF is focused on awareness-raising on gender within its own staff, striving to integrate gender aspects within the TAF working culture. IDH has also identified specialized gender experts to consult on TAF projects throughout their project cycle. If required for specific projects, external gender experts will be consulted (</w:t>
      </w:r>
      <w:proofErr w:type="gramStart"/>
      <w:r>
        <w:rPr>
          <w:rFonts w:ascii="Calibri" w:eastAsia="Calibri" w:hAnsi="Calibri" w:cs="Calibri"/>
          <w:color w:val="000000"/>
          <w:sz w:val="22"/>
          <w:szCs w:val="22"/>
        </w:rPr>
        <w:t>e.g.</w:t>
      </w:r>
      <w:proofErr w:type="gramEnd"/>
      <w:r>
        <w:rPr>
          <w:rFonts w:ascii="Calibri" w:eastAsia="Calibri" w:hAnsi="Calibri" w:cs="Calibri"/>
          <w:color w:val="000000"/>
          <w:sz w:val="22"/>
          <w:szCs w:val="22"/>
        </w:rPr>
        <w:t xml:space="preserve"> the gender experts on staff at IDH). Examples of specialists trained in gender issues are the National Finance Network and Project Managers who lead and support Business Coaches on the identification and development of gender transformational potential investment opportunities. Additionally, staff members of the IDH Landscapes Program, as well as the IDH Coffee program, have been trained according to the IDH Gender tool, and with a selected number of stakeholders, the team has co-designed interventions to achieve gender-positive outcomes.</w:t>
      </w:r>
    </w:p>
    <w:p w14:paraId="7037B44C" w14:textId="77777777" w:rsidR="007C10A7" w:rsidRDefault="00262DFA">
      <w:pPr>
        <w:pBdr>
          <w:top w:val="nil"/>
          <w:left w:val="nil"/>
          <w:bottom w:val="nil"/>
          <w:right w:val="nil"/>
          <w:between w:val="nil"/>
        </w:pBdr>
        <w:shd w:val="clear" w:color="auto" w:fill="FFFFFF"/>
        <w:ind w:left="420"/>
        <w:rPr>
          <w:color w:val="000000"/>
        </w:rPr>
      </w:pPr>
      <w:r>
        <w:rPr>
          <w:color w:val="000000"/>
        </w:rPr>
        <w:t> </w:t>
      </w:r>
    </w:p>
    <w:p w14:paraId="240CBD2D" w14:textId="77777777" w:rsidR="007C10A7" w:rsidRDefault="00262DFA">
      <w:pPr>
        <w:numPr>
          <w:ilvl w:val="0"/>
          <w:numId w:val="15"/>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Describe the methods (interviews, desktop research, focus groups, surveys, etc.) were used to collect information for the Gender Analysis/Assessment. </w:t>
      </w:r>
    </w:p>
    <w:p w14:paraId="17C21AAD" w14:textId="77777777" w:rsidR="007C10A7" w:rsidRDefault="007C10A7">
      <w:pPr>
        <w:pBdr>
          <w:top w:val="nil"/>
          <w:left w:val="nil"/>
          <w:bottom w:val="nil"/>
          <w:right w:val="nil"/>
          <w:between w:val="nil"/>
        </w:pBdr>
        <w:rPr>
          <w:rFonts w:ascii="Calibri" w:eastAsia="Calibri" w:hAnsi="Calibri" w:cs="Calibri"/>
          <w:i/>
          <w:color w:val="000000"/>
          <w:sz w:val="22"/>
          <w:szCs w:val="22"/>
        </w:rPr>
      </w:pPr>
    </w:p>
    <w:p w14:paraId="0C862296"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methodology for the development of the Gender Plan followed three phases:</w:t>
      </w:r>
    </w:p>
    <w:p w14:paraId="10E98FC3" w14:textId="77777777" w:rsidR="007C10A7" w:rsidRDefault="00262DFA">
      <w:pPr>
        <w:pBdr>
          <w:top w:val="nil"/>
          <w:left w:val="nil"/>
          <w:bottom w:val="nil"/>
          <w:right w:val="nil"/>
          <w:between w:val="nil"/>
        </w:pBdr>
        <w:shd w:val="clear" w:color="auto" w:fill="FFFFFF"/>
        <w:ind w:left="420"/>
        <w:jc w:val="both"/>
        <w:rPr>
          <w:color w:val="000000"/>
        </w:rPr>
      </w:pPr>
      <w:r>
        <w:rPr>
          <w:rFonts w:ascii="Calibri" w:eastAsia="Calibri" w:hAnsi="Calibri" w:cs="Calibri"/>
          <w:i/>
          <w:color w:val="000000"/>
          <w:sz w:val="22"/>
          <w:szCs w:val="22"/>
        </w:rPr>
        <w:t> </w:t>
      </w:r>
    </w:p>
    <w:p w14:paraId="6B3CF950"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first phase focused on a review of the relevant sections of the draft GEF Project Document to identify opportunities for mainstreaming the gender approach in project implementation. In this phase, consultations and meetings were also held with Conservation International’s (CI) safeguards and gender specialists, as well as the IDH project team.</w:t>
      </w:r>
    </w:p>
    <w:p w14:paraId="1D356B39" w14:textId="77777777" w:rsidR="007C10A7" w:rsidRDefault="00262DFA">
      <w:pPr>
        <w:pBdr>
          <w:top w:val="nil"/>
          <w:left w:val="nil"/>
          <w:bottom w:val="nil"/>
          <w:right w:val="nil"/>
          <w:between w:val="nil"/>
        </w:pBdr>
        <w:shd w:val="clear" w:color="auto" w:fill="FFFFFF"/>
        <w:ind w:left="420"/>
        <w:jc w:val="both"/>
        <w:rPr>
          <w:color w:val="000000"/>
        </w:rPr>
      </w:pPr>
      <w:r>
        <w:rPr>
          <w:rFonts w:ascii="Calibri" w:eastAsia="Calibri" w:hAnsi="Calibri" w:cs="Calibri"/>
          <w:color w:val="000000"/>
          <w:sz w:val="22"/>
          <w:szCs w:val="22"/>
        </w:rPr>
        <w:t> </w:t>
      </w:r>
    </w:p>
    <w:p w14:paraId="255F389C" w14:textId="77777777" w:rsidR="007C10A7" w:rsidRDefault="00262DFA">
      <w:pPr>
        <w:pBdr>
          <w:top w:val="nil"/>
          <w:left w:val="nil"/>
          <w:bottom w:val="nil"/>
          <w:right w:val="nil"/>
          <w:between w:val="nil"/>
        </w:pBdr>
        <w:shd w:val="clear" w:color="auto" w:fill="FFFFFF"/>
        <w:jc w:val="both"/>
        <w:rPr>
          <w:color w:val="000000"/>
        </w:rPr>
      </w:pPr>
      <w:r>
        <w:rPr>
          <w:rFonts w:ascii="Calibri" w:eastAsia="Calibri" w:hAnsi="Calibri" w:cs="Calibri"/>
          <w:color w:val="000000"/>
          <w:sz w:val="22"/>
          <w:szCs w:val="22"/>
        </w:rPr>
        <w:t>The second phase consisted of a literature review, as well as information from other projects that have generated critical data concerning gender. This helped identify the key global gender issues that the Gender Action Plan should account for.</w:t>
      </w:r>
    </w:p>
    <w:p w14:paraId="510B7669" w14:textId="77777777" w:rsidR="007C10A7" w:rsidRDefault="00262DFA">
      <w:pPr>
        <w:pBdr>
          <w:top w:val="nil"/>
          <w:left w:val="nil"/>
          <w:bottom w:val="nil"/>
          <w:right w:val="nil"/>
          <w:between w:val="nil"/>
        </w:pBdr>
        <w:shd w:val="clear" w:color="auto" w:fill="FFFFFF"/>
        <w:ind w:left="420"/>
        <w:jc w:val="both"/>
        <w:rPr>
          <w:color w:val="000000"/>
        </w:rPr>
      </w:pPr>
      <w:r>
        <w:rPr>
          <w:rFonts w:ascii="Calibri" w:eastAsia="Calibri" w:hAnsi="Calibri" w:cs="Calibri"/>
          <w:color w:val="000000"/>
          <w:sz w:val="22"/>
          <w:szCs w:val="22"/>
        </w:rPr>
        <w:t> </w:t>
      </w:r>
    </w:p>
    <w:p w14:paraId="3FCA8DC2" w14:textId="77777777" w:rsidR="007C10A7" w:rsidRDefault="00262DFA">
      <w:pPr>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The third phase involved the analysis of the information gathered and the generation of the Gender Action Plan. This process was carried out based on the gender analysis document, as well as a gender assessment of the Results Framework. During this analysis, gender gaps and opportunities were identified to improve the structural and inequitable dynamics that affect women in the context of the project.</w:t>
      </w:r>
    </w:p>
    <w:p w14:paraId="58AD2FBB" w14:textId="77777777" w:rsidR="007C10A7" w:rsidRDefault="007C10A7">
      <w:pPr>
        <w:pBdr>
          <w:top w:val="nil"/>
          <w:left w:val="nil"/>
          <w:bottom w:val="nil"/>
          <w:right w:val="nil"/>
          <w:between w:val="nil"/>
        </w:pBdr>
        <w:shd w:val="clear" w:color="auto" w:fill="FFFFFF"/>
        <w:jc w:val="both"/>
        <w:rPr>
          <w:rFonts w:ascii="Calibri" w:eastAsia="Calibri" w:hAnsi="Calibri" w:cs="Calibri"/>
          <w:sz w:val="22"/>
          <w:szCs w:val="22"/>
        </w:rPr>
      </w:pPr>
    </w:p>
    <w:p w14:paraId="070CF420" w14:textId="77777777" w:rsidR="007C10A7" w:rsidRDefault="00262DFA">
      <w:pPr>
        <w:rPr>
          <w:rFonts w:ascii="Calibri" w:eastAsia="Calibri" w:hAnsi="Calibri" w:cs="Calibri"/>
          <w:sz w:val="22"/>
          <w:szCs w:val="22"/>
        </w:rPr>
      </w:pPr>
      <w:r>
        <w:rPr>
          <w:rFonts w:ascii="Calibri" w:eastAsia="Calibri" w:hAnsi="Calibri" w:cs="Calibri"/>
          <w:sz w:val="22"/>
          <w:szCs w:val="22"/>
        </w:rPr>
        <w:t xml:space="preserve">Since launching </w:t>
      </w:r>
      <w:proofErr w:type="gramStart"/>
      <w:r>
        <w:rPr>
          <w:rFonts w:ascii="Calibri" w:eastAsia="Calibri" w:hAnsi="Calibri" w:cs="Calibri"/>
          <w:sz w:val="22"/>
          <w:szCs w:val="22"/>
        </w:rPr>
        <w:t>in  2021</w:t>
      </w:r>
      <w:proofErr w:type="gramEnd"/>
      <w:r>
        <w:rPr>
          <w:rFonts w:ascii="Calibri" w:eastAsia="Calibri" w:hAnsi="Calibri" w:cs="Calibri"/>
          <w:sz w:val="22"/>
          <w:szCs w:val="22"/>
        </w:rPr>
        <w:t xml:space="preserve">, IDH-Colombia has been working with local and external partners within the departments of Huila, Magdalena, and Cesar. Project work has seen the development of a platform that looks to strengthen sustainability in sourcing areas and </w:t>
      </w:r>
      <w:proofErr w:type="spellStart"/>
      <w:r>
        <w:rPr>
          <w:rFonts w:ascii="Calibri" w:eastAsia="Calibri" w:hAnsi="Calibri" w:cs="Calibri"/>
          <w:sz w:val="22"/>
          <w:szCs w:val="22"/>
        </w:rPr>
        <w:t>favoring</w:t>
      </w:r>
      <w:proofErr w:type="spellEnd"/>
      <w:r>
        <w:rPr>
          <w:rFonts w:ascii="Calibri" w:eastAsia="Calibri" w:hAnsi="Calibri" w:cs="Calibri"/>
          <w:sz w:val="22"/>
          <w:szCs w:val="22"/>
        </w:rPr>
        <w:t xml:space="preserve"> markets connection between local producers and companies. This has allowed for the opportunity to engage with local stakeholders on topics such as gender barriers. These stakeholders ranged from local SMEs, associations and cooperatives to local governments.  </w:t>
      </w:r>
      <w:r>
        <w:rPr>
          <w:rFonts w:ascii="Calibri" w:eastAsia="Calibri" w:hAnsi="Calibri" w:cs="Calibri"/>
          <w:color w:val="000000"/>
          <w:sz w:val="22"/>
          <w:szCs w:val="22"/>
        </w:rPr>
        <w:t xml:space="preserve">Based on conversations with stakeholders in Huila, Magdalena and Cesar rural areas, it is understood that although women enjoy the same legal rights as men, gender inequality manifests in insufficient access to education, employment, justice, health care services and participation opportunities. The farming structures in the region are mainly family-owned crops, where women participate in the maintenance and administration process, but lack access to the benefits, governance and decision-making structures. This </w:t>
      </w:r>
      <w:r>
        <w:rPr>
          <w:rFonts w:ascii="Calibri" w:eastAsia="Calibri" w:hAnsi="Calibri" w:cs="Calibri"/>
          <w:sz w:val="22"/>
          <w:szCs w:val="22"/>
        </w:rPr>
        <w:t>information discovered</w:t>
      </w:r>
      <w:r>
        <w:rPr>
          <w:rFonts w:ascii="Calibri" w:eastAsia="Calibri" w:hAnsi="Calibri" w:cs="Calibri"/>
          <w:color w:val="000000"/>
          <w:sz w:val="22"/>
          <w:szCs w:val="22"/>
        </w:rPr>
        <w:t xml:space="preserve"> was utilised </w:t>
      </w:r>
      <w:r>
        <w:rPr>
          <w:rFonts w:ascii="Calibri" w:eastAsia="Calibri" w:hAnsi="Calibri" w:cs="Calibri"/>
          <w:sz w:val="22"/>
          <w:szCs w:val="22"/>
        </w:rPr>
        <w:t>within</w:t>
      </w:r>
      <w:r>
        <w:rPr>
          <w:rFonts w:ascii="Calibri" w:eastAsia="Calibri" w:hAnsi="Calibri" w:cs="Calibri"/>
          <w:color w:val="000000"/>
          <w:sz w:val="22"/>
          <w:szCs w:val="22"/>
        </w:rPr>
        <w:t xml:space="preserve"> this Plan to inform o</w:t>
      </w:r>
      <w:r>
        <w:rPr>
          <w:rFonts w:ascii="Calibri" w:eastAsia="Calibri" w:hAnsi="Calibri" w:cs="Calibri"/>
          <w:sz w:val="22"/>
          <w:szCs w:val="22"/>
        </w:rPr>
        <w:t>n actions to be taken.</w:t>
      </w:r>
    </w:p>
    <w:p w14:paraId="16FE2547" w14:textId="77777777" w:rsidR="007C10A7" w:rsidRDefault="00262DFA">
      <w:pPr>
        <w:pBdr>
          <w:top w:val="nil"/>
          <w:left w:val="nil"/>
          <w:bottom w:val="nil"/>
          <w:right w:val="nil"/>
          <w:between w:val="nil"/>
        </w:pBdr>
        <w:shd w:val="clear" w:color="auto" w:fill="FFFFFF"/>
        <w:ind w:left="420"/>
        <w:jc w:val="both"/>
        <w:rPr>
          <w:color w:val="000000"/>
        </w:rPr>
      </w:pPr>
      <w:r>
        <w:rPr>
          <w:color w:val="000000"/>
        </w:rPr>
        <w:t> </w:t>
      </w:r>
    </w:p>
    <w:p w14:paraId="2EE8CA5E" w14:textId="77777777" w:rsidR="007C10A7" w:rsidRDefault="00262DFA">
      <w:pPr>
        <w:numPr>
          <w:ilvl w:val="0"/>
          <w:numId w:val="16"/>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Describe lessons learnt during the development of the GMP during the PPG/PPF Phase. </w:t>
      </w:r>
      <w:proofErr w:type="gramStart"/>
      <w:r>
        <w:rPr>
          <w:rFonts w:ascii="Calibri" w:eastAsia="Calibri" w:hAnsi="Calibri" w:cs="Calibri"/>
          <w:i/>
          <w:color w:val="000000"/>
          <w:sz w:val="22"/>
          <w:szCs w:val="22"/>
        </w:rPr>
        <w:t>E.g.</w:t>
      </w:r>
      <w:proofErr w:type="gramEnd"/>
      <w:r>
        <w:rPr>
          <w:rFonts w:ascii="Calibri" w:eastAsia="Calibri" w:hAnsi="Calibri" w:cs="Calibri"/>
          <w:i/>
          <w:color w:val="000000"/>
          <w:sz w:val="22"/>
          <w:szCs w:val="22"/>
        </w:rPr>
        <w:t xml:space="preserve"> Did you have to hold meetings separately for women? Did the location/time of meetings affect women’s participation?</w:t>
      </w:r>
    </w:p>
    <w:p w14:paraId="33A84D1E" w14:textId="77777777" w:rsidR="007C10A7" w:rsidRDefault="00262DFA">
      <w:pPr>
        <w:pBdr>
          <w:top w:val="nil"/>
          <w:left w:val="nil"/>
          <w:bottom w:val="nil"/>
          <w:right w:val="nil"/>
          <w:between w:val="nil"/>
        </w:pBdr>
        <w:rPr>
          <w:rFonts w:ascii="Calibri" w:eastAsia="Calibri" w:hAnsi="Calibri" w:cs="Calibri"/>
          <w:sz w:val="22"/>
          <w:szCs w:val="22"/>
        </w:rPr>
      </w:pPr>
      <w:r>
        <w:rPr>
          <w:color w:val="000000"/>
        </w:rPr>
        <w:t> </w:t>
      </w:r>
    </w:p>
    <w:p w14:paraId="5AA350FD" w14:textId="77777777" w:rsidR="007C10A7" w:rsidRDefault="00262DFA">
      <w:p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The development of the GMP utilised learnings from current IDH-Colombia engagement in Project areas. According to IDH-Colombia engagement with stakeholders in Huila, Magdalena, and Cesar, it is </w:t>
      </w:r>
      <w:r>
        <w:rPr>
          <w:rFonts w:ascii="Calibri" w:eastAsia="Calibri" w:hAnsi="Calibri" w:cs="Calibri"/>
          <w:color w:val="000000"/>
          <w:sz w:val="22"/>
          <w:szCs w:val="22"/>
        </w:rPr>
        <w:lastRenderedPageBreak/>
        <w:t>understood that a strong gender approach is needed to overcome the barrier of gender inequalities in rural areas, through engagement with women-led/owned SMEs, in order to achieve gender transformation impact aimed by the project. During implementation, we will invest additional time in building stakeholder relationships with women. This will include holding separate meetings allowing for an accessible location and time for women to better understand their differentiated needs.</w:t>
      </w:r>
    </w:p>
    <w:p w14:paraId="4666D2A0"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rPr>
      </w:pPr>
    </w:p>
    <w:p w14:paraId="71AB205C" w14:textId="77777777" w:rsidR="007C10A7" w:rsidRDefault="00262DFA">
      <w:pPr>
        <w:widowControl w:val="0"/>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Calibri" w:eastAsia="Calibri" w:hAnsi="Calibri" w:cs="Calibri"/>
          <w:i/>
        </w:rPr>
      </w:pPr>
      <w:r>
        <w:rPr>
          <w:rFonts w:ascii="Calibri" w:eastAsia="Calibri" w:hAnsi="Calibri" w:cs="Calibri"/>
          <w:b/>
          <w:color w:val="000000"/>
          <w:sz w:val="28"/>
          <w:szCs w:val="28"/>
        </w:rPr>
        <w:t>SECTION III: Gender Action Plan</w:t>
      </w:r>
    </w:p>
    <w:p w14:paraId="4D055A43"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rPr>
      </w:pP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2040"/>
        <w:gridCol w:w="1725"/>
        <w:gridCol w:w="1920"/>
        <w:gridCol w:w="1815"/>
        <w:gridCol w:w="1860"/>
      </w:tblGrid>
      <w:tr w:rsidR="007C10A7" w14:paraId="591DE5F0" w14:textId="77777777">
        <w:trPr>
          <w:trHeight w:val="1613"/>
        </w:trPr>
        <w:tc>
          <w:tcPr>
            <w:tcW w:w="9360" w:type="dxa"/>
            <w:gridSpan w:val="5"/>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6164AB75"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Component 1:</w:t>
            </w:r>
          </w:p>
          <w:p w14:paraId="6E128FA7" w14:textId="77777777" w:rsidR="007C10A7" w:rsidRDefault="00262DFA">
            <w:pPr>
              <w:widowControl w:val="0"/>
              <w:tabs>
                <w:tab w:val="left" w:pos="0"/>
                <w:tab w:val="right" w:pos="73"/>
                <w:tab w:val="right" w:pos="1712"/>
                <w:tab w:val="right" w:pos="4160"/>
                <w:tab w:val="right" w:pos="6528"/>
                <w:tab w:val="right" w:pos="9384"/>
              </w:tabs>
              <w:spacing w:before="240" w:after="240"/>
              <w:ind w:left="60" w:hanging="20"/>
              <w:rPr>
                <w:i/>
              </w:rPr>
            </w:pPr>
            <w:r>
              <w:rPr>
                <w:i/>
              </w:rPr>
              <w:t>TA Hub for national level mobilization to advance high impact SME, smallholder and community-based projects</w:t>
            </w:r>
          </w:p>
        </w:tc>
      </w:tr>
      <w:tr w:rsidR="007C10A7" w14:paraId="247738D9" w14:textId="77777777">
        <w:trPr>
          <w:trHeight w:val="1336"/>
        </w:trPr>
        <w:tc>
          <w:tcPr>
            <w:tcW w:w="2040" w:type="dxa"/>
            <w:tcBorders>
              <w:top w:val="nil"/>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6B0B1428" w14:textId="77777777" w:rsidR="007C10A7" w:rsidRDefault="00262DFA">
            <w:pPr>
              <w:widowControl w:val="0"/>
              <w:tabs>
                <w:tab w:val="left" w:pos="0"/>
                <w:tab w:val="right" w:pos="73"/>
                <w:tab w:val="right" w:pos="1712"/>
                <w:tab w:val="right" w:pos="4160"/>
                <w:tab w:val="right" w:pos="6528"/>
                <w:tab w:val="right" w:pos="9384"/>
              </w:tabs>
              <w:spacing w:before="240" w:after="240"/>
              <w:ind w:left="720"/>
              <w:jc w:val="center"/>
              <w:rPr>
                <w:i/>
              </w:rPr>
            </w:pPr>
            <w:r>
              <w:rPr>
                <w:i/>
              </w:rPr>
              <w:t>Outputs</w:t>
            </w:r>
          </w:p>
        </w:tc>
        <w:tc>
          <w:tcPr>
            <w:tcW w:w="1725" w:type="dxa"/>
            <w:tcBorders>
              <w:top w:val="nil"/>
              <w:left w:val="nil"/>
              <w:bottom w:val="single" w:sz="8" w:space="0" w:color="000000"/>
              <w:right w:val="single" w:sz="8" w:space="0" w:color="000000"/>
            </w:tcBorders>
            <w:shd w:val="clear" w:color="auto" w:fill="D5DCE4"/>
            <w:tcMar>
              <w:top w:w="100" w:type="dxa"/>
              <w:left w:w="100" w:type="dxa"/>
              <w:bottom w:w="100" w:type="dxa"/>
              <w:right w:w="100" w:type="dxa"/>
            </w:tcMar>
          </w:tcPr>
          <w:p w14:paraId="231138EC" w14:textId="77777777" w:rsidR="007C10A7" w:rsidRDefault="00262DFA">
            <w:pPr>
              <w:widowControl w:val="0"/>
              <w:tabs>
                <w:tab w:val="left" w:pos="0"/>
                <w:tab w:val="right" w:pos="73"/>
                <w:tab w:val="right" w:pos="1712"/>
                <w:tab w:val="right" w:pos="4160"/>
                <w:tab w:val="right" w:pos="6528"/>
                <w:tab w:val="right" w:pos="9384"/>
              </w:tabs>
              <w:spacing w:before="240" w:after="240"/>
              <w:jc w:val="center"/>
              <w:rPr>
                <w:i/>
              </w:rPr>
            </w:pPr>
            <w:r>
              <w:rPr>
                <w:i/>
              </w:rPr>
              <w:t>Activities to Mainstream Gender into Output</w:t>
            </w:r>
          </w:p>
        </w:tc>
        <w:tc>
          <w:tcPr>
            <w:tcW w:w="1920" w:type="dxa"/>
            <w:tcBorders>
              <w:top w:val="nil"/>
              <w:left w:val="nil"/>
              <w:bottom w:val="single" w:sz="8" w:space="0" w:color="000000"/>
              <w:right w:val="single" w:sz="8" w:space="0" w:color="000000"/>
            </w:tcBorders>
            <w:shd w:val="clear" w:color="auto" w:fill="D5DCE4"/>
            <w:tcMar>
              <w:top w:w="100" w:type="dxa"/>
              <w:left w:w="100" w:type="dxa"/>
              <w:bottom w:w="100" w:type="dxa"/>
              <w:right w:w="100" w:type="dxa"/>
            </w:tcMar>
          </w:tcPr>
          <w:p w14:paraId="66C168E9" w14:textId="77777777" w:rsidR="007C10A7" w:rsidRDefault="00262DFA">
            <w:pPr>
              <w:widowControl w:val="0"/>
              <w:tabs>
                <w:tab w:val="left" w:pos="0"/>
                <w:tab w:val="right" w:pos="73"/>
                <w:tab w:val="right" w:pos="1712"/>
                <w:tab w:val="right" w:pos="4160"/>
                <w:tab w:val="right" w:pos="6528"/>
                <w:tab w:val="right" w:pos="9384"/>
              </w:tabs>
              <w:spacing w:before="240" w:after="240"/>
              <w:ind w:left="720"/>
              <w:jc w:val="center"/>
              <w:rPr>
                <w:i/>
              </w:rPr>
            </w:pPr>
            <w:r>
              <w:rPr>
                <w:i/>
              </w:rPr>
              <w:t>Target</w:t>
            </w:r>
          </w:p>
        </w:tc>
        <w:tc>
          <w:tcPr>
            <w:tcW w:w="1815" w:type="dxa"/>
            <w:tcBorders>
              <w:top w:val="nil"/>
              <w:left w:val="nil"/>
              <w:bottom w:val="single" w:sz="8" w:space="0" w:color="000000"/>
              <w:right w:val="single" w:sz="8" w:space="0" w:color="000000"/>
            </w:tcBorders>
            <w:shd w:val="clear" w:color="auto" w:fill="D5DCE4"/>
            <w:tcMar>
              <w:top w:w="100" w:type="dxa"/>
              <w:left w:w="100" w:type="dxa"/>
              <w:bottom w:w="100" w:type="dxa"/>
              <w:right w:w="100" w:type="dxa"/>
            </w:tcMar>
          </w:tcPr>
          <w:p w14:paraId="24E28ECF" w14:textId="77777777" w:rsidR="007C10A7" w:rsidRDefault="00262DFA">
            <w:pPr>
              <w:widowControl w:val="0"/>
              <w:tabs>
                <w:tab w:val="left" w:pos="0"/>
                <w:tab w:val="right" w:pos="73"/>
                <w:tab w:val="right" w:pos="1712"/>
                <w:tab w:val="right" w:pos="4160"/>
                <w:tab w:val="right" w:pos="6528"/>
                <w:tab w:val="right" w:pos="9384"/>
              </w:tabs>
              <w:spacing w:before="240" w:after="240"/>
              <w:jc w:val="center"/>
              <w:rPr>
                <w:i/>
              </w:rPr>
            </w:pPr>
            <w:r>
              <w:rPr>
                <w:i/>
              </w:rPr>
              <w:t>Resources Required</w:t>
            </w:r>
          </w:p>
        </w:tc>
        <w:tc>
          <w:tcPr>
            <w:tcW w:w="1860" w:type="dxa"/>
            <w:tcBorders>
              <w:top w:val="nil"/>
              <w:left w:val="nil"/>
              <w:bottom w:val="single" w:sz="8" w:space="0" w:color="000000"/>
              <w:right w:val="single" w:sz="8" w:space="0" w:color="000000"/>
            </w:tcBorders>
            <w:shd w:val="clear" w:color="auto" w:fill="D5DCE4"/>
            <w:tcMar>
              <w:top w:w="100" w:type="dxa"/>
              <w:left w:w="100" w:type="dxa"/>
              <w:bottom w:w="100" w:type="dxa"/>
              <w:right w:w="100" w:type="dxa"/>
            </w:tcMar>
          </w:tcPr>
          <w:p w14:paraId="228D5EB6" w14:textId="77777777" w:rsidR="007C10A7" w:rsidRDefault="00262DFA">
            <w:pPr>
              <w:widowControl w:val="0"/>
              <w:tabs>
                <w:tab w:val="left" w:pos="0"/>
                <w:tab w:val="right" w:pos="73"/>
                <w:tab w:val="right" w:pos="1712"/>
                <w:tab w:val="right" w:pos="4160"/>
                <w:tab w:val="right" w:pos="6528"/>
                <w:tab w:val="right" w:pos="9384"/>
              </w:tabs>
              <w:spacing w:before="240" w:after="240"/>
              <w:ind w:left="720"/>
              <w:jc w:val="center"/>
              <w:rPr>
                <w:i/>
              </w:rPr>
            </w:pPr>
            <w:r>
              <w:rPr>
                <w:i/>
              </w:rPr>
              <w:t>Budget</w:t>
            </w:r>
          </w:p>
        </w:tc>
      </w:tr>
      <w:tr w:rsidR="007C10A7" w14:paraId="7EAF26F9" w14:textId="77777777">
        <w:trPr>
          <w:trHeight w:val="3523"/>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C9050" w14:textId="77777777" w:rsidR="007C10A7" w:rsidRDefault="00262DFA">
            <w:pPr>
              <w:widowControl w:val="0"/>
              <w:tabs>
                <w:tab w:val="left" w:pos="0"/>
                <w:tab w:val="right" w:pos="73"/>
                <w:tab w:val="right" w:pos="1712"/>
                <w:tab w:val="right" w:pos="4160"/>
                <w:tab w:val="right" w:pos="6528"/>
                <w:tab w:val="right" w:pos="9384"/>
              </w:tabs>
              <w:spacing w:before="240" w:after="240"/>
            </w:pPr>
            <w:r>
              <w:t>Output 1.1.1:</w:t>
            </w:r>
          </w:p>
          <w:p w14:paraId="1EC8F860" w14:textId="77777777" w:rsidR="007C10A7" w:rsidRDefault="00262DFA">
            <w:pPr>
              <w:widowControl w:val="0"/>
              <w:tabs>
                <w:tab w:val="left" w:pos="0"/>
                <w:tab w:val="right" w:pos="73"/>
                <w:tab w:val="right" w:pos="1712"/>
                <w:tab w:val="right" w:pos="4160"/>
                <w:tab w:val="right" w:pos="6528"/>
                <w:tab w:val="right" w:pos="9384"/>
              </w:tabs>
              <w:spacing w:before="240" w:after="240"/>
            </w:pPr>
            <w:r>
              <w:t>The National TA Hub team and operational procedures are established.</w:t>
            </w:r>
          </w:p>
          <w:p w14:paraId="1EED2DE7" w14:textId="77777777" w:rsidR="007C10A7" w:rsidRDefault="007C10A7">
            <w:pPr>
              <w:widowControl w:val="0"/>
              <w:tabs>
                <w:tab w:val="left" w:pos="0"/>
                <w:tab w:val="right" w:pos="73"/>
                <w:tab w:val="right" w:pos="1712"/>
                <w:tab w:val="right" w:pos="4160"/>
                <w:tab w:val="right" w:pos="6528"/>
                <w:tab w:val="right" w:pos="9384"/>
              </w:tabs>
              <w:spacing w:before="240" w:after="240"/>
            </w:pP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06C526" w14:textId="77777777" w:rsidR="007C10A7" w:rsidRDefault="00262DFA">
            <w:pPr>
              <w:widowControl w:val="0"/>
              <w:tabs>
                <w:tab w:val="left" w:pos="0"/>
                <w:tab w:val="right" w:pos="73"/>
                <w:tab w:val="right" w:pos="1712"/>
                <w:tab w:val="right" w:pos="4160"/>
                <w:tab w:val="right" w:pos="6528"/>
                <w:tab w:val="right" w:pos="9384"/>
              </w:tabs>
              <w:spacing w:before="240" w:after="240"/>
            </w:pPr>
            <w:r>
              <w:t>Ensure the operational procedures include and appropriately reference the ambitions and targets laid out in this Gender Mainstreaming Plan.</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5E831" w14:textId="77777777" w:rsidR="007C10A7" w:rsidRDefault="00262DFA">
            <w:pPr>
              <w:widowControl w:val="0"/>
              <w:tabs>
                <w:tab w:val="left" w:pos="0"/>
                <w:tab w:val="right" w:pos="73"/>
                <w:tab w:val="right" w:pos="1712"/>
                <w:tab w:val="right" w:pos="4160"/>
                <w:tab w:val="right" w:pos="6528"/>
                <w:tab w:val="right" w:pos="9384"/>
              </w:tabs>
              <w:spacing w:before="240" w:after="240"/>
            </w:pPr>
            <w:r>
              <w:t>1 operational manual with a dedicated section on gender mainstreaming.</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99225"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Gender mainstreaming </w:t>
            </w:r>
            <w:proofErr w:type="gramStart"/>
            <w:r>
              <w:t>plan;</w:t>
            </w:r>
            <w:proofErr w:type="gramEnd"/>
          </w:p>
          <w:p w14:paraId="0E18501D" w14:textId="77777777" w:rsidR="007C10A7" w:rsidRDefault="00262DFA">
            <w:pPr>
              <w:widowControl w:val="0"/>
              <w:tabs>
                <w:tab w:val="left" w:pos="0"/>
                <w:tab w:val="right" w:pos="73"/>
                <w:tab w:val="right" w:pos="1712"/>
                <w:tab w:val="right" w:pos="4160"/>
                <w:tab w:val="right" w:pos="6528"/>
                <w:tab w:val="right" w:pos="9384"/>
              </w:tabs>
              <w:spacing w:before="240" w:after="240"/>
            </w:pPr>
            <w:r>
              <w:t>Review of gender section by IDH Gender/safeguard specialist</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624A0" w14:textId="77777777" w:rsidR="007C10A7" w:rsidRDefault="00262DFA">
            <w:pPr>
              <w:widowControl w:val="0"/>
              <w:tabs>
                <w:tab w:val="left" w:pos="0"/>
                <w:tab w:val="right" w:pos="73"/>
                <w:tab w:val="right" w:pos="1712"/>
                <w:tab w:val="right" w:pos="4160"/>
                <w:tab w:val="right" w:pos="6528"/>
                <w:tab w:val="right" w:pos="9384"/>
              </w:tabs>
              <w:spacing w:before="240" w:after="240"/>
            </w:pPr>
            <w:r>
              <w:t>IDH gender/safeguard specialist time (IDH co-funding contribution)</w:t>
            </w:r>
          </w:p>
          <w:p w14:paraId="2D7801E4" w14:textId="77777777" w:rsidR="007C10A7" w:rsidRDefault="00262DFA">
            <w:pPr>
              <w:widowControl w:val="0"/>
              <w:tabs>
                <w:tab w:val="left" w:pos="0"/>
                <w:tab w:val="right" w:pos="73"/>
                <w:tab w:val="right" w:pos="1712"/>
                <w:tab w:val="right" w:pos="4160"/>
                <w:tab w:val="right" w:pos="6528"/>
                <w:tab w:val="right" w:pos="9384"/>
              </w:tabs>
              <w:spacing w:before="240" w:after="240"/>
              <w:ind w:left="0" w:firstLine="0"/>
            </w:pPr>
            <w:r>
              <w:t>Estimated amount USD $15.000.</w:t>
            </w:r>
          </w:p>
          <w:p w14:paraId="6FED53A7" w14:textId="77777777" w:rsidR="007C10A7" w:rsidRDefault="00262DFA">
            <w:pPr>
              <w:widowControl w:val="0"/>
              <w:tabs>
                <w:tab w:val="left" w:pos="0"/>
                <w:tab w:val="right" w:pos="73"/>
                <w:tab w:val="right" w:pos="1712"/>
                <w:tab w:val="right" w:pos="4160"/>
                <w:tab w:val="right" w:pos="6528"/>
                <w:tab w:val="right" w:pos="9384"/>
              </w:tabs>
              <w:spacing w:before="240" w:after="240"/>
              <w:ind w:left="0" w:firstLine="0"/>
              <w:rPr>
                <w:i/>
              </w:rPr>
            </w:pPr>
            <w:r>
              <w:rPr>
                <w:i/>
              </w:rPr>
              <w:t>This is the estimate of the value of the IDH in-kind contribution/staff time.</w:t>
            </w:r>
          </w:p>
        </w:tc>
      </w:tr>
      <w:tr w:rsidR="007C10A7" w14:paraId="70940DEF" w14:textId="77777777">
        <w:trPr>
          <w:trHeight w:val="7070"/>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721A9" w14:textId="77777777" w:rsidR="007C10A7" w:rsidRDefault="00262DFA">
            <w:pPr>
              <w:widowControl w:val="0"/>
              <w:tabs>
                <w:tab w:val="left" w:pos="0"/>
                <w:tab w:val="right" w:pos="73"/>
                <w:tab w:val="right" w:pos="1712"/>
                <w:tab w:val="right" w:pos="4160"/>
                <w:tab w:val="right" w:pos="6528"/>
                <w:tab w:val="right" w:pos="9384"/>
              </w:tabs>
              <w:spacing w:before="240" w:after="240"/>
            </w:pPr>
            <w:r>
              <w:lastRenderedPageBreak/>
              <w:t>Output 1.1.2:</w:t>
            </w:r>
          </w:p>
          <w:p w14:paraId="155305F9"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In Colombia, a national Technical Assistance (TA) Hub is established and at least 80 potential SMEs, smallholder and community investment projects have been identified, including </w:t>
            </w:r>
            <w:r>
              <w:rPr>
                <w:u w:val="single"/>
              </w:rPr>
              <w:t xml:space="preserve">at least 30 percent that are women-led/owned / </w:t>
            </w:r>
            <w:r>
              <w:t>businesses with potential gender transformative impact.</w:t>
            </w:r>
          </w:p>
          <w:p w14:paraId="2D18D010"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t xml:space="preserve">This transformative impact means that businesses address the root causes of gender inequality through approaches that foster changes in individual capacities, gendered norms and expectations, and institutional rules and practices. This can be verified through gender analysis results, </w:t>
            </w:r>
            <w:r>
              <w:lastRenderedPageBreak/>
              <w:t xml:space="preserve">gender strategy, and/ or monitoring and evaluation frameworks of relevant gender impacts.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2CEE7"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lastRenderedPageBreak/>
              <w:t xml:space="preserve">TA hub business coaches complete the IDH gender training </w:t>
            </w:r>
            <w:proofErr w:type="gramStart"/>
            <w:r>
              <w:t>course</w:t>
            </w:r>
            <w:proofErr w:type="gramEnd"/>
          </w:p>
          <w:p w14:paraId="1CF84CA3"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Business coaches actively and effectively identify and mobilise women owned/led businesses/ businesses with potential gender transformative impact.</w:t>
            </w:r>
          </w:p>
          <w:p w14:paraId="7CA0BF16" w14:textId="77777777" w:rsidR="007C10A7" w:rsidRDefault="007C10A7">
            <w:pPr>
              <w:widowControl w:val="0"/>
              <w:tabs>
                <w:tab w:val="left" w:pos="0"/>
                <w:tab w:val="right" w:pos="73"/>
                <w:tab w:val="right" w:pos="1712"/>
                <w:tab w:val="right" w:pos="4160"/>
                <w:tab w:val="right" w:pos="6528"/>
                <w:tab w:val="right" w:pos="9384"/>
              </w:tabs>
              <w:spacing w:before="240" w:after="240"/>
              <w:ind w:left="141" w:firstLine="0"/>
            </w:pPr>
          </w:p>
          <w:p w14:paraId="3DCF9FD6" w14:textId="77777777" w:rsidR="007C10A7" w:rsidRDefault="00262DFA">
            <w:pPr>
              <w:shd w:val="clear" w:color="auto" w:fill="FFFFFF"/>
              <w:spacing w:after="0"/>
              <w:ind w:left="0"/>
              <w:rPr>
                <w:rFonts w:ascii="Times New Roman" w:eastAsia="Times New Roman" w:hAnsi="Times New Roman" w:cs="Times New Roman"/>
                <w:sz w:val="22"/>
                <w:szCs w:val="22"/>
              </w:rPr>
            </w:pPr>
            <w:r>
              <w:t>Invest additional time in building stakeholder relationships with women. This will include holding separate meetings allowing for an accessible location and time for women to better understand their differentiated needs.</w:t>
            </w:r>
          </w:p>
          <w:p w14:paraId="61339D7F" w14:textId="77777777" w:rsidR="007C10A7" w:rsidRDefault="007C10A7">
            <w:pPr>
              <w:widowControl w:val="0"/>
              <w:tabs>
                <w:tab w:val="left" w:pos="0"/>
                <w:tab w:val="right" w:pos="73"/>
                <w:tab w:val="right" w:pos="1712"/>
                <w:tab w:val="right" w:pos="4160"/>
                <w:tab w:val="right" w:pos="6528"/>
                <w:tab w:val="right" w:pos="9384"/>
              </w:tabs>
              <w:spacing w:before="240" w:after="240"/>
              <w:ind w:left="141" w:firstLine="0"/>
            </w:pP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DF94A" w14:textId="77777777" w:rsidR="007C10A7" w:rsidRDefault="00262DFA">
            <w:pPr>
              <w:widowControl w:val="0"/>
              <w:tabs>
                <w:tab w:val="left" w:pos="0"/>
                <w:tab w:val="right" w:pos="73"/>
                <w:tab w:val="right" w:pos="1712"/>
                <w:tab w:val="right" w:pos="4160"/>
                <w:tab w:val="right" w:pos="6528"/>
                <w:tab w:val="right" w:pos="9384"/>
              </w:tabs>
              <w:spacing w:before="240" w:after="240"/>
              <w:ind w:left="708" w:hanging="708"/>
            </w:pPr>
            <w:r>
              <w:t>Baseline:</w:t>
            </w:r>
          </w:p>
          <w:p w14:paraId="42C151CB" w14:textId="77777777" w:rsidR="007C10A7" w:rsidRDefault="00262DFA">
            <w:pPr>
              <w:widowControl w:val="0"/>
              <w:tabs>
                <w:tab w:val="left" w:pos="0"/>
                <w:tab w:val="right" w:pos="73"/>
                <w:tab w:val="right" w:pos="1712"/>
                <w:tab w:val="right" w:pos="4160"/>
                <w:tab w:val="right" w:pos="6528"/>
                <w:tab w:val="right" w:pos="9384"/>
              </w:tabs>
              <w:spacing w:before="240" w:after="240"/>
              <w:ind w:left="708" w:hanging="708"/>
            </w:pPr>
            <w:r>
              <w:t>0</w:t>
            </w:r>
          </w:p>
          <w:p w14:paraId="0D6B9E48"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 xml:space="preserve"> </w:t>
            </w:r>
          </w:p>
          <w:p w14:paraId="74A3F935" w14:textId="77777777" w:rsidR="007C10A7" w:rsidRDefault="00262DFA">
            <w:pPr>
              <w:widowControl w:val="0"/>
              <w:tabs>
                <w:tab w:val="left" w:pos="0"/>
                <w:tab w:val="right" w:pos="73"/>
                <w:tab w:val="right" w:pos="1712"/>
                <w:tab w:val="right" w:pos="4160"/>
                <w:tab w:val="right" w:pos="6528"/>
                <w:tab w:val="right" w:pos="9384"/>
              </w:tabs>
              <w:spacing w:before="240" w:after="240"/>
            </w:pPr>
            <w:r>
              <w:t>Target:</w:t>
            </w:r>
          </w:p>
          <w:p w14:paraId="519C6A47" w14:textId="77777777" w:rsidR="007C10A7" w:rsidRDefault="00262DFA">
            <w:pPr>
              <w:widowControl w:val="0"/>
              <w:tabs>
                <w:tab w:val="left" w:pos="0"/>
                <w:tab w:val="right" w:pos="73"/>
                <w:tab w:val="right" w:pos="1712"/>
                <w:tab w:val="right" w:pos="4160"/>
                <w:tab w:val="right" w:pos="6528"/>
                <w:tab w:val="right" w:pos="9384"/>
              </w:tabs>
              <w:spacing w:before="240" w:after="240"/>
            </w:pPr>
            <w:r>
              <w:t>24 (30percent of 80)</w:t>
            </w:r>
          </w:p>
          <w:p w14:paraId="78A601BA"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 </w:t>
            </w:r>
          </w:p>
          <w:p w14:paraId="139D37E8" w14:textId="77777777" w:rsidR="007C10A7" w:rsidRDefault="00262DFA">
            <w:pPr>
              <w:widowControl w:val="0"/>
              <w:tabs>
                <w:tab w:val="left" w:pos="0"/>
                <w:tab w:val="right" w:pos="73"/>
                <w:tab w:val="right" w:pos="1712"/>
                <w:tab w:val="right" w:pos="4160"/>
                <w:tab w:val="right" w:pos="6528"/>
                <w:tab w:val="right" w:pos="9384"/>
              </w:tabs>
              <w:spacing w:before="240" w:after="240"/>
            </w:pPr>
            <w:r>
              <w:t>Relevant gender indicator:</w:t>
            </w:r>
          </w:p>
          <w:p w14:paraId="11767229" w14:textId="77777777" w:rsidR="007C10A7" w:rsidRDefault="00262DFA">
            <w:pPr>
              <w:widowControl w:val="0"/>
              <w:tabs>
                <w:tab w:val="left" w:pos="0"/>
                <w:tab w:val="right" w:pos="73"/>
                <w:tab w:val="right" w:pos="1712"/>
                <w:tab w:val="right" w:pos="4160"/>
                <w:tab w:val="right" w:pos="6528"/>
                <w:tab w:val="right" w:pos="9384"/>
              </w:tabs>
              <w:spacing w:before="240" w:after="240"/>
            </w:pPr>
            <w:r>
              <w:rPr>
                <w:u w:val="single"/>
              </w:rPr>
              <w:t xml:space="preserve">At least 30 </w:t>
            </w:r>
            <w:proofErr w:type="gramStart"/>
            <w:r>
              <w:rPr>
                <w:u w:val="single"/>
              </w:rPr>
              <w:t>percent  are</w:t>
            </w:r>
            <w:proofErr w:type="gramEnd"/>
            <w:r>
              <w:rPr>
                <w:u w:val="single"/>
              </w:rPr>
              <w:t xml:space="preserve"> women-led/owned / </w:t>
            </w:r>
            <w:r>
              <w:rPr>
                <w:u w:val="single"/>
                <w:vertAlign w:val="superscript"/>
              </w:rPr>
              <w:footnoteReference w:id="14"/>
            </w:r>
            <w:r>
              <w:t>businesses with potential gender transformative impact selected for next stage.</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64F30" w14:textId="77777777" w:rsidR="007C10A7" w:rsidRDefault="00262DFA">
            <w:pPr>
              <w:widowControl w:val="0"/>
              <w:tabs>
                <w:tab w:val="left" w:pos="0"/>
                <w:tab w:val="right" w:pos="73"/>
                <w:tab w:val="right" w:pos="1712"/>
                <w:tab w:val="right" w:pos="4160"/>
                <w:tab w:val="right" w:pos="6528"/>
                <w:tab w:val="right" w:pos="9384"/>
              </w:tabs>
              <w:spacing w:before="240" w:after="240"/>
              <w:rPr>
                <w:highlight w:val="white"/>
              </w:rPr>
            </w:pPr>
            <w:r>
              <w:t xml:space="preserve">IDH gender course (compulsory for all IDH staff and </w:t>
            </w:r>
            <w:r>
              <w:rPr>
                <w:highlight w:val="white"/>
              </w:rPr>
              <w:t>associates, including the business coaches) This course will be available in Spanish with necessary resources such as printed materials when technology is not available to support. The resources will reflect the disproportionate gender barriers described previously in this Plan such as access to technology and will be identified prior to each course.</w:t>
            </w:r>
          </w:p>
          <w:p w14:paraId="75189211"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rPr>
                <w:i/>
              </w:rPr>
              <w:t xml:space="preserve"> </w:t>
            </w:r>
          </w:p>
          <w:p w14:paraId="4AA887C4"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rPr>
                <w:i/>
              </w:rPr>
              <w:t xml:space="preserve"> </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6D5221"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IDH gender training (IDH co-funding contribution)</w:t>
            </w:r>
          </w:p>
          <w:p w14:paraId="02F4935C" w14:textId="77777777" w:rsidR="007C10A7" w:rsidRDefault="007C10A7">
            <w:pPr>
              <w:widowControl w:val="0"/>
              <w:tabs>
                <w:tab w:val="left" w:pos="0"/>
                <w:tab w:val="right" w:pos="73"/>
                <w:tab w:val="right" w:pos="1712"/>
                <w:tab w:val="right" w:pos="4160"/>
                <w:tab w:val="right" w:pos="6528"/>
                <w:tab w:val="right" w:pos="9384"/>
              </w:tabs>
              <w:spacing w:before="240" w:after="240"/>
              <w:ind w:left="0"/>
            </w:pPr>
          </w:p>
          <w:p w14:paraId="7BC5DBF4" w14:textId="77777777" w:rsidR="007C10A7" w:rsidRDefault="007C10A7">
            <w:pPr>
              <w:widowControl w:val="0"/>
              <w:tabs>
                <w:tab w:val="left" w:pos="0"/>
                <w:tab w:val="right" w:pos="73"/>
                <w:tab w:val="right" w:pos="1712"/>
                <w:tab w:val="right" w:pos="4160"/>
                <w:tab w:val="right" w:pos="6528"/>
                <w:tab w:val="right" w:pos="9384"/>
              </w:tabs>
              <w:spacing w:before="240" w:after="240"/>
              <w:ind w:left="141" w:firstLine="0"/>
            </w:pPr>
          </w:p>
        </w:tc>
      </w:tr>
      <w:tr w:rsidR="007C10A7" w14:paraId="2BE7BC78" w14:textId="77777777">
        <w:trPr>
          <w:trHeight w:val="4887"/>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78920" w14:textId="77777777" w:rsidR="007C10A7" w:rsidRDefault="00262DFA">
            <w:pPr>
              <w:widowControl w:val="0"/>
              <w:tabs>
                <w:tab w:val="left" w:pos="0"/>
                <w:tab w:val="right" w:pos="73"/>
                <w:tab w:val="right" w:pos="1712"/>
                <w:tab w:val="right" w:pos="4160"/>
                <w:tab w:val="right" w:pos="6528"/>
                <w:tab w:val="right" w:pos="9384"/>
              </w:tabs>
              <w:spacing w:before="240" w:after="240"/>
            </w:pPr>
            <w:r>
              <w:t>Output 1.1.3:</w:t>
            </w:r>
          </w:p>
          <w:p w14:paraId="1F8481D8" w14:textId="77777777" w:rsidR="007C10A7" w:rsidRDefault="00262DFA">
            <w:pPr>
              <w:widowControl w:val="0"/>
              <w:tabs>
                <w:tab w:val="left" w:pos="0"/>
                <w:tab w:val="right" w:pos="73"/>
                <w:tab w:val="right" w:pos="1712"/>
                <w:tab w:val="right" w:pos="4160"/>
                <w:tab w:val="right" w:pos="6528"/>
                <w:tab w:val="right" w:pos="9384"/>
              </w:tabs>
              <w:spacing w:before="240" w:after="240"/>
            </w:pPr>
            <w:r>
              <w:t>'Investment roadmaps' developed for at least 40 potential project developers, including the definition of their technical assistance (TA) needs, (at least 30 percent that are women-led/owned/ with potential gender transformative impact.</w:t>
            </w:r>
          </w:p>
          <w:p w14:paraId="397600A1"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rPr>
                <w:i/>
              </w:rP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2ED10"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Business coaches actively and effectively engage women owned/led businesses/ businesses with potential gender transformative impact to develop an investment readiness roadmap.</w:t>
            </w:r>
          </w:p>
          <w:p w14:paraId="2E4D7114" w14:textId="77777777" w:rsidR="007C10A7" w:rsidRDefault="00262DFA">
            <w:pPr>
              <w:widowControl w:val="0"/>
              <w:tabs>
                <w:tab w:val="left" w:pos="0"/>
                <w:tab w:val="right" w:pos="73"/>
                <w:tab w:val="right" w:pos="1712"/>
                <w:tab w:val="right" w:pos="4160"/>
                <w:tab w:val="right" w:pos="6528"/>
                <w:tab w:val="right" w:pos="9384"/>
              </w:tabs>
              <w:spacing w:after="0"/>
              <w:ind w:left="0"/>
            </w:pPr>
            <w:r>
              <w:rPr>
                <w:highlight w:val="white"/>
              </w:rPr>
              <w:t>This is when such specific activities for women such as skill development can be identified and included in the TA project.</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7E641"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Baseline:0 </w:t>
            </w:r>
          </w:p>
          <w:p w14:paraId="20492B39" w14:textId="77777777" w:rsidR="007C10A7" w:rsidRDefault="00262DFA">
            <w:pPr>
              <w:widowControl w:val="0"/>
              <w:tabs>
                <w:tab w:val="left" w:pos="0"/>
                <w:tab w:val="right" w:pos="73"/>
                <w:tab w:val="right" w:pos="1712"/>
                <w:tab w:val="right" w:pos="4160"/>
                <w:tab w:val="right" w:pos="6528"/>
                <w:tab w:val="right" w:pos="9384"/>
              </w:tabs>
              <w:spacing w:before="240" w:after="240"/>
            </w:pPr>
            <w:r>
              <w:t>Target: 12 (30percent of 40</w:t>
            </w:r>
          </w:p>
          <w:p w14:paraId="320BFADB" w14:textId="77777777" w:rsidR="007C10A7" w:rsidRDefault="00262DFA">
            <w:pPr>
              <w:widowControl w:val="0"/>
              <w:tabs>
                <w:tab w:val="left" w:pos="0"/>
                <w:tab w:val="right" w:pos="73"/>
                <w:tab w:val="right" w:pos="1712"/>
                <w:tab w:val="right" w:pos="4160"/>
                <w:tab w:val="right" w:pos="6528"/>
                <w:tab w:val="right" w:pos="9384"/>
              </w:tabs>
              <w:spacing w:before="240" w:after="240"/>
            </w:pPr>
            <w:r>
              <w:t>Relevant gender indicator:</w:t>
            </w:r>
          </w:p>
          <w:p w14:paraId="10A37289" w14:textId="77777777" w:rsidR="007C10A7" w:rsidRDefault="00262DFA">
            <w:pPr>
              <w:widowControl w:val="0"/>
              <w:tabs>
                <w:tab w:val="left" w:pos="0"/>
                <w:tab w:val="right" w:pos="73"/>
                <w:tab w:val="right" w:pos="1712"/>
                <w:tab w:val="right" w:pos="4160"/>
                <w:tab w:val="right" w:pos="6528"/>
                <w:tab w:val="right" w:pos="9384"/>
              </w:tabs>
              <w:spacing w:before="240" w:after="240"/>
            </w:pPr>
            <w:r>
              <w:rPr>
                <w:u w:val="single"/>
              </w:rPr>
              <w:t xml:space="preserve">At least 30percent that are women led/owned / </w:t>
            </w:r>
            <w:r>
              <w:t>businesses with potential gender transformative impact complete investment readiness roadmaps.</w:t>
            </w:r>
          </w:p>
          <w:p w14:paraId="696DB67A" w14:textId="77777777" w:rsidR="007C10A7" w:rsidRDefault="007C10A7">
            <w:pPr>
              <w:widowControl w:val="0"/>
              <w:tabs>
                <w:tab w:val="left" w:pos="0"/>
                <w:tab w:val="right" w:pos="73"/>
                <w:tab w:val="right" w:pos="1712"/>
                <w:tab w:val="right" w:pos="4160"/>
                <w:tab w:val="right" w:pos="6528"/>
                <w:tab w:val="right" w:pos="9384"/>
              </w:tabs>
              <w:spacing w:before="240" w:after="240"/>
              <w:ind w:firstLine="0"/>
              <w:rPr>
                <w:i/>
              </w:rPr>
            </w:pP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E55D1" w14:textId="77777777" w:rsidR="007C10A7" w:rsidRDefault="00262DFA">
            <w:pPr>
              <w:widowControl w:val="0"/>
              <w:tabs>
                <w:tab w:val="left" w:pos="420"/>
                <w:tab w:val="right" w:pos="270"/>
                <w:tab w:val="right" w:pos="1712"/>
                <w:tab w:val="right" w:pos="4160"/>
                <w:tab w:val="right" w:pos="6528"/>
                <w:tab w:val="right" w:pos="9384"/>
              </w:tabs>
              <w:spacing w:before="240" w:after="240"/>
            </w:pPr>
            <w:r>
              <w:t>Capable business coaches; motivated business owners</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EF131"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r>
      <w:tr w:rsidR="007C10A7" w14:paraId="5BD5EA4B" w14:textId="77777777">
        <w:trPr>
          <w:trHeight w:val="5460"/>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60EFF" w14:textId="77777777" w:rsidR="007C10A7" w:rsidRDefault="00262DFA">
            <w:pPr>
              <w:widowControl w:val="0"/>
              <w:tabs>
                <w:tab w:val="left" w:pos="0"/>
                <w:tab w:val="right" w:pos="73"/>
                <w:tab w:val="right" w:pos="1712"/>
                <w:tab w:val="right" w:pos="4160"/>
                <w:tab w:val="right" w:pos="6528"/>
                <w:tab w:val="right" w:pos="9384"/>
              </w:tabs>
              <w:spacing w:before="240" w:after="240"/>
              <w:ind w:left="720" w:hanging="720"/>
            </w:pPr>
            <w:r>
              <w:lastRenderedPageBreak/>
              <w:t>Output 1.1.4:</w:t>
            </w:r>
          </w:p>
          <w:p w14:paraId="58EA50CF" w14:textId="77777777" w:rsidR="007C10A7" w:rsidRDefault="00262DFA">
            <w:pPr>
              <w:widowControl w:val="0"/>
              <w:tabs>
                <w:tab w:val="left" w:pos="135"/>
                <w:tab w:val="right" w:pos="1712"/>
                <w:tab w:val="right" w:pos="4160"/>
                <w:tab w:val="right" w:pos="6528"/>
                <w:tab w:val="right" w:pos="9384"/>
              </w:tabs>
              <w:spacing w:before="240" w:after="240"/>
              <w:ind w:left="40" w:hanging="20"/>
            </w:pPr>
            <w:r>
              <w:t>30 project developers (30percent women-led/owned) implement investment roadmaps.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2AFEED"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Business coaches actively and effectively engage women owned/led businesses/ businesses with potential gender transformative impact to implement an investment readiness roadmap.</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288E2"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Baseline: 0 </w:t>
            </w:r>
          </w:p>
          <w:p w14:paraId="36CA4E8C" w14:textId="77777777" w:rsidR="007C10A7" w:rsidRDefault="00262DFA">
            <w:pPr>
              <w:widowControl w:val="0"/>
              <w:tabs>
                <w:tab w:val="left" w:pos="0"/>
                <w:tab w:val="right" w:pos="73"/>
                <w:tab w:val="right" w:pos="1712"/>
                <w:tab w:val="right" w:pos="4160"/>
                <w:tab w:val="right" w:pos="6528"/>
                <w:tab w:val="right" w:pos="9384"/>
              </w:tabs>
              <w:spacing w:before="240" w:after="240"/>
            </w:pPr>
            <w:r>
              <w:t>Target: 9 (30 percent of 30)</w:t>
            </w:r>
          </w:p>
          <w:p w14:paraId="0A3421DC" w14:textId="77777777" w:rsidR="007C10A7" w:rsidRDefault="00262DFA">
            <w:pPr>
              <w:widowControl w:val="0"/>
              <w:tabs>
                <w:tab w:val="left" w:pos="0"/>
                <w:tab w:val="right" w:pos="73"/>
                <w:tab w:val="right" w:pos="1712"/>
                <w:tab w:val="right" w:pos="4160"/>
                <w:tab w:val="right" w:pos="6528"/>
                <w:tab w:val="right" w:pos="9384"/>
              </w:tabs>
              <w:spacing w:before="240" w:after="240"/>
            </w:pPr>
            <w:r>
              <w:t>Relevant gender indicator:</w:t>
            </w:r>
          </w:p>
          <w:p w14:paraId="0D03B5F7"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rPr>
                <w:u w:val="single"/>
              </w:rPr>
              <w:t xml:space="preserve">At least 30 percent that are women-led/owned / </w:t>
            </w:r>
            <w:r>
              <w:t>businesses with potential gender transformative impact implement investment readiness roadmap.</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86B51" w14:textId="77777777" w:rsidR="007C10A7" w:rsidRDefault="00262DFA">
            <w:pPr>
              <w:widowControl w:val="0"/>
              <w:tabs>
                <w:tab w:val="left" w:pos="0"/>
                <w:tab w:val="right" w:pos="73"/>
                <w:tab w:val="right" w:pos="1712"/>
                <w:tab w:val="right" w:pos="4160"/>
                <w:tab w:val="right" w:pos="6528"/>
                <w:tab w:val="right" w:pos="9384"/>
              </w:tabs>
              <w:spacing w:before="240" w:after="240"/>
              <w:ind w:right="60"/>
            </w:pPr>
            <w:r>
              <w:t>Capable business coaches; motivated business owners</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9F12B" w14:textId="77777777" w:rsidR="007C10A7" w:rsidRDefault="00262DFA">
            <w:pPr>
              <w:widowControl w:val="0"/>
              <w:tabs>
                <w:tab w:val="left" w:pos="0"/>
                <w:tab w:val="right" w:pos="73"/>
                <w:tab w:val="right" w:pos="1712"/>
                <w:tab w:val="right" w:pos="4160"/>
                <w:tab w:val="right" w:pos="6528"/>
                <w:tab w:val="right" w:pos="9384"/>
              </w:tabs>
              <w:spacing w:before="240" w:after="240"/>
              <w:ind w:left="0"/>
              <w:rPr>
                <w:i/>
              </w:rPr>
            </w:pPr>
            <w:r>
              <w:rPr>
                <w:i/>
              </w:rPr>
              <w:t>N/A</w:t>
            </w:r>
          </w:p>
        </w:tc>
      </w:tr>
      <w:tr w:rsidR="007C10A7" w14:paraId="22F597EB" w14:textId="77777777">
        <w:trPr>
          <w:trHeight w:val="453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A19C3" w14:textId="77777777" w:rsidR="007C10A7" w:rsidRDefault="00262DFA">
            <w:pPr>
              <w:widowControl w:val="0"/>
              <w:tabs>
                <w:tab w:val="left" w:pos="0"/>
                <w:tab w:val="right" w:pos="73"/>
                <w:tab w:val="right" w:pos="1712"/>
                <w:tab w:val="right" w:pos="4160"/>
                <w:tab w:val="right" w:pos="6528"/>
                <w:tab w:val="right" w:pos="9384"/>
              </w:tabs>
              <w:spacing w:before="240" w:after="240"/>
              <w:ind w:left="425"/>
              <w:rPr>
                <w:i/>
              </w:rPr>
            </w:pPr>
            <w:r>
              <w:t>Output 1.2.1</w:t>
            </w:r>
            <w:r>
              <w:rPr>
                <w:i/>
              </w:rPr>
              <w:t>:</w:t>
            </w:r>
          </w:p>
          <w:p w14:paraId="250B1181" w14:textId="77777777" w:rsidR="007C10A7" w:rsidRDefault="00262DFA">
            <w:pPr>
              <w:widowControl w:val="0"/>
              <w:tabs>
                <w:tab w:val="left" w:pos="0"/>
                <w:tab w:val="right" w:pos="73"/>
                <w:tab w:val="right" w:pos="1712"/>
                <w:tab w:val="right" w:pos="4160"/>
                <w:tab w:val="right" w:pos="6528"/>
                <w:tab w:val="right" w:pos="9384"/>
              </w:tabs>
              <w:spacing w:before="240" w:after="240"/>
              <w:ind w:left="40" w:hanging="20"/>
            </w:pPr>
            <w:r>
              <w:t>At least 15 local financial institutions and MFIs</w:t>
            </w:r>
            <w:hyperlink r:id="rId10" w:anchor="_ftn1">
              <w:r>
                <w:rPr>
                  <w:color w:val="1155CC"/>
                  <w:u w:val="single"/>
                  <w:vertAlign w:val="superscript"/>
                </w:rPr>
                <w:t>[1]</w:t>
              </w:r>
            </w:hyperlink>
            <w:r>
              <w:t xml:space="preserve"> are mapped against the financing needs of projects supported under outcome 1.1, including an assessment of their appetite for new investment vehicles, credit lines and financial products.</w:t>
            </w:r>
          </w:p>
          <w:p w14:paraId="34AB362A"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49BADB"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Financing needs of </w:t>
            </w:r>
            <w:r>
              <w:rPr>
                <w:u w:val="single"/>
              </w:rPr>
              <w:t xml:space="preserve">women led/owned / </w:t>
            </w:r>
            <w:r>
              <w:t>businesses are explicitly considered during this process.</w:t>
            </w:r>
          </w:p>
          <w:p w14:paraId="529235FB" w14:textId="77777777" w:rsidR="007C10A7" w:rsidRDefault="00262DFA">
            <w:pPr>
              <w:widowControl w:val="0"/>
              <w:tabs>
                <w:tab w:val="left" w:pos="0"/>
                <w:tab w:val="right" w:pos="73"/>
                <w:tab w:val="right" w:pos="1712"/>
                <w:tab w:val="right" w:pos="4160"/>
                <w:tab w:val="right" w:pos="6528"/>
                <w:tab w:val="right" w:pos="9384"/>
              </w:tabs>
              <w:spacing w:before="240" w:after="240"/>
              <w:ind w:left="0" w:firstLine="0"/>
            </w:pPr>
            <w:r>
              <w:t xml:space="preserve">This will include an understanding of specific needs for women-led/owned businesses. From these findings, recommendations will be created.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DB087" w14:textId="77777777" w:rsidR="007C10A7" w:rsidRDefault="00262DFA">
            <w:pPr>
              <w:widowControl w:val="0"/>
              <w:tabs>
                <w:tab w:val="right" w:pos="270"/>
                <w:tab w:val="right" w:pos="1712"/>
                <w:tab w:val="right" w:pos="4160"/>
                <w:tab w:val="right" w:pos="6528"/>
                <w:tab w:val="right" w:pos="9384"/>
              </w:tabs>
              <w:spacing w:before="240" w:after="240"/>
              <w:ind w:left="141" w:firstLine="0"/>
            </w:pPr>
            <w:r>
              <w:t>Mapping reports include specific recommendations for how new investment vehicles, credit lines and financial products could be designed to address the financing needs of women-led/owned businesses.</w:t>
            </w:r>
          </w:p>
          <w:p w14:paraId="49DA1CC9" w14:textId="77777777" w:rsidR="007C10A7" w:rsidRDefault="00262DFA">
            <w:pPr>
              <w:widowControl w:val="0"/>
              <w:tabs>
                <w:tab w:val="right" w:pos="270"/>
                <w:tab w:val="right" w:pos="1712"/>
                <w:tab w:val="right" w:pos="4160"/>
                <w:tab w:val="right" w:pos="6528"/>
                <w:tab w:val="right" w:pos="9384"/>
              </w:tabs>
              <w:spacing w:before="240" w:after="240"/>
              <w:ind w:left="141" w:firstLine="0"/>
            </w:pPr>
            <w:r>
              <w:rPr>
                <w:highlight w:val="white"/>
              </w:rPr>
              <w:t xml:space="preserve">This can be supported by IDH gender experts, together with the national program manager in Colombia. This is linked to output 1.1.4 where business coaches will actively engage with women led/owned SMEs and potential local financial </w:t>
            </w:r>
            <w:r>
              <w:rPr>
                <w:highlight w:val="white"/>
              </w:rPr>
              <w:lastRenderedPageBreak/>
              <w:t>institutions and MFIs.</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F1A85"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lastRenderedPageBreak/>
              <w:t xml:space="preserve">N/A  </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92F71" w14:textId="77777777" w:rsidR="007C10A7" w:rsidRDefault="00262DFA">
            <w:pPr>
              <w:widowControl w:val="0"/>
              <w:tabs>
                <w:tab w:val="left" w:pos="0"/>
                <w:tab w:val="right" w:pos="73"/>
                <w:tab w:val="right" w:pos="1712"/>
                <w:tab w:val="right" w:pos="4160"/>
                <w:tab w:val="right" w:pos="6528"/>
                <w:tab w:val="right" w:pos="9384"/>
              </w:tabs>
              <w:spacing w:before="240" w:after="240"/>
              <w:ind w:left="0"/>
            </w:pPr>
            <w:r>
              <w:t xml:space="preserve">Estimated amount USD $15.000 </w:t>
            </w:r>
          </w:p>
          <w:p w14:paraId="559DD4B2" w14:textId="77777777" w:rsidR="007C10A7" w:rsidRDefault="007C10A7">
            <w:pPr>
              <w:widowControl w:val="0"/>
              <w:tabs>
                <w:tab w:val="left" w:pos="0"/>
                <w:tab w:val="right" w:pos="73"/>
                <w:tab w:val="right" w:pos="1712"/>
                <w:tab w:val="right" w:pos="4160"/>
                <w:tab w:val="right" w:pos="6528"/>
                <w:tab w:val="right" w:pos="9384"/>
              </w:tabs>
              <w:spacing w:before="240" w:after="240"/>
              <w:ind w:firstLine="0"/>
              <w:rPr>
                <w:highlight w:val="yellow"/>
              </w:rPr>
            </w:pPr>
          </w:p>
        </w:tc>
      </w:tr>
      <w:tr w:rsidR="007C10A7" w14:paraId="1035F6CA" w14:textId="77777777">
        <w:trPr>
          <w:trHeight w:val="5054"/>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1D163"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Output 1.2.2:</w:t>
            </w:r>
          </w:p>
          <w:p w14:paraId="065A9397" w14:textId="77777777" w:rsidR="007C10A7" w:rsidRDefault="00262DFA">
            <w:pPr>
              <w:widowControl w:val="0"/>
              <w:shd w:val="clear" w:color="auto" w:fill="FFFFFF"/>
              <w:tabs>
                <w:tab w:val="left" w:pos="0"/>
                <w:tab w:val="right" w:pos="73"/>
                <w:tab w:val="right" w:pos="1712"/>
                <w:tab w:val="right" w:pos="4160"/>
                <w:tab w:val="right" w:pos="6528"/>
                <w:tab w:val="right" w:pos="9384"/>
              </w:tabs>
              <w:spacing w:before="240" w:after="240"/>
              <w:rPr>
                <w:i/>
              </w:rPr>
            </w:pPr>
            <w:r>
              <w:t>At least three local financial institutions and MFIs are supported through technical assistance to improve accessibility to or develop new/adapted vehicles, credit lines and financial products.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CCC6A" w14:textId="77777777" w:rsidR="007C10A7" w:rsidRDefault="007C10A7">
            <w:pPr>
              <w:widowControl w:val="0"/>
              <w:tabs>
                <w:tab w:val="left" w:pos="0"/>
                <w:tab w:val="right" w:pos="73"/>
                <w:tab w:val="right" w:pos="1712"/>
                <w:tab w:val="right" w:pos="4160"/>
                <w:tab w:val="right" w:pos="6528"/>
                <w:tab w:val="right" w:pos="9384"/>
              </w:tabs>
              <w:spacing w:before="240" w:after="240"/>
              <w:rPr>
                <w:i/>
              </w:rPr>
            </w:pPr>
          </w:p>
          <w:p w14:paraId="409AE011"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The financing needs of </w:t>
            </w:r>
            <w:r>
              <w:rPr>
                <w:u w:val="single"/>
              </w:rPr>
              <w:t xml:space="preserve">women-led/owned / </w:t>
            </w:r>
            <w:r>
              <w:t>businesses with potential gender transformative impact are explicitly considered in the new financing instruments developed.</w:t>
            </w:r>
          </w:p>
          <w:p w14:paraId="1092B2B0"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DBA7D" w14:textId="77777777" w:rsidR="007C10A7" w:rsidRDefault="007C10A7">
            <w:pPr>
              <w:widowControl w:val="0"/>
              <w:tabs>
                <w:tab w:val="left" w:pos="0"/>
                <w:tab w:val="right" w:pos="73"/>
                <w:tab w:val="right" w:pos="1712"/>
                <w:tab w:val="right" w:pos="4160"/>
                <w:tab w:val="right" w:pos="6528"/>
                <w:tab w:val="right" w:pos="9384"/>
              </w:tabs>
              <w:spacing w:before="240" w:after="240"/>
              <w:ind w:left="141" w:firstLine="0"/>
            </w:pPr>
          </w:p>
          <w:p w14:paraId="63484239"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 xml:space="preserve">The development of new financing instruments is </w:t>
            </w:r>
            <w:proofErr w:type="gramStart"/>
            <w:r>
              <w:t>gender-responsive</w:t>
            </w:r>
            <w:proofErr w:type="gramEnd"/>
            <w:r>
              <w:t>.</w:t>
            </w:r>
          </w:p>
          <w:p w14:paraId="6621655D"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This means that the needs of gender-responsive financing instruments will be captured throughout the engagement with business coaches as well as local financial institutions and MFIs.</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A86C4"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highlight w:val="white"/>
              </w:rPr>
            </w:pPr>
            <w:r>
              <w:rPr>
                <w:i/>
                <w:highlight w:val="white"/>
              </w:rP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0C8D9" w14:textId="77777777" w:rsidR="007C10A7" w:rsidRDefault="00262DFA">
            <w:pPr>
              <w:widowControl w:val="0"/>
              <w:tabs>
                <w:tab w:val="left" w:pos="0"/>
                <w:tab w:val="right" w:pos="73"/>
                <w:tab w:val="right" w:pos="1712"/>
                <w:tab w:val="right" w:pos="4160"/>
                <w:tab w:val="right" w:pos="6528"/>
                <w:tab w:val="right" w:pos="9384"/>
              </w:tabs>
              <w:spacing w:before="240" w:after="240"/>
              <w:ind w:left="0"/>
              <w:rPr>
                <w:i/>
                <w:highlight w:val="white"/>
              </w:rPr>
            </w:pPr>
            <w:r>
              <w:rPr>
                <w:highlight w:val="white"/>
              </w:rPr>
              <w:t>Estimated amount USD 30.000 (part of the TA is focussed on gender sensitive design of credit products).</w:t>
            </w:r>
          </w:p>
        </w:tc>
      </w:tr>
      <w:tr w:rsidR="007C10A7" w14:paraId="2B455849" w14:textId="77777777">
        <w:trPr>
          <w:trHeight w:val="352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96194" w14:textId="77777777" w:rsidR="007C10A7" w:rsidRDefault="00262DFA">
            <w:pPr>
              <w:widowControl w:val="0"/>
              <w:tabs>
                <w:tab w:val="left" w:pos="0"/>
                <w:tab w:val="right" w:pos="73"/>
                <w:tab w:val="right" w:pos="1712"/>
                <w:tab w:val="right" w:pos="4160"/>
                <w:tab w:val="right" w:pos="6528"/>
                <w:tab w:val="right" w:pos="9384"/>
              </w:tabs>
              <w:spacing w:before="240" w:after="240"/>
            </w:pPr>
            <w:r>
              <w:lastRenderedPageBreak/>
              <w:t>Output 1.3.1:</w:t>
            </w:r>
          </w:p>
          <w:p w14:paraId="77311519" w14:textId="77777777" w:rsidR="007C10A7" w:rsidRDefault="00262DFA">
            <w:pPr>
              <w:widowControl w:val="0"/>
              <w:tabs>
                <w:tab w:val="left" w:pos="0"/>
                <w:tab w:val="right" w:pos="73"/>
                <w:tab w:val="right" w:pos="1712"/>
                <w:tab w:val="right" w:pos="4160"/>
                <w:tab w:val="right" w:pos="6528"/>
                <w:tab w:val="right" w:pos="9384"/>
              </w:tabs>
              <w:spacing w:before="240" w:after="240"/>
              <w:ind w:left="40" w:hanging="20"/>
            </w:pPr>
            <w:r>
              <w:t>At least nine impact investors, philanthropic investors and local banks/MFIs (total) join and actively participate in the TAF’s ‘LDN Finance Network’.</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351FA"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CA66E"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9B628"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0E0176"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p w14:paraId="0F5AD90C" w14:textId="77777777" w:rsidR="007C10A7" w:rsidRDefault="00262DFA">
            <w:pPr>
              <w:widowControl w:val="0"/>
              <w:tabs>
                <w:tab w:val="left" w:pos="0"/>
                <w:tab w:val="right" w:pos="73"/>
                <w:tab w:val="right" w:pos="1712"/>
                <w:tab w:val="right" w:pos="4160"/>
                <w:tab w:val="right" w:pos="6528"/>
                <w:tab w:val="right" w:pos="9384"/>
              </w:tabs>
              <w:spacing w:before="240" w:after="240"/>
              <w:ind w:left="0" w:firstLine="0"/>
              <w:rPr>
                <w:i/>
              </w:rPr>
            </w:pPr>
            <w:r>
              <w:rPr>
                <w:i/>
              </w:rPr>
              <w:t>To note: no allocated specific budget for this, as it is part of output 1.2.1 budget and staff time.</w:t>
            </w:r>
          </w:p>
        </w:tc>
      </w:tr>
      <w:tr w:rsidR="007C10A7" w14:paraId="776E3532" w14:textId="77777777">
        <w:trPr>
          <w:trHeight w:val="5520"/>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8A178" w14:textId="77777777" w:rsidR="007C10A7" w:rsidRDefault="00262DFA">
            <w:pPr>
              <w:widowControl w:val="0"/>
              <w:tabs>
                <w:tab w:val="right" w:pos="0"/>
                <w:tab w:val="right" w:pos="1712"/>
                <w:tab w:val="right" w:pos="4160"/>
                <w:tab w:val="right" w:pos="6528"/>
                <w:tab w:val="right" w:pos="9384"/>
              </w:tabs>
              <w:spacing w:before="240" w:after="240"/>
              <w:ind w:left="720" w:hanging="720"/>
            </w:pPr>
            <w:r>
              <w:t>Output 1.3.2:</w:t>
            </w:r>
          </w:p>
          <w:p w14:paraId="49372DDE" w14:textId="77777777" w:rsidR="007C10A7" w:rsidRDefault="00262DFA">
            <w:pPr>
              <w:widowControl w:val="0"/>
              <w:tabs>
                <w:tab w:val="left" w:pos="0"/>
                <w:tab w:val="right" w:pos="73"/>
                <w:tab w:val="right" w:pos="1712"/>
                <w:tab w:val="right" w:pos="4160"/>
                <w:tab w:val="right" w:pos="6528"/>
                <w:tab w:val="right" w:pos="9384"/>
              </w:tabs>
              <w:spacing w:before="240" w:after="240"/>
            </w:pPr>
            <w:r>
              <w:t>TA Hub-supported projects discussed in Finance Network member fund investment committee meetings, also decide on a letter of Intent.</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E77D1B"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75E63" w14:textId="77777777" w:rsidR="007C10A7" w:rsidRDefault="00262DFA">
            <w:pPr>
              <w:widowControl w:val="0"/>
              <w:tabs>
                <w:tab w:val="left" w:pos="0"/>
                <w:tab w:val="right" w:pos="73"/>
                <w:tab w:val="right" w:pos="1712"/>
                <w:tab w:val="right" w:pos="4160"/>
                <w:tab w:val="right" w:pos="6528"/>
                <w:tab w:val="right" w:pos="9384"/>
              </w:tabs>
              <w:spacing w:before="240" w:after="240"/>
            </w:pPr>
            <w:r>
              <w:t>Baseline: 0</w:t>
            </w:r>
          </w:p>
          <w:p w14:paraId="58ACACD1"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 xml:space="preserve"> </w:t>
            </w:r>
          </w:p>
          <w:p w14:paraId="736EB83F" w14:textId="77777777" w:rsidR="007C10A7" w:rsidRDefault="00262DFA">
            <w:pPr>
              <w:widowControl w:val="0"/>
              <w:tabs>
                <w:tab w:val="left" w:pos="0"/>
                <w:tab w:val="right" w:pos="73"/>
                <w:tab w:val="right" w:pos="1712"/>
                <w:tab w:val="right" w:pos="4160"/>
                <w:tab w:val="right" w:pos="6528"/>
                <w:tab w:val="right" w:pos="9384"/>
              </w:tabs>
              <w:spacing w:before="240" w:after="240"/>
            </w:pPr>
            <w:r>
              <w:t>Target: 9</w:t>
            </w:r>
          </w:p>
          <w:p w14:paraId="799F3F6C" w14:textId="77777777" w:rsidR="007C10A7" w:rsidRDefault="00262DFA">
            <w:pPr>
              <w:widowControl w:val="0"/>
              <w:tabs>
                <w:tab w:val="left" w:pos="0"/>
                <w:tab w:val="right" w:pos="73"/>
                <w:tab w:val="right" w:pos="1712"/>
                <w:tab w:val="right" w:pos="4160"/>
                <w:tab w:val="right" w:pos="6528"/>
                <w:tab w:val="right" w:pos="9384"/>
              </w:tabs>
              <w:spacing w:before="240" w:after="240"/>
            </w:pPr>
            <w:r>
              <w:t xml:space="preserve"> </w:t>
            </w:r>
          </w:p>
          <w:p w14:paraId="6D50F9DC" w14:textId="77777777" w:rsidR="007C10A7" w:rsidRDefault="00262DFA">
            <w:pPr>
              <w:widowControl w:val="0"/>
              <w:tabs>
                <w:tab w:val="left" w:pos="0"/>
                <w:tab w:val="right" w:pos="73"/>
                <w:tab w:val="right" w:pos="1712"/>
                <w:tab w:val="right" w:pos="4160"/>
                <w:tab w:val="right" w:pos="6528"/>
                <w:tab w:val="right" w:pos="9384"/>
              </w:tabs>
              <w:spacing w:before="240" w:after="240"/>
            </w:pPr>
            <w:r>
              <w:t>Relevant gender indicator:</w:t>
            </w:r>
          </w:p>
          <w:p w14:paraId="568E4EDA"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t>At least 30 percent of the projects that reach the fund Investment Committee are women-led/owned/ with potential gender transformative impact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3EA9F"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FC9F0A" w14:textId="77777777" w:rsidR="007C10A7" w:rsidRDefault="00262DFA">
            <w:pPr>
              <w:widowControl w:val="0"/>
              <w:tabs>
                <w:tab w:val="left" w:pos="0"/>
                <w:tab w:val="right" w:pos="73"/>
                <w:tab w:val="right" w:pos="1712"/>
                <w:tab w:val="right" w:pos="4160"/>
                <w:tab w:val="right" w:pos="6528"/>
                <w:tab w:val="right" w:pos="9384"/>
              </w:tabs>
              <w:spacing w:before="240" w:after="240"/>
              <w:ind w:left="0"/>
            </w:pPr>
            <w:r>
              <w:rPr>
                <w:i/>
              </w:rPr>
              <w:t xml:space="preserve">N/A </w:t>
            </w:r>
          </w:p>
        </w:tc>
      </w:tr>
      <w:tr w:rsidR="007C10A7" w14:paraId="285C9CBE" w14:textId="77777777">
        <w:trPr>
          <w:trHeight w:val="515"/>
        </w:trPr>
        <w:tc>
          <w:tcPr>
            <w:tcW w:w="9360" w:type="dxa"/>
            <w:gridSpan w:val="5"/>
            <w:tcBorders>
              <w:top w:val="nil"/>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59FBB506"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Component 2: Demonstrating how to replicate the national TA hub approach</w:t>
            </w:r>
          </w:p>
        </w:tc>
      </w:tr>
      <w:tr w:rsidR="007C10A7" w14:paraId="017F3B5E" w14:textId="77777777">
        <w:trPr>
          <w:trHeight w:val="306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5FEA4" w14:textId="77777777" w:rsidR="007C10A7" w:rsidRDefault="00262DFA">
            <w:pPr>
              <w:widowControl w:val="0"/>
              <w:tabs>
                <w:tab w:val="right" w:pos="0"/>
                <w:tab w:val="right" w:pos="1712"/>
                <w:tab w:val="right" w:pos="4160"/>
                <w:tab w:val="right" w:pos="6528"/>
                <w:tab w:val="right" w:pos="9384"/>
              </w:tabs>
              <w:spacing w:before="240" w:after="240"/>
              <w:ind w:left="720" w:hanging="720"/>
            </w:pPr>
            <w:r>
              <w:lastRenderedPageBreak/>
              <w:t>Output 2.1.1:</w:t>
            </w:r>
          </w:p>
          <w:p w14:paraId="0F369659" w14:textId="77777777" w:rsidR="007C10A7" w:rsidRDefault="00262DFA">
            <w:pPr>
              <w:widowControl w:val="0"/>
              <w:tabs>
                <w:tab w:val="left" w:pos="0"/>
                <w:tab w:val="right" w:pos="73"/>
                <w:tab w:val="right" w:pos="1712"/>
                <w:tab w:val="right" w:pos="4160"/>
                <w:tab w:val="right" w:pos="6528"/>
                <w:tab w:val="right" w:pos="9384"/>
              </w:tabs>
              <w:spacing w:before="240" w:after="240"/>
              <w:ind w:left="40" w:hanging="20"/>
            </w:pPr>
            <w:r>
              <w:t>Completion and dissemination of scoping studies in three countries to assess the feasibility and the strategy for replication of TA hub approach.</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293B9" w14:textId="77777777" w:rsidR="007C10A7" w:rsidRDefault="00262DFA">
            <w:pPr>
              <w:widowControl w:val="0"/>
              <w:tabs>
                <w:tab w:val="left" w:pos="0"/>
                <w:tab w:val="right" w:pos="73"/>
                <w:tab w:val="right" w:pos="1712"/>
                <w:tab w:val="right" w:pos="4160"/>
                <w:tab w:val="right" w:pos="6528"/>
                <w:tab w:val="right" w:pos="9384"/>
              </w:tabs>
              <w:spacing w:before="240" w:after="240"/>
              <w:ind w:left="141" w:firstLine="0"/>
            </w:pPr>
            <w:r>
              <w:t xml:space="preserve">Include a dedicated section on gender analysis n each feasibility study </w:t>
            </w:r>
            <w:proofErr w:type="gramStart"/>
            <w:r>
              <w:t>( utilising</w:t>
            </w:r>
            <w:proofErr w:type="gramEnd"/>
            <w:r>
              <w:t xml:space="preserve"> IDH’s </w:t>
            </w:r>
            <w:r>
              <w:rPr>
                <w:highlight w:val="white"/>
              </w:rPr>
              <w:t>gender analysis methodology which consists of 3 steps: initial screening, gender recommendations, and prioritization of focus areas. This can be incorporated into feasibility study requirements)</w:t>
            </w:r>
            <w:r>
              <w:t>.</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9ED4E"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1C604"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66AE2"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 xml:space="preserve">N/A Budget will be included within feasibility studies. </w:t>
            </w:r>
          </w:p>
        </w:tc>
      </w:tr>
      <w:tr w:rsidR="007C10A7" w14:paraId="595DB5CA" w14:textId="77777777">
        <w:trPr>
          <w:trHeight w:val="2780"/>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541C5" w14:textId="77777777" w:rsidR="007C10A7" w:rsidRDefault="00262DFA">
            <w:pPr>
              <w:widowControl w:val="0"/>
              <w:tabs>
                <w:tab w:val="left" w:pos="0"/>
                <w:tab w:val="right" w:pos="73"/>
                <w:tab w:val="right" w:pos="1712"/>
                <w:tab w:val="right" w:pos="4160"/>
                <w:tab w:val="right" w:pos="6528"/>
                <w:tab w:val="right" w:pos="9384"/>
              </w:tabs>
              <w:spacing w:before="240" w:after="240"/>
            </w:pPr>
            <w:r>
              <w:t>Output 2.1.2:</w:t>
            </w:r>
          </w:p>
          <w:p w14:paraId="0F88D406" w14:textId="77777777" w:rsidR="007C10A7" w:rsidRDefault="00262DFA">
            <w:pPr>
              <w:widowControl w:val="0"/>
              <w:tabs>
                <w:tab w:val="left" w:pos="0"/>
                <w:tab w:val="right" w:pos="73"/>
                <w:tab w:val="right" w:pos="1712"/>
                <w:tab w:val="right" w:pos="4160"/>
                <w:tab w:val="right" w:pos="6528"/>
                <w:tab w:val="right" w:pos="9384"/>
              </w:tabs>
              <w:spacing w:before="240" w:after="240"/>
            </w:pPr>
            <w:r>
              <w:t>Completion and dissemination of recommendations report on how to replicate the national TA hub approach</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AA4AA" w14:textId="77777777" w:rsidR="007C10A7" w:rsidRDefault="00262DFA">
            <w:pPr>
              <w:widowControl w:val="0"/>
              <w:tabs>
                <w:tab w:val="left" w:pos="0"/>
                <w:tab w:val="right" w:pos="73"/>
                <w:tab w:val="right" w:pos="1712"/>
                <w:tab w:val="right" w:pos="4160"/>
                <w:tab w:val="right" w:pos="6528"/>
                <w:tab w:val="right" w:pos="9384"/>
              </w:tabs>
              <w:spacing w:before="240" w:after="240"/>
              <w:rPr>
                <w:highlight w:val="white"/>
              </w:rPr>
            </w:pPr>
            <w:r>
              <w:t>Include a dedicated section on gender in the r</w:t>
            </w:r>
            <w:r>
              <w:rPr>
                <w:highlight w:val="white"/>
              </w:rPr>
              <w:t>eport that will be developed with the help of an IDH gender expert.</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CBCB9C"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F0A8F"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4DAE1" w14:textId="77777777" w:rsidR="007C10A7" w:rsidRDefault="00262DFA">
            <w:pPr>
              <w:widowControl w:val="0"/>
              <w:tabs>
                <w:tab w:val="left" w:pos="0"/>
                <w:tab w:val="right" w:pos="73"/>
                <w:tab w:val="right" w:pos="1712"/>
                <w:tab w:val="right" w:pos="4160"/>
                <w:tab w:val="right" w:pos="6528"/>
                <w:tab w:val="right" w:pos="9384"/>
              </w:tabs>
              <w:spacing w:before="240" w:after="240"/>
              <w:ind w:left="0" w:firstLine="0"/>
            </w:pPr>
            <w:r>
              <w:t xml:space="preserve">Estimated </w:t>
            </w:r>
            <w:proofErr w:type="gramStart"/>
            <w:r>
              <w:t>amount :</w:t>
            </w:r>
            <w:proofErr w:type="gramEnd"/>
            <w:r>
              <w:t xml:space="preserve"> USD 10.000</w:t>
            </w:r>
          </w:p>
        </w:tc>
      </w:tr>
      <w:tr w:rsidR="007C10A7" w14:paraId="46A74432" w14:textId="77777777">
        <w:trPr>
          <w:trHeight w:val="515"/>
        </w:trPr>
        <w:tc>
          <w:tcPr>
            <w:tcW w:w="9360" w:type="dxa"/>
            <w:gridSpan w:val="5"/>
            <w:tcBorders>
              <w:top w:val="nil"/>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7B13EE3B" w14:textId="77777777" w:rsidR="007C10A7" w:rsidRDefault="00262DFA">
            <w:pPr>
              <w:widowControl w:val="0"/>
              <w:tabs>
                <w:tab w:val="left" w:pos="0"/>
                <w:tab w:val="right" w:pos="73"/>
                <w:tab w:val="right" w:pos="1712"/>
                <w:tab w:val="right" w:pos="4160"/>
                <w:tab w:val="right" w:pos="6528"/>
                <w:tab w:val="right" w:pos="9384"/>
              </w:tabs>
              <w:spacing w:before="240" w:after="240"/>
              <w:ind w:left="720"/>
            </w:pPr>
            <w:r>
              <w:t xml:space="preserve">Component 3: Project monitoring and evaluation and knowledge management  </w:t>
            </w:r>
          </w:p>
        </w:tc>
      </w:tr>
      <w:tr w:rsidR="007C10A7" w14:paraId="3C7C7C9F" w14:textId="77777777">
        <w:trPr>
          <w:trHeight w:val="2718"/>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00842" w14:textId="77777777" w:rsidR="007C10A7" w:rsidRDefault="00262DFA">
            <w:pPr>
              <w:widowControl w:val="0"/>
              <w:tabs>
                <w:tab w:val="left" w:pos="0"/>
                <w:tab w:val="right" w:pos="73"/>
                <w:tab w:val="right" w:pos="1712"/>
                <w:tab w:val="right" w:pos="4160"/>
                <w:tab w:val="right" w:pos="6528"/>
                <w:tab w:val="right" w:pos="9384"/>
              </w:tabs>
              <w:spacing w:before="240" w:after="240"/>
            </w:pPr>
            <w:r>
              <w:t>Output 3.1.1:</w:t>
            </w:r>
          </w:p>
          <w:p w14:paraId="28799A81" w14:textId="77777777" w:rsidR="007C10A7" w:rsidRDefault="00262DFA">
            <w:pPr>
              <w:widowControl w:val="0"/>
              <w:tabs>
                <w:tab w:val="left" w:pos="0"/>
                <w:tab w:val="right" w:pos="73"/>
                <w:tab w:val="right" w:pos="1712"/>
                <w:tab w:val="right" w:pos="4160"/>
                <w:tab w:val="right" w:pos="6528"/>
                <w:tab w:val="right" w:pos="9384"/>
              </w:tabs>
              <w:spacing w:before="240" w:after="240"/>
              <w:rPr>
                <w:i/>
              </w:rPr>
            </w:pPr>
            <w:r>
              <w:t xml:space="preserve">Annual   M&amp;E </w:t>
            </w:r>
            <w:proofErr w:type="gramStart"/>
            <w:r>
              <w:t>reports  (</w:t>
            </w:r>
            <w:proofErr w:type="gramEnd"/>
            <w:r>
              <w:t xml:space="preserve">including project progress reports and annual adaptive management meetings) </w:t>
            </w:r>
            <w:r>
              <w:lastRenderedPageBreak/>
              <w:t>completed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290820" w14:textId="77777777" w:rsidR="007C10A7" w:rsidRDefault="00262DFA">
            <w:pPr>
              <w:widowControl w:val="0"/>
              <w:tabs>
                <w:tab w:val="left" w:pos="0"/>
                <w:tab w:val="right" w:pos="73"/>
                <w:tab w:val="right" w:pos="1712"/>
                <w:tab w:val="right" w:pos="4160"/>
                <w:tab w:val="right" w:pos="6528"/>
                <w:tab w:val="right" w:pos="9384"/>
              </w:tabs>
              <w:spacing w:before="240" w:after="240"/>
            </w:pPr>
            <w:r>
              <w:lastRenderedPageBreak/>
              <w:t>Gender disaggregated reporting</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29957C"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87211"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CBC9B"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r>
      <w:tr w:rsidR="007C10A7" w14:paraId="41293975" w14:textId="77777777">
        <w:trPr>
          <w:trHeight w:val="352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5B269" w14:textId="77777777" w:rsidR="007C10A7" w:rsidRDefault="00262DFA">
            <w:pPr>
              <w:widowControl w:val="0"/>
              <w:tabs>
                <w:tab w:val="left" w:pos="0"/>
                <w:tab w:val="right" w:pos="73"/>
                <w:tab w:val="right" w:pos="1712"/>
                <w:tab w:val="right" w:pos="4160"/>
                <w:tab w:val="right" w:pos="6528"/>
                <w:tab w:val="right" w:pos="9384"/>
              </w:tabs>
              <w:spacing w:before="240" w:after="240"/>
            </w:pPr>
            <w:r>
              <w:t>Output 3.2.1:</w:t>
            </w:r>
          </w:p>
          <w:p w14:paraId="515A2708" w14:textId="77777777" w:rsidR="007C10A7" w:rsidRDefault="00262DFA">
            <w:pPr>
              <w:widowControl w:val="0"/>
              <w:tabs>
                <w:tab w:val="left" w:pos="0"/>
                <w:tab w:val="right" w:pos="73"/>
                <w:tab w:val="right" w:pos="1712"/>
                <w:tab w:val="right" w:pos="4160"/>
                <w:tab w:val="right" w:pos="6528"/>
                <w:tab w:val="right" w:pos="9384"/>
              </w:tabs>
              <w:spacing w:before="240" w:after="240"/>
            </w:pPr>
            <w:r>
              <w:t>Lessons learnt documents, case studies and tools for LDN public/private collaboration are shared with public and private LDN stakeholders at a regional and global scale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8434A" w14:textId="77777777" w:rsidR="007C10A7" w:rsidRDefault="00262DFA">
            <w:pPr>
              <w:widowControl w:val="0"/>
              <w:tabs>
                <w:tab w:val="left" w:pos="0"/>
                <w:tab w:val="right" w:pos="73"/>
                <w:tab w:val="right" w:pos="1712"/>
                <w:tab w:val="right" w:pos="4160"/>
                <w:tab w:val="right" w:pos="6528"/>
                <w:tab w:val="right" w:pos="9384"/>
              </w:tabs>
              <w:spacing w:before="240" w:after="240"/>
            </w:pPr>
            <w:r>
              <w:t>Include sections on gender in reports, cases, other learning shared</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5A1825"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D0801"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c>
          <w:tcPr>
            <w:tcW w:w="18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8C98E" w14:textId="77777777" w:rsidR="007C10A7" w:rsidRDefault="00262DFA">
            <w:pPr>
              <w:widowControl w:val="0"/>
              <w:tabs>
                <w:tab w:val="left" w:pos="0"/>
                <w:tab w:val="right" w:pos="73"/>
                <w:tab w:val="right" w:pos="1712"/>
                <w:tab w:val="right" w:pos="4160"/>
                <w:tab w:val="right" w:pos="6528"/>
                <w:tab w:val="right" w:pos="9384"/>
              </w:tabs>
              <w:spacing w:before="240" w:after="240"/>
              <w:ind w:left="720"/>
              <w:rPr>
                <w:i/>
              </w:rPr>
            </w:pPr>
            <w:r>
              <w:rPr>
                <w:i/>
              </w:rPr>
              <w:t>N/A</w:t>
            </w:r>
          </w:p>
        </w:tc>
      </w:tr>
    </w:tbl>
    <w:p w14:paraId="658E146B" w14:textId="77777777" w:rsidR="007C10A7" w:rsidRDefault="00262DFA">
      <w:pPr>
        <w:widowControl w:val="0"/>
        <w:tabs>
          <w:tab w:val="left" w:pos="0"/>
          <w:tab w:val="right" w:pos="73"/>
          <w:tab w:val="right" w:pos="1712"/>
          <w:tab w:val="right" w:pos="4160"/>
          <w:tab w:val="right" w:pos="6528"/>
          <w:tab w:val="right" w:pos="9384"/>
        </w:tabs>
        <w:spacing w:before="240" w:after="240"/>
        <w:jc w:val="both"/>
        <w:rPr>
          <w:rFonts w:ascii="Calibri" w:eastAsia="Calibri" w:hAnsi="Calibri" w:cs="Calibri"/>
          <w:b/>
          <w:i/>
          <w:sz w:val="28"/>
          <w:szCs w:val="28"/>
        </w:rPr>
      </w:pPr>
      <w:r>
        <w:rPr>
          <w:rFonts w:ascii="Calibri" w:eastAsia="Calibri" w:hAnsi="Calibri" w:cs="Calibri"/>
          <w:b/>
          <w:i/>
          <w:sz w:val="28"/>
          <w:szCs w:val="28"/>
        </w:rPr>
        <w:t xml:space="preserve"> </w:t>
      </w:r>
    </w:p>
    <w:p w14:paraId="16B241B0" w14:textId="77777777" w:rsidR="007C10A7" w:rsidRDefault="007C10A7">
      <w:pPr>
        <w:widowControl w:val="0"/>
        <w:tabs>
          <w:tab w:val="left" w:pos="0"/>
          <w:tab w:val="right" w:pos="73"/>
          <w:tab w:val="right" w:pos="1712"/>
          <w:tab w:val="right" w:pos="4160"/>
          <w:tab w:val="right" w:pos="6528"/>
          <w:tab w:val="right" w:pos="9384"/>
        </w:tabs>
        <w:jc w:val="both"/>
        <w:rPr>
          <w:rFonts w:ascii="Calibri" w:eastAsia="Calibri" w:hAnsi="Calibri" w:cs="Calibri"/>
          <w:i/>
        </w:rPr>
      </w:pPr>
    </w:p>
    <w:p w14:paraId="4F8EB73B" w14:textId="77777777" w:rsidR="007C10A7" w:rsidRDefault="00633FD9">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rPr>
      </w:pPr>
      <w:r>
        <w:pict w14:anchorId="767796C9">
          <v:rect id="_x0000_i1025" style="width:0;height:1.5pt" o:hralign="center" o:hrstd="t" o:hr="t" fillcolor="#a0a0a0" stroked="f"/>
        </w:pict>
      </w:r>
    </w:p>
    <w:p w14:paraId="3118386A" w14:textId="77777777" w:rsidR="007C10A7" w:rsidRDefault="00633FD9">
      <w:pPr>
        <w:widowControl w:val="0"/>
        <w:tabs>
          <w:tab w:val="left" w:pos="0"/>
          <w:tab w:val="right" w:pos="73"/>
          <w:tab w:val="right" w:pos="1712"/>
          <w:tab w:val="right" w:pos="4160"/>
          <w:tab w:val="right" w:pos="6528"/>
          <w:tab w:val="right" w:pos="9384"/>
        </w:tabs>
        <w:spacing w:before="240" w:after="240"/>
        <w:jc w:val="both"/>
        <w:rPr>
          <w:rFonts w:ascii="Calibri" w:eastAsia="Calibri" w:hAnsi="Calibri" w:cs="Calibri"/>
          <w:i/>
          <w:sz w:val="20"/>
          <w:szCs w:val="20"/>
        </w:rPr>
      </w:pPr>
      <w:hyperlink r:id="rId11" w:anchor="_ftnref1">
        <w:r w:rsidR="00262DFA">
          <w:rPr>
            <w:i/>
            <w:color w:val="1155CC"/>
            <w:sz w:val="40"/>
            <w:szCs w:val="40"/>
            <w:u w:val="single"/>
            <w:vertAlign w:val="superscript"/>
          </w:rPr>
          <w:t>[1]</w:t>
        </w:r>
      </w:hyperlink>
      <w:r w:rsidR="00262DFA">
        <w:rPr>
          <w:rFonts w:ascii="Calibri" w:eastAsia="Calibri" w:hAnsi="Calibri" w:cs="Calibri"/>
          <w:i/>
          <w:sz w:val="20"/>
          <w:szCs w:val="20"/>
        </w:rPr>
        <w:t xml:space="preserve"> Micro-finance Institutions</w:t>
      </w:r>
    </w:p>
    <w:p w14:paraId="0938F628" w14:textId="77777777" w:rsidR="007C10A7" w:rsidRDefault="007C10A7">
      <w:pPr>
        <w:pBdr>
          <w:bottom w:val="single" w:sz="4" w:space="1" w:color="000000"/>
        </w:pBdr>
        <w:rPr>
          <w:rFonts w:ascii="Calibri" w:eastAsia="Calibri" w:hAnsi="Calibri" w:cs="Calibri"/>
          <w:b/>
          <w:sz w:val="28"/>
          <w:szCs w:val="28"/>
        </w:rPr>
      </w:pPr>
    </w:p>
    <w:p w14:paraId="6948001F" w14:textId="77777777" w:rsidR="007C10A7" w:rsidRDefault="007C10A7">
      <w:pPr>
        <w:pBdr>
          <w:bottom w:val="single" w:sz="4" w:space="1" w:color="000000"/>
        </w:pBdr>
        <w:rPr>
          <w:rFonts w:ascii="Calibri" w:eastAsia="Calibri" w:hAnsi="Calibri" w:cs="Calibri"/>
          <w:b/>
          <w:sz w:val="28"/>
          <w:szCs w:val="28"/>
        </w:rPr>
      </w:pPr>
    </w:p>
    <w:p w14:paraId="0A3989D2" w14:textId="77777777" w:rsidR="007C10A7" w:rsidRDefault="00262DFA">
      <w:pPr>
        <w:pBdr>
          <w:bottom w:val="single" w:sz="4" w:space="1" w:color="000000"/>
        </w:pBdr>
        <w:rPr>
          <w:rFonts w:ascii="Calibri" w:eastAsia="Calibri" w:hAnsi="Calibri" w:cs="Calibri"/>
          <w:b/>
          <w:sz w:val="28"/>
          <w:szCs w:val="28"/>
        </w:rPr>
      </w:pPr>
      <w:r>
        <w:rPr>
          <w:rFonts w:ascii="Calibri" w:eastAsia="Calibri" w:hAnsi="Calibri" w:cs="Calibri"/>
          <w:b/>
          <w:sz w:val="28"/>
          <w:szCs w:val="28"/>
        </w:rPr>
        <w:t>SECTION IV: Monitoring and Reporting</w:t>
      </w:r>
    </w:p>
    <w:p w14:paraId="5C68E79F"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sz w:val="22"/>
          <w:szCs w:val="22"/>
          <w:highlight w:val="white"/>
        </w:rPr>
      </w:pPr>
    </w:p>
    <w:p w14:paraId="3F8AB0A7"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i/>
          <w:color w:val="000000"/>
          <w:sz w:val="22"/>
          <w:szCs w:val="22"/>
        </w:rPr>
      </w:pPr>
      <w:r>
        <w:rPr>
          <w:rFonts w:ascii="Calibri" w:eastAsia="Calibri" w:hAnsi="Calibri" w:cs="Calibri"/>
          <w:i/>
          <w:sz w:val="22"/>
          <w:szCs w:val="22"/>
          <w:highlight w:val="white"/>
        </w:rPr>
        <w:t>Target below aligned with target mentioned in the RF (50% are women).</w:t>
      </w:r>
    </w:p>
    <w:tbl>
      <w:tblPr>
        <w:tblStyle w:val="a5"/>
        <w:tblW w:w="93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1"/>
        <w:gridCol w:w="782"/>
        <w:gridCol w:w="782"/>
        <w:gridCol w:w="782"/>
        <w:gridCol w:w="782"/>
        <w:gridCol w:w="782"/>
        <w:gridCol w:w="782"/>
      </w:tblGrid>
      <w:tr w:rsidR="007C10A7" w14:paraId="13A2388C" w14:textId="77777777">
        <w:tc>
          <w:tcPr>
            <w:tcW w:w="4681" w:type="dxa"/>
            <w:vMerge w:val="restart"/>
          </w:tcPr>
          <w:p w14:paraId="46A7D41A"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color w:val="000000"/>
                <w:sz w:val="22"/>
                <w:szCs w:val="22"/>
              </w:rPr>
            </w:pPr>
            <w:r>
              <w:rPr>
                <w:b/>
                <w:color w:val="000000"/>
                <w:sz w:val="22"/>
                <w:szCs w:val="22"/>
              </w:rPr>
              <w:t>Indicator</w:t>
            </w:r>
          </w:p>
        </w:tc>
        <w:tc>
          <w:tcPr>
            <w:tcW w:w="2346" w:type="dxa"/>
            <w:gridSpan w:val="3"/>
          </w:tcPr>
          <w:p w14:paraId="2F80D6B1"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color w:val="000000"/>
                <w:sz w:val="22"/>
                <w:szCs w:val="22"/>
              </w:rPr>
            </w:pPr>
            <w:r>
              <w:rPr>
                <w:b/>
                <w:color w:val="000000"/>
                <w:sz w:val="22"/>
                <w:szCs w:val="22"/>
              </w:rPr>
              <w:t>Baseline</w:t>
            </w:r>
          </w:p>
        </w:tc>
        <w:tc>
          <w:tcPr>
            <w:tcW w:w="1564" w:type="dxa"/>
            <w:gridSpan w:val="2"/>
          </w:tcPr>
          <w:p w14:paraId="7CB917B1"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color w:val="000000"/>
                <w:sz w:val="22"/>
                <w:szCs w:val="22"/>
              </w:rPr>
            </w:pPr>
            <w:r>
              <w:rPr>
                <w:b/>
                <w:color w:val="000000"/>
                <w:sz w:val="22"/>
                <w:szCs w:val="22"/>
              </w:rPr>
              <w:t>Target</w:t>
            </w:r>
            <w:r>
              <w:rPr>
                <w:b/>
                <w:color w:val="000000"/>
                <w:sz w:val="22"/>
                <w:szCs w:val="22"/>
                <w:vertAlign w:val="superscript"/>
              </w:rPr>
              <w:footnoteReference w:id="15"/>
            </w:r>
          </w:p>
        </w:tc>
        <w:tc>
          <w:tcPr>
            <w:tcW w:w="782" w:type="dxa"/>
          </w:tcPr>
          <w:p w14:paraId="63CEE7DF"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color w:val="000000"/>
                <w:sz w:val="22"/>
                <w:szCs w:val="22"/>
              </w:rPr>
            </w:pPr>
          </w:p>
        </w:tc>
      </w:tr>
      <w:tr w:rsidR="007C10A7" w14:paraId="324CED13" w14:textId="77777777">
        <w:tc>
          <w:tcPr>
            <w:tcW w:w="4681" w:type="dxa"/>
            <w:vMerge/>
          </w:tcPr>
          <w:p w14:paraId="516000DD" w14:textId="77777777" w:rsidR="007C10A7" w:rsidRDefault="007C10A7">
            <w:pPr>
              <w:widowControl w:val="0"/>
              <w:pBdr>
                <w:top w:val="nil"/>
                <w:left w:val="nil"/>
                <w:bottom w:val="nil"/>
                <w:right w:val="nil"/>
                <w:between w:val="nil"/>
              </w:pBdr>
              <w:spacing w:after="0" w:line="276" w:lineRule="auto"/>
              <w:ind w:left="0" w:firstLine="0"/>
              <w:rPr>
                <w:b/>
                <w:color w:val="000000"/>
                <w:sz w:val="22"/>
                <w:szCs w:val="22"/>
              </w:rPr>
            </w:pPr>
          </w:p>
        </w:tc>
        <w:tc>
          <w:tcPr>
            <w:tcW w:w="782" w:type="dxa"/>
          </w:tcPr>
          <w:p w14:paraId="6B0E0C5A"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Men</w:t>
            </w:r>
          </w:p>
        </w:tc>
        <w:tc>
          <w:tcPr>
            <w:tcW w:w="782" w:type="dxa"/>
          </w:tcPr>
          <w:p w14:paraId="14FCD262"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Women</w:t>
            </w:r>
          </w:p>
        </w:tc>
        <w:tc>
          <w:tcPr>
            <w:tcW w:w="782" w:type="dxa"/>
          </w:tcPr>
          <w:p w14:paraId="421FAC7A"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Other</w:t>
            </w:r>
          </w:p>
        </w:tc>
        <w:tc>
          <w:tcPr>
            <w:tcW w:w="782" w:type="dxa"/>
          </w:tcPr>
          <w:p w14:paraId="5428AAF9"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Men</w:t>
            </w:r>
          </w:p>
        </w:tc>
        <w:tc>
          <w:tcPr>
            <w:tcW w:w="782" w:type="dxa"/>
          </w:tcPr>
          <w:p w14:paraId="3733E674"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Women</w:t>
            </w:r>
          </w:p>
        </w:tc>
        <w:tc>
          <w:tcPr>
            <w:tcW w:w="782" w:type="dxa"/>
          </w:tcPr>
          <w:p w14:paraId="5D1CBB5E"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center"/>
              <w:rPr>
                <w:b/>
                <w:i/>
                <w:color w:val="000000"/>
                <w:sz w:val="22"/>
                <w:szCs w:val="22"/>
              </w:rPr>
            </w:pPr>
            <w:r>
              <w:rPr>
                <w:b/>
                <w:i/>
                <w:color w:val="000000"/>
                <w:sz w:val="22"/>
                <w:szCs w:val="22"/>
              </w:rPr>
              <w:t>Other</w:t>
            </w:r>
          </w:p>
        </w:tc>
      </w:tr>
      <w:tr w:rsidR="007C10A7" w14:paraId="7D028BBB" w14:textId="77777777">
        <w:tc>
          <w:tcPr>
            <w:tcW w:w="4681" w:type="dxa"/>
          </w:tcPr>
          <w:p w14:paraId="4C2FC945" w14:textId="77777777" w:rsidR="007C10A7" w:rsidRDefault="00262DFA">
            <w:pPr>
              <w:widowControl w:val="0"/>
              <w:numPr>
                <w:ilvl w:val="0"/>
                <w:numId w:val="1"/>
              </w:numPr>
              <w:pBdr>
                <w:top w:val="nil"/>
                <w:left w:val="nil"/>
                <w:bottom w:val="nil"/>
                <w:right w:val="nil"/>
                <w:between w:val="nil"/>
              </w:pBdr>
              <w:tabs>
                <w:tab w:val="left" w:pos="0"/>
                <w:tab w:val="right" w:pos="73"/>
                <w:tab w:val="right" w:pos="1712"/>
                <w:tab w:val="right" w:pos="4160"/>
                <w:tab w:val="right" w:pos="6528"/>
                <w:tab w:val="right" w:pos="9384"/>
              </w:tabs>
              <w:ind w:left="330"/>
              <w:rPr>
                <w:color w:val="000000"/>
                <w:sz w:val="22"/>
                <w:szCs w:val="22"/>
              </w:rPr>
            </w:pPr>
            <w:r>
              <w:rPr>
                <w:color w:val="000000"/>
                <w:sz w:val="22"/>
                <w:szCs w:val="22"/>
              </w:rPr>
              <w:lastRenderedPageBreak/>
              <w:t>Number of persons (disaggregated by gender) who participated in the project implementation phase.</w:t>
            </w:r>
          </w:p>
        </w:tc>
        <w:tc>
          <w:tcPr>
            <w:tcW w:w="782" w:type="dxa"/>
          </w:tcPr>
          <w:p w14:paraId="60492DF6"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727524A9"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130C4F9F"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5A5753B6"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4500</w:t>
            </w:r>
          </w:p>
        </w:tc>
        <w:tc>
          <w:tcPr>
            <w:tcW w:w="782" w:type="dxa"/>
          </w:tcPr>
          <w:p w14:paraId="63335BDC"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4500</w:t>
            </w:r>
          </w:p>
        </w:tc>
        <w:tc>
          <w:tcPr>
            <w:tcW w:w="782" w:type="dxa"/>
          </w:tcPr>
          <w:p w14:paraId="4457F298"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p>
        </w:tc>
      </w:tr>
      <w:tr w:rsidR="007C10A7" w14:paraId="3188B558" w14:textId="77777777">
        <w:tc>
          <w:tcPr>
            <w:tcW w:w="4681" w:type="dxa"/>
          </w:tcPr>
          <w:p w14:paraId="65B76EF5" w14:textId="77777777" w:rsidR="007C10A7" w:rsidRDefault="00262DFA">
            <w:pPr>
              <w:widowControl w:val="0"/>
              <w:numPr>
                <w:ilvl w:val="0"/>
                <w:numId w:val="1"/>
              </w:numPr>
              <w:pBdr>
                <w:top w:val="nil"/>
                <w:left w:val="nil"/>
                <w:bottom w:val="nil"/>
                <w:right w:val="nil"/>
                <w:between w:val="nil"/>
              </w:pBdr>
              <w:tabs>
                <w:tab w:val="left" w:pos="0"/>
                <w:tab w:val="right" w:pos="73"/>
                <w:tab w:val="right" w:pos="1712"/>
                <w:tab w:val="right" w:pos="4160"/>
                <w:tab w:val="right" w:pos="6528"/>
                <w:tab w:val="right" w:pos="9384"/>
              </w:tabs>
              <w:ind w:left="330"/>
              <w:rPr>
                <w:color w:val="000000"/>
                <w:sz w:val="22"/>
                <w:szCs w:val="22"/>
              </w:rPr>
            </w:pPr>
            <w:r>
              <w:rPr>
                <w:color w:val="000000"/>
                <w:sz w:val="22"/>
                <w:szCs w:val="22"/>
              </w:rPr>
              <w:t>Number of persons (disaggregated by gender) who received benefits in the project implementation phase.</w:t>
            </w:r>
          </w:p>
        </w:tc>
        <w:tc>
          <w:tcPr>
            <w:tcW w:w="782" w:type="dxa"/>
          </w:tcPr>
          <w:p w14:paraId="492887BE"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32EC5C97"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30A8DB28"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0</w:t>
            </w:r>
          </w:p>
        </w:tc>
        <w:tc>
          <w:tcPr>
            <w:tcW w:w="782" w:type="dxa"/>
          </w:tcPr>
          <w:p w14:paraId="58EC6040"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4500</w:t>
            </w:r>
          </w:p>
        </w:tc>
        <w:tc>
          <w:tcPr>
            <w:tcW w:w="782" w:type="dxa"/>
          </w:tcPr>
          <w:p w14:paraId="7F356577"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4500</w:t>
            </w:r>
          </w:p>
        </w:tc>
        <w:tc>
          <w:tcPr>
            <w:tcW w:w="782" w:type="dxa"/>
          </w:tcPr>
          <w:p w14:paraId="3E828DDA"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p>
        </w:tc>
      </w:tr>
      <w:tr w:rsidR="007C10A7" w14:paraId="0F323011" w14:textId="77777777">
        <w:tc>
          <w:tcPr>
            <w:tcW w:w="4681" w:type="dxa"/>
          </w:tcPr>
          <w:p w14:paraId="64A1BFF1" w14:textId="77777777" w:rsidR="007C10A7" w:rsidRDefault="00262DFA">
            <w:pPr>
              <w:widowControl w:val="0"/>
              <w:numPr>
                <w:ilvl w:val="0"/>
                <w:numId w:val="1"/>
              </w:numPr>
              <w:pBdr>
                <w:top w:val="nil"/>
                <w:left w:val="nil"/>
                <w:bottom w:val="nil"/>
                <w:right w:val="nil"/>
                <w:between w:val="nil"/>
              </w:pBdr>
              <w:tabs>
                <w:tab w:val="left" w:pos="0"/>
                <w:tab w:val="right" w:pos="73"/>
                <w:tab w:val="right" w:pos="1712"/>
                <w:tab w:val="right" w:pos="4160"/>
                <w:tab w:val="right" w:pos="6528"/>
                <w:tab w:val="right" w:pos="9384"/>
              </w:tabs>
              <w:ind w:left="330"/>
              <w:rPr>
                <w:color w:val="000000"/>
                <w:sz w:val="22"/>
                <w:szCs w:val="22"/>
              </w:rPr>
            </w:pPr>
            <w:r>
              <w:rPr>
                <w:color w:val="000000"/>
                <w:sz w:val="22"/>
                <w:szCs w:val="22"/>
              </w:rPr>
              <w:t>Number of documents (disaggregated by type) derived from the project that included gender considerations or address gender gaps.</w:t>
            </w:r>
          </w:p>
        </w:tc>
        <w:tc>
          <w:tcPr>
            <w:tcW w:w="2346" w:type="dxa"/>
            <w:gridSpan w:val="3"/>
          </w:tcPr>
          <w:p w14:paraId="2C4D6BA0"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p>
        </w:tc>
        <w:tc>
          <w:tcPr>
            <w:tcW w:w="2346" w:type="dxa"/>
            <w:gridSpan w:val="3"/>
          </w:tcPr>
          <w:p w14:paraId="3126A242"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jc w:val="both"/>
              <w:rPr>
                <w:b/>
                <w:color w:val="000000"/>
                <w:sz w:val="22"/>
                <w:szCs w:val="22"/>
              </w:rPr>
            </w:pPr>
            <w:r>
              <w:rPr>
                <w:b/>
                <w:sz w:val="22"/>
                <w:szCs w:val="22"/>
              </w:rPr>
              <w:t>44</w:t>
            </w:r>
            <w:r>
              <w:rPr>
                <w:b/>
                <w:color w:val="000000"/>
                <w:sz w:val="22"/>
                <w:szCs w:val="22"/>
              </w:rPr>
              <w:t xml:space="preserve"> </w:t>
            </w:r>
            <w:r>
              <w:rPr>
                <w:b/>
                <w:sz w:val="22"/>
                <w:szCs w:val="22"/>
              </w:rPr>
              <w:t>total</w:t>
            </w:r>
          </w:p>
          <w:p w14:paraId="322B7C3E"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rPr>
                <w:b/>
                <w:sz w:val="22"/>
                <w:szCs w:val="22"/>
                <w:highlight w:val="white"/>
              </w:rPr>
            </w:pPr>
            <w:r>
              <w:rPr>
                <w:b/>
                <w:sz w:val="22"/>
                <w:szCs w:val="22"/>
                <w:highlight w:val="white"/>
              </w:rPr>
              <w:t>1- business coaches toolkit</w:t>
            </w:r>
          </w:p>
          <w:p w14:paraId="494A2E30"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rPr>
                <w:b/>
                <w:sz w:val="22"/>
                <w:szCs w:val="22"/>
                <w:highlight w:val="white"/>
              </w:rPr>
            </w:pPr>
            <w:r>
              <w:rPr>
                <w:b/>
                <w:sz w:val="22"/>
                <w:szCs w:val="22"/>
                <w:highlight w:val="white"/>
              </w:rPr>
              <w:t>3- scoping studies</w:t>
            </w:r>
          </w:p>
          <w:p w14:paraId="3DDAD535" w14:textId="77777777" w:rsidR="007C10A7" w:rsidRDefault="00262DFA">
            <w:pPr>
              <w:widowControl w:val="0"/>
              <w:pBdr>
                <w:top w:val="nil"/>
                <w:left w:val="nil"/>
                <w:bottom w:val="nil"/>
                <w:right w:val="nil"/>
                <w:between w:val="nil"/>
              </w:pBdr>
              <w:tabs>
                <w:tab w:val="left" w:pos="0"/>
                <w:tab w:val="right" w:pos="73"/>
                <w:tab w:val="right" w:pos="1712"/>
                <w:tab w:val="right" w:pos="4160"/>
                <w:tab w:val="right" w:pos="6528"/>
                <w:tab w:val="right" w:pos="9384"/>
              </w:tabs>
              <w:ind w:left="0" w:firstLine="0"/>
              <w:rPr>
                <w:b/>
                <w:sz w:val="22"/>
                <w:szCs w:val="22"/>
              </w:rPr>
            </w:pPr>
            <w:r>
              <w:rPr>
                <w:b/>
                <w:sz w:val="22"/>
                <w:szCs w:val="22"/>
                <w:highlight w:val="white"/>
              </w:rPr>
              <w:t>40- investment roadmaps</w:t>
            </w:r>
          </w:p>
        </w:tc>
      </w:tr>
    </w:tbl>
    <w:p w14:paraId="136ABF8A" w14:textId="77777777" w:rsidR="007C10A7" w:rsidRDefault="00262DFA">
      <w:pPr>
        <w:widowControl w:val="0"/>
        <w:numPr>
          <w:ilvl w:val="0"/>
          <w:numId w:val="2"/>
        </w:numPr>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highlight w:val="white"/>
        </w:rPr>
        <w:t xml:space="preserve">The above targets have taken into consideration that </w:t>
      </w:r>
      <w:proofErr w:type="gramStart"/>
      <w:r>
        <w:rPr>
          <w:rFonts w:ascii="Calibri" w:eastAsia="Calibri" w:hAnsi="Calibri" w:cs="Calibri"/>
          <w:sz w:val="22"/>
          <w:szCs w:val="22"/>
          <w:highlight w:val="white"/>
        </w:rPr>
        <w:t>these individual</w:t>
      </w:r>
      <w:proofErr w:type="gramEnd"/>
      <w:r>
        <w:rPr>
          <w:rFonts w:ascii="Calibri" w:eastAsia="Calibri" w:hAnsi="Calibri" w:cs="Calibri"/>
          <w:sz w:val="22"/>
          <w:szCs w:val="22"/>
          <w:highlight w:val="white"/>
        </w:rPr>
        <w:t xml:space="preserve"> will be participating in activities implemented by the project. For example, through technical assistance and training. it has been noted that a target for beneficiaries can be different from one that includes those directly participating in activities implemented by the project.</w:t>
      </w:r>
      <w:r>
        <w:rPr>
          <w:rFonts w:ascii="Calibri" w:eastAsia="Calibri" w:hAnsi="Calibri" w:cs="Calibri"/>
          <w:sz w:val="22"/>
          <w:szCs w:val="22"/>
        </w:rPr>
        <w:t xml:space="preserve"> </w:t>
      </w:r>
      <w:r>
        <w:rPr>
          <w:rFonts w:ascii="Calibri" w:eastAsia="Calibri" w:hAnsi="Calibri" w:cs="Calibri"/>
          <w:sz w:val="22"/>
          <w:szCs w:val="22"/>
          <w:highlight w:val="white"/>
        </w:rPr>
        <w:t xml:space="preserve">It is additionally, acknowledged that the female ratio may change and overshoot the male number of beneficiaries. </w:t>
      </w:r>
    </w:p>
    <w:p w14:paraId="0142CFED" w14:textId="77777777" w:rsidR="007C10A7" w:rsidRDefault="007C10A7">
      <w:pPr>
        <w:widowControl w:val="0"/>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Calibri" w:eastAsia="Calibri" w:hAnsi="Calibri" w:cs="Calibri"/>
          <w:b/>
          <w:sz w:val="28"/>
          <w:szCs w:val="28"/>
        </w:rPr>
      </w:pPr>
    </w:p>
    <w:p w14:paraId="7B2F72D0" w14:textId="77777777" w:rsidR="007C10A7" w:rsidRDefault="00262DFA">
      <w:pPr>
        <w:widowControl w:val="0"/>
        <w:pBdr>
          <w:top w:val="nil"/>
          <w:left w:val="nil"/>
          <w:bottom w:val="single" w:sz="4" w:space="1" w:color="000000"/>
          <w:right w:val="nil"/>
          <w:between w:val="nil"/>
        </w:pBdr>
        <w:tabs>
          <w:tab w:val="left" w:pos="0"/>
          <w:tab w:val="right" w:pos="73"/>
          <w:tab w:val="right" w:pos="1712"/>
          <w:tab w:val="right" w:pos="4160"/>
          <w:tab w:val="right" w:pos="6528"/>
          <w:tab w:val="right" w:pos="9384"/>
        </w:tabs>
        <w:jc w:val="both"/>
        <w:rPr>
          <w:rFonts w:ascii="Arial" w:eastAsia="Arial" w:hAnsi="Arial" w:cs="Arial"/>
          <w:b/>
          <w:color w:val="3F3F3F"/>
          <w:sz w:val="20"/>
          <w:szCs w:val="20"/>
        </w:rPr>
      </w:pPr>
      <w:r>
        <w:rPr>
          <w:rFonts w:ascii="Calibri" w:eastAsia="Calibri" w:hAnsi="Calibri" w:cs="Calibri"/>
          <w:b/>
          <w:color w:val="000000"/>
          <w:sz w:val="28"/>
          <w:szCs w:val="28"/>
        </w:rPr>
        <w:t xml:space="preserve">SECTION V: </w:t>
      </w:r>
      <w:r>
        <w:rPr>
          <w:rFonts w:ascii="Calibri" w:eastAsia="Calibri" w:hAnsi="Calibri" w:cs="Calibri"/>
          <w:b/>
          <w:color w:val="3F3F3F"/>
          <w:sz w:val="28"/>
          <w:szCs w:val="28"/>
        </w:rPr>
        <w:t>Considerations for the Implementation of the GMP</w:t>
      </w:r>
    </w:p>
    <w:p w14:paraId="66548CD9" w14:textId="77777777" w:rsidR="007C10A7" w:rsidRDefault="00262DFA">
      <w:pPr>
        <w:widowControl w:val="0"/>
        <w:numPr>
          <w:ilvl w:val="0"/>
          <w:numId w:val="12"/>
        </w:numPr>
        <w:pBdr>
          <w:top w:val="nil"/>
          <w:left w:val="nil"/>
          <w:bottom w:val="nil"/>
          <w:right w:val="nil"/>
          <w:between w:val="nil"/>
        </w:pBdr>
        <w:tabs>
          <w:tab w:val="left" w:pos="0"/>
          <w:tab w:val="right" w:pos="73"/>
          <w:tab w:val="right" w:pos="1712"/>
          <w:tab w:val="right" w:pos="4160"/>
          <w:tab w:val="right" w:pos="6528"/>
          <w:tab w:val="right" w:pos="9384"/>
        </w:tabs>
        <w:ind w:left="360"/>
        <w:jc w:val="both"/>
        <w:rPr>
          <w:rFonts w:ascii="Calibri" w:eastAsia="Calibri" w:hAnsi="Calibri" w:cs="Calibri"/>
          <w:b/>
          <w:color w:val="000000"/>
          <w:sz w:val="22"/>
          <w:szCs w:val="22"/>
        </w:rPr>
      </w:pPr>
      <w:r>
        <w:rPr>
          <w:rFonts w:ascii="Calibri" w:eastAsia="Calibri" w:hAnsi="Calibri" w:cs="Calibri"/>
          <w:b/>
          <w:color w:val="000000"/>
          <w:sz w:val="22"/>
          <w:szCs w:val="22"/>
        </w:rPr>
        <w:t>Alignment + integration</w:t>
      </w:r>
    </w:p>
    <w:p w14:paraId="54AC4CCE" w14:textId="77777777" w:rsidR="007C10A7" w:rsidRDefault="00262DFA">
      <w:pPr>
        <w:widowControl w:val="0"/>
        <w:numPr>
          <w:ilvl w:val="0"/>
          <w:numId w:val="13"/>
        </w:numPr>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color w:val="000000"/>
          <w:sz w:val="22"/>
          <w:szCs w:val="22"/>
        </w:rPr>
      </w:pPr>
      <w:r>
        <w:rPr>
          <w:rFonts w:ascii="Calibri" w:eastAsia="Calibri" w:hAnsi="Calibri" w:cs="Calibri"/>
          <w:color w:val="000000"/>
          <w:sz w:val="22"/>
          <w:szCs w:val="22"/>
        </w:rPr>
        <w:t>The activities identified in this Action Plan have been integrated into the project’s proposal document including the results framework. (Y/N)</w:t>
      </w:r>
    </w:p>
    <w:p w14:paraId="710B4ADB" w14:textId="77777777" w:rsidR="007C10A7" w:rsidRDefault="00262DFA">
      <w:pPr>
        <w:widowControl w:val="0"/>
        <w:numPr>
          <w:ilvl w:val="0"/>
          <w:numId w:val="3"/>
        </w:numPr>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Yes</w:t>
      </w:r>
    </w:p>
    <w:p w14:paraId="5943B376"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ind w:left="1440"/>
        <w:jc w:val="both"/>
        <w:rPr>
          <w:rFonts w:ascii="Calibri" w:eastAsia="Calibri" w:hAnsi="Calibri" w:cs="Calibri"/>
          <w:sz w:val="22"/>
          <w:szCs w:val="22"/>
        </w:rPr>
      </w:pPr>
    </w:p>
    <w:p w14:paraId="1548921B" w14:textId="77777777" w:rsidR="007C10A7" w:rsidRDefault="00262DFA">
      <w:pPr>
        <w:widowControl w:val="0"/>
        <w:numPr>
          <w:ilvl w:val="0"/>
          <w:numId w:val="13"/>
        </w:numPr>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color w:val="000000"/>
          <w:sz w:val="22"/>
          <w:szCs w:val="22"/>
        </w:rPr>
      </w:pPr>
      <w:r>
        <w:rPr>
          <w:rFonts w:ascii="Calibri" w:eastAsia="Calibri" w:hAnsi="Calibri" w:cs="Calibri"/>
          <w:color w:val="000000"/>
          <w:sz w:val="22"/>
          <w:szCs w:val="22"/>
        </w:rPr>
        <w:t>The necessary budget for activities identified in this Action Plan have been integrated into the project’s overall budget. (Y/N)</w:t>
      </w:r>
    </w:p>
    <w:p w14:paraId="1C19E04A" w14:textId="77777777" w:rsidR="007C10A7" w:rsidRDefault="00262DFA">
      <w:pPr>
        <w:widowControl w:val="0"/>
        <w:numPr>
          <w:ilvl w:val="0"/>
          <w:numId w:val="14"/>
        </w:numPr>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Yes, alongside IDH’s funding contribution.</w:t>
      </w:r>
    </w:p>
    <w:p w14:paraId="27BE3F7D"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rPr>
      </w:pPr>
    </w:p>
    <w:p w14:paraId="489678A0" w14:textId="77777777" w:rsidR="007C10A7" w:rsidRDefault="00262DFA">
      <w:pPr>
        <w:widowControl w:val="0"/>
        <w:numPr>
          <w:ilvl w:val="0"/>
          <w:numId w:val="12"/>
        </w:numPr>
        <w:pBdr>
          <w:top w:val="nil"/>
          <w:left w:val="nil"/>
          <w:bottom w:val="nil"/>
          <w:right w:val="nil"/>
          <w:between w:val="nil"/>
        </w:pBdr>
        <w:tabs>
          <w:tab w:val="left" w:pos="0"/>
          <w:tab w:val="right" w:pos="73"/>
          <w:tab w:val="right" w:pos="1712"/>
          <w:tab w:val="right" w:pos="4160"/>
          <w:tab w:val="right" w:pos="6528"/>
          <w:tab w:val="right" w:pos="9384"/>
        </w:tabs>
        <w:ind w:left="360"/>
        <w:jc w:val="both"/>
        <w:rPr>
          <w:rFonts w:ascii="Calibri" w:eastAsia="Calibri" w:hAnsi="Calibri" w:cs="Calibri"/>
          <w:b/>
          <w:color w:val="000000"/>
        </w:rPr>
      </w:pPr>
      <w:r>
        <w:rPr>
          <w:rFonts w:ascii="Calibri" w:eastAsia="Calibri" w:hAnsi="Calibri" w:cs="Calibri"/>
          <w:b/>
          <w:color w:val="000000"/>
        </w:rPr>
        <w:t>Staffing capacities</w:t>
      </w:r>
    </w:p>
    <w:p w14:paraId="4F9E6046" w14:textId="77777777" w:rsidR="007C10A7" w:rsidRDefault="007C10A7">
      <w:pPr>
        <w:widowControl w:val="0"/>
        <w:pBdr>
          <w:top w:val="nil"/>
          <w:left w:val="nil"/>
          <w:bottom w:val="nil"/>
          <w:right w:val="nil"/>
          <w:between w:val="nil"/>
        </w:pBdr>
        <w:tabs>
          <w:tab w:val="left" w:pos="0"/>
          <w:tab w:val="right" w:pos="73"/>
          <w:tab w:val="right" w:pos="1712"/>
          <w:tab w:val="right" w:pos="4160"/>
          <w:tab w:val="right" w:pos="6528"/>
          <w:tab w:val="right" w:pos="9384"/>
        </w:tabs>
        <w:jc w:val="both"/>
        <w:rPr>
          <w:rFonts w:ascii="Calibri" w:eastAsia="Calibri" w:hAnsi="Calibri" w:cs="Calibri"/>
        </w:rPr>
      </w:pPr>
    </w:p>
    <w:p w14:paraId="09E04895" w14:textId="77777777" w:rsidR="007C10A7" w:rsidRDefault="00262DFA">
      <w:pPr>
        <w:widowControl w:val="0"/>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rPr>
        <w:t xml:space="preserve">The National Program Manager will be responsible for implementing the Gender Mainstreaming Plan in the project and leading the Business Coaches. This position is envisioned to be taken on by an existing IDH staff member, who has been part of the IDH Gender training programme and has experience in developing gender-positive and transformational projects in the context of sustainable land management in Colombia. It is expected that 30 percent of the time will be allocated to this activity. </w:t>
      </w:r>
    </w:p>
    <w:p w14:paraId="7C4D25DC" w14:textId="77777777" w:rsidR="007C10A7" w:rsidRDefault="007C10A7">
      <w:pPr>
        <w:widowControl w:val="0"/>
        <w:tabs>
          <w:tab w:val="left" w:pos="0"/>
          <w:tab w:val="right" w:pos="73"/>
          <w:tab w:val="right" w:pos="1712"/>
          <w:tab w:val="right" w:pos="4160"/>
          <w:tab w:val="right" w:pos="6528"/>
          <w:tab w:val="right" w:pos="9384"/>
        </w:tabs>
        <w:jc w:val="both"/>
        <w:rPr>
          <w:rFonts w:ascii="Calibri" w:eastAsia="Calibri" w:hAnsi="Calibri" w:cs="Calibri"/>
        </w:rPr>
      </w:pPr>
    </w:p>
    <w:p w14:paraId="36B26FCB" w14:textId="77777777" w:rsidR="007C10A7" w:rsidRDefault="00262DFA">
      <w:pPr>
        <w:widowControl w:val="0"/>
        <w:tabs>
          <w:tab w:val="left" w:pos="0"/>
          <w:tab w:val="right" w:pos="73"/>
          <w:tab w:val="right" w:pos="1712"/>
          <w:tab w:val="right" w:pos="4160"/>
          <w:tab w:val="right" w:pos="6528"/>
          <w:tab w:val="right" w:pos="9384"/>
        </w:tabs>
        <w:jc w:val="both"/>
        <w:rPr>
          <w:rFonts w:ascii="Calibri" w:eastAsia="Calibri" w:hAnsi="Calibri" w:cs="Calibri"/>
          <w:sz w:val="22"/>
          <w:szCs w:val="22"/>
        </w:rPr>
      </w:pPr>
      <w:r>
        <w:rPr>
          <w:rFonts w:ascii="Calibri" w:eastAsia="Calibri" w:hAnsi="Calibri" w:cs="Calibri"/>
          <w:sz w:val="22"/>
          <w:szCs w:val="22"/>
          <w:highlight w:val="white"/>
        </w:rPr>
        <w:t xml:space="preserve">IDH will also be able to provide additional support from its (global) gender experts that could provide any supporting materials and guidance, working together with the national program manager in Colombia, in the process of scoping SMEs, strengthening them, and developing documents with a gender perspective. </w:t>
      </w:r>
      <w:r>
        <w:rPr>
          <w:rFonts w:ascii="Calibri" w:eastAsia="Calibri" w:hAnsi="Calibri" w:cs="Calibri"/>
          <w:sz w:val="22"/>
          <w:szCs w:val="22"/>
        </w:rPr>
        <w:t>To note, local gender experts will very likely be contracted through TA budgets, but IDH cannot dedicate a budget to that specifically at this stage as the TA projects are designed with and co-funded by the entrepreneurs/companies.</w:t>
      </w:r>
    </w:p>
    <w:sectPr w:rsidR="007C10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24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BA85" w14:textId="77777777" w:rsidR="001C0978" w:rsidRDefault="00262DFA">
      <w:r>
        <w:separator/>
      </w:r>
    </w:p>
  </w:endnote>
  <w:endnote w:type="continuationSeparator" w:id="0">
    <w:p w14:paraId="522A4B5E" w14:textId="77777777" w:rsidR="001C0978" w:rsidRDefault="0026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5228" w14:textId="77777777" w:rsidR="007C10A7" w:rsidRDefault="007C10A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2DAD" w14:textId="77777777" w:rsidR="007C10A7" w:rsidRDefault="007C10A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EB7" w14:textId="77777777" w:rsidR="007C10A7" w:rsidRDefault="007C10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8744" w14:textId="77777777" w:rsidR="001C0978" w:rsidRDefault="00262DFA">
      <w:r>
        <w:separator/>
      </w:r>
    </w:p>
  </w:footnote>
  <w:footnote w:type="continuationSeparator" w:id="0">
    <w:p w14:paraId="1238A168" w14:textId="77777777" w:rsidR="001C0978" w:rsidRDefault="00262DFA">
      <w:r>
        <w:continuationSeparator/>
      </w:r>
    </w:p>
  </w:footnote>
  <w:footnote w:id="1">
    <w:p w14:paraId="2706BD52" w14:textId="77777777" w:rsidR="007C10A7" w:rsidRDefault="00262DF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Approved Safeguard plans are to be disclosed to stakeholders in a manner and form that they will understand and that is culturally appropriate. This may require translation of the document.</w:t>
      </w:r>
    </w:p>
  </w:footnote>
  <w:footnote w:id="2">
    <w:p w14:paraId="4899AC42" w14:textId="77777777" w:rsidR="007C10A7" w:rsidRDefault="00262DFA">
      <w:pPr>
        <w:rPr>
          <w:sz w:val="20"/>
          <w:szCs w:val="20"/>
        </w:rPr>
      </w:pPr>
      <w:r>
        <w:rPr>
          <w:rStyle w:val="FootnoteReference"/>
        </w:rPr>
        <w:footnoteRef/>
      </w:r>
      <w:r>
        <w:rPr>
          <w:sz w:val="20"/>
          <w:szCs w:val="20"/>
        </w:rPr>
        <w:t xml:space="preserve"> https://www.oecd-ilibrary.org/sites/99444453-en/index.html?itemId=/content/component/99444453-en</w:t>
      </w:r>
    </w:p>
  </w:footnote>
  <w:footnote w:id="3">
    <w:p w14:paraId="4A724607" w14:textId="77777777" w:rsidR="007C10A7" w:rsidRDefault="00262DFA">
      <w:pPr>
        <w:rPr>
          <w:sz w:val="20"/>
          <w:szCs w:val="20"/>
        </w:rPr>
      </w:pPr>
      <w:r>
        <w:rPr>
          <w:rStyle w:val="FootnoteReference"/>
        </w:rPr>
        <w:footnoteRef/>
      </w:r>
      <w:r>
        <w:rPr>
          <w:sz w:val="20"/>
          <w:szCs w:val="20"/>
        </w:rPr>
        <w:t xml:space="preserve"> https://www.oecd-ilibrary.org/sites/d796f59e-en/index.html?itemId=/content/component/d796f59e-en</w:t>
      </w:r>
    </w:p>
  </w:footnote>
  <w:footnote w:id="4">
    <w:p w14:paraId="1CF56385" w14:textId="77777777" w:rsidR="007C10A7" w:rsidRDefault="00262DFA">
      <w:pPr>
        <w:rPr>
          <w:sz w:val="20"/>
          <w:szCs w:val="20"/>
        </w:rPr>
      </w:pPr>
      <w:r>
        <w:rPr>
          <w:rStyle w:val="FootnoteReference"/>
        </w:rPr>
        <w:footnoteRef/>
      </w:r>
      <w:r>
        <w:rPr>
          <w:sz w:val="20"/>
          <w:szCs w:val="20"/>
        </w:rPr>
        <w:t xml:space="preserve"> </w:t>
      </w:r>
      <w:r>
        <w:rPr>
          <w:rFonts w:ascii="Calibri" w:eastAsia="Calibri" w:hAnsi="Calibri" w:cs="Calibri"/>
          <w:sz w:val="18"/>
          <w:szCs w:val="18"/>
        </w:rPr>
        <w:t xml:space="preserve">Additional resources: World </w:t>
      </w:r>
      <w:proofErr w:type="gramStart"/>
      <w:r>
        <w:rPr>
          <w:rFonts w:ascii="Calibri" w:eastAsia="Calibri" w:hAnsi="Calibri" w:cs="Calibri"/>
          <w:sz w:val="18"/>
          <w:szCs w:val="18"/>
        </w:rPr>
        <w:t>Bank :</w:t>
      </w:r>
      <w:proofErr w:type="gramEnd"/>
      <w:r>
        <w:rPr>
          <w:rFonts w:ascii="Calibri" w:eastAsia="Calibri" w:hAnsi="Calibri" w:cs="Calibri"/>
          <w:sz w:val="18"/>
          <w:szCs w:val="18"/>
        </w:rPr>
        <w:t xml:space="preserve"> gender differences in poverty in Colombia &amp; UN Women: gender data gaps and country performance</w:t>
      </w:r>
    </w:p>
  </w:footnote>
  <w:footnote w:id="5">
    <w:p w14:paraId="0CF7AB27" w14:textId="77777777" w:rsidR="007C10A7" w:rsidRDefault="00262DFA">
      <w:pPr>
        <w:rPr>
          <w:sz w:val="20"/>
          <w:szCs w:val="20"/>
        </w:rPr>
      </w:pPr>
      <w:r>
        <w:rPr>
          <w:rStyle w:val="FootnoteReference"/>
        </w:rPr>
        <w:footnoteRef/>
      </w:r>
      <w:r>
        <w:rPr>
          <w:sz w:val="20"/>
          <w:szCs w:val="20"/>
        </w:rPr>
        <w:t>https://oxfamilibrary.openrepository.com/bitstream/handle/10546/620297/cs-rural-women-colombia-100717-en.pdf;jsessionid=22A987ACA7E693EB298D149111E7FA4F?sequence=1</w:t>
      </w:r>
    </w:p>
  </w:footnote>
  <w:footnote w:id="6">
    <w:p w14:paraId="146DB5BC" w14:textId="77777777" w:rsidR="007C10A7" w:rsidRDefault="00262DFA">
      <w:pPr>
        <w:rPr>
          <w:sz w:val="20"/>
          <w:szCs w:val="20"/>
        </w:rPr>
      </w:pPr>
      <w:r>
        <w:rPr>
          <w:rStyle w:val="FootnoteReference"/>
        </w:rPr>
        <w:footnoteRef/>
      </w:r>
      <w:r>
        <w:rPr>
          <w:sz w:val="20"/>
          <w:szCs w:val="20"/>
        </w:rPr>
        <w:t xml:space="preserve"> https://www.unhcr.org/5975a93e7.pdf</w:t>
      </w:r>
    </w:p>
  </w:footnote>
  <w:footnote w:id="7">
    <w:p w14:paraId="4FE1BA79" w14:textId="77777777" w:rsidR="007C10A7" w:rsidRDefault="00262DF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https://www.land-links.org/country-profile/colombia/#summary</w:t>
      </w:r>
    </w:p>
  </w:footnote>
  <w:footnote w:id="8">
    <w:p w14:paraId="21BB913F"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Pr>
          <w:color w:val="000000"/>
          <w:sz w:val="20"/>
          <w:szCs w:val="20"/>
        </w:rPr>
        <w:t xml:space="preserve"> Women in the Colombian Land Restitution and </w:t>
      </w:r>
      <w:proofErr w:type="spellStart"/>
      <w:r>
        <w:rPr>
          <w:color w:val="000000"/>
          <w:sz w:val="20"/>
          <w:szCs w:val="20"/>
        </w:rPr>
        <w:t>Titing</w:t>
      </w:r>
      <w:proofErr w:type="spellEnd"/>
      <w:r>
        <w:rPr>
          <w:color w:val="000000"/>
          <w:sz w:val="20"/>
          <w:szCs w:val="20"/>
        </w:rPr>
        <w:t xml:space="preserve"> Process</w:t>
      </w:r>
      <w:proofErr w:type="gramStart"/>
      <w:r>
        <w:rPr>
          <w:color w:val="000000"/>
          <w:sz w:val="20"/>
          <w:szCs w:val="20"/>
        </w:rPr>
        <w:t>-  a</w:t>
      </w:r>
      <w:proofErr w:type="gramEnd"/>
      <w:r>
        <w:rPr>
          <w:color w:val="000000"/>
          <w:sz w:val="20"/>
          <w:szCs w:val="20"/>
        </w:rPr>
        <w:t xml:space="preserve"> RDS Household Survey of IDPS. </w:t>
      </w:r>
      <w:r w:rsidRPr="00637F23">
        <w:rPr>
          <w:color w:val="000000"/>
          <w:sz w:val="20"/>
          <w:szCs w:val="20"/>
          <w:lang w:val="pt-BR"/>
        </w:rPr>
        <w:t>Henrik Wiig and Jemima Garcia-Godos. 2015</w:t>
      </w:r>
    </w:p>
  </w:footnote>
  <w:footnote w:id="9">
    <w:p w14:paraId="33BFD6D5"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sidRPr="00637F23">
        <w:rPr>
          <w:color w:val="000000"/>
          <w:sz w:val="20"/>
          <w:szCs w:val="20"/>
          <w:lang w:val="pt-BR"/>
        </w:rPr>
        <w:t xml:space="preserve"> https://www.fao.org/3/i3205s/i3205s.pdf</w:t>
      </w:r>
    </w:p>
  </w:footnote>
  <w:footnote w:id="10">
    <w:p w14:paraId="61A18504"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sidRPr="00637F23">
        <w:rPr>
          <w:color w:val="000000"/>
          <w:sz w:val="20"/>
          <w:szCs w:val="20"/>
          <w:lang w:val="pt-BR"/>
        </w:rPr>
        <w:t xml:space="preserve"> https://www.cepal.org/en/insights/implications-gender-roles-natural-resource-governance-latin-america-and-caribbean</w:t>
      </w:r>
    </w:p>
  </w:footnote>
  <w:footnote w:id="11">
    <w:p w14:paraId="0C78C9EA"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sidRPr="00637F23">
        <w:rPr>
          <w:color w:val="000000"/>
          <w:sz w:val="20"/>
          <w:szCs w:val="20"/>
          <w:lang w:val="pt-BR"/>
        </w:rPr>
        <w:t xml:space="preserve"> https://www.cepal.org/en/insights/implications-gender-roles-natural-resource-governance-latin-america-and-caribbean</w:t>
      </w:r>
    </w:p>
  </w:footnote>
  <w:footnote w:id="12">
    <w:p w14:paraId="10E6D939"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sidRPr="00637F23">
        <w:rPr>
          <w:color w:val="000000"/>
          <w:sz w:val="20"/>
          <w:szCs w:val="20"/>
          <w:lang w:val="pt-BR"/>
        </w:rPr>
        <w:t xml:space="preserve">  https://www.fao.org/3/ca6956en/CA6956EN-CO-data.pdf</w:t>
      </w:r>
    </w:p>
  </w:footnote>
  <w:footnote w:id="13">
    <w:p w14:paraId="03281090" w14:textId="77777777" w:rsidR="007C10A7" w:rsidRPr="00637F23" w:rsidRDefault="00262DFA">
      <w:pPr>
        <w:pBdr>
          <w:top w:val="nil"/>
          <w:left w:val="nil"/>
          <w:bottom w:val="nil"/>
          <w:right w:val="nil"/>
          <w:between w:val="nil"/>
        </w:pBdr>
        <w:rPr>
          <w:color w:val="000000"/>
          <w:sz w:val="20"/>
          <w:szCs w:val="20"/>
          <w:lang w:val="pt-BR"/>
        </w:rPr>
      </w:pPr>
      <w:r>
        <w:rPr>
          <w:rStyle w:val="FootnoteReference"/>
        </w:rPr>
        <w:footnoteRef/>
      </w:r>
      <w:r w:rsidRPr="00637F23">
        <w:rPr>
          <w:color w:val="000000"/>
          <w:sz w:val="20"/>
          <w:szCs w:val="20"/>
          <w:lang w:val="pt-BR"/>
        </w:rPr>
        <w:t>https://humanityinaction.org/knowledge_detail/information-and-communications-technologies-for-development-the-case-of-women-in-colombia/</w:t>
      </w:r>
    </w:p>
  </w:footnote>
  <w:footnote w:id="14">
    <w:p w14:paraId="33102846" w14:textId="77777777" w:rsidR="007C10A7" w:rsidRDefault="00262DFA">
      <w:pPr>
        <w:rPr>
          <w:rFonts w:ascii="Calibri" w:eastAsia="Calibri" w:hAnsi="Calibri" w:cs="Calibri"/>
          <w:color w:val="1155CC"/>
          <w:sz w:val="20"/>
          <w:szCs w:val="20"/>
          <w:u w:val="single"/>
        </w:rPr>
      </w:pPr>
      <w:r>
        <w:rPr>
          <w:rStyle w:val="FootnoteReference"/>
        </w:rPr>
        <w:footnoteRef/>
      </w:r>
      <w:r>
        <w:rPr>
          <w:sz w:val="20"/>
          <w:szCs w:val="20"/>
        </w:rPr>
        <w:t xml:space="preserve"> </w:t>
      </w:r>
      <w:r>
        <w:rPr>
          <w:rFonts w:ascii="Calibri" w:eastAsia="Calibri" w:hAnsi="Calibri" w:cs="Calibri"/>
          <w:sz w:val="20"/>
          <w:szCs w:val="20"/>
        </w:rPr>
        <w:t>The rationale for this target is that in rural areas of Colombia in only 24 percent of the productive units (farms) the productive decisions are taken by women (</w:t>
      </w:r>
      <w:hyperlink r:id="rId1">
        <w:r>
          <w:rPr>
            <w:rFonts w:ascii="Calibri" w:eastAsia="Calibri" w:hAnsi="Calibri" w:cs="Calibri"/>
            <w:color w:val="1155CC"/>
            <w:sz w:val="20"/>
            <w:szCs w:val="20"/>
            <w:u w:val="single"/>
          </w:rPr>
          <w:t>https://www.dane.gov.co/files/investigaciones/agropecuario/enda/ena/2019/boletin_ena_2019.pdf</w:t>
        </w:r>
      </w:hyperlink>
    </w:p>
    <w:p w14:paraId="0DE5D59C" w14:textId="77777777" w:rsidR="007C10A7" w:rsidRDefault="00262DFA">
      <w:pPr>
        <w:rPr>
          <w:rFonts w:ascii="Calibri" w:eastAsia="Calibri" w:hAnsi="Calibri" w:cs="Calibri"/>
          <w:sz w:val="20"/>
          <w:szCs w:val="20"/>
        </w:rPr>
      </w:pPr>
      <w:r>
        <w:rPr>
          <w:rFonts w:ascii="Calibri" w:eastAsia="Calibri" w:hAnsi="Calibri" w:cs="Calibri"/>
          <w:sz w:val="20"/>
          <w:szCs w:val="20"/>
        </w:rPr>
        <w:t xml:space="preserve">). This is connected to the low levels of land ownership by women in relation to men in the country. In addition to this, women are further constrained in their ability to engage in the public sphere by domestic and other duties, which means an even lower percent can be expected to be exposed to the availability of TAF support. </w:t>
      </w:r>
      <w:proofErr w:type="gramStart"/>
      <w:r>
        <w:rPr>
          <w:rFonts w:ascii="Calibri" w:eastAsia="Calibri" w:hAnsi="Calibri" w:cs="Calibri"/>
          <w:sz w:val="20"/>
          <w:szCs w:val="20"/>
        </w:rPr>
        <w:t>Therefore</w:t>
      </w:r>
      <w:proofErr w:type="gramEnd"/>
      <w:r>
        <w:rPr>
          <w:rFonts w:ascii="Calibri" w:eastAsia="Calibri" w:hAnsi="Calibri" w:cs="Calibri"/>
          <w:sz w:val="20"/>
          <w:szCs w:val="20"/>
        </w:rPr>
        <w:t xml:space="preserve"> targeting 30percent women owned/led businesses is considered to be a suitably ambitious target above the business as usual scenario, and is aligned to IDH’s experience of implementing the TAF in other rural settings in the global south.</w:t>
      </w:r>
    </w:p>
    <w:p w14:paraId="4540736D" w14:textId="77777777" w:rsidR="007C10A7" w:rsidRDefault="007C10A7">
      <w:pPr>
        <w:rPr>
          <w:sz w:val="20"/>
          <w:szCs w:val="20"/>
        </w:rPr>
      </w:pPr>
    </w:p>
  </w:footnote>
  <w:footnote w:id="15">
    <w:p w14:paraId="5498E773" w14:textId="77777777" w:rsidR="007C10A7" w:rsidRDefault="00262DF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Targets should be ambitious yet realistic. Please be prepared to explain how the targets were determined.</w:t>
      </w:r>
    </w:p>
    <w:p w14:paraId="08F4123A" w14:textId="77777777" w:rsidR="007C10A7" w:rsidRDefault="007C10A7">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145B" w14:textId="77777777" w:rsidR="007C10A7" w:rsidRDefault="007C10A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9C5D" w14:textId="77777777" w:rsidR="007C10A7" w:rsidRDefault="00262DF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6C867D9E" wp14:editId="7E8DF541">
          <wp:simplePos x="0" y="0"/>
          <wp:positionH relativeFrom="column">
            <wp:posOffset>2162175</wp:posOffset>
          </wp:positionH>
          <wp:positionV relativeFrom="paragraph">
            <wp:posOffset>-323848</wp:posOffset>
          </wp:positionV>
          <wp:extent cx="1619250" cy="668655"/>
          <wp:effectExtent l="0" t="0" r="0" b="0"/>
          <wp:wrapSquare wrapText="bothSides" distT="0" distB="0" distL="114300" distR="114300"/>
          <wp:docPr id="3"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l="67223" t="1847" r="4582" b="89147"/>
                  <a:stretch>
                    <a:fillRect/>
                  </a:stretch>
                </pic:blipFill>
                <pic:spPr>
                  <a:xfrm>
                    <a:off x="0" y="0"/>
                    <a:ext cx="1619250" cy="66865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B8E5" w14:textId="77777777" w:rsidR="007C10A7" w:rsidRDefault="007C10A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9EC"/>
    <w:multiLevelType w:val="multilevel"/>
    <w:tmpl w:val="412ED63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A001FF"/>
    <w:multiLevelType w:val="multilevel"/>
    <w:tmpl w:val="7F7EA8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F038B"/>
    <w:multiLevelType w:val="multilevel"/>
    <w:tmpl w:val="4C769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9E42A8"/>
    <w:multiLevelType w:val="multilevel"/>
    <w:tmpl w:val="D938EB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4C25AE"/>
    <w:multiLevelType w:val="multilevel"/>
    <w:tmpl w:val="5C8E0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84D7A35"/>
    <w:multiLevelType w:val="multilevel"/>
    <w:tmpl w:val="4258A87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BA23D68"/>
    <w:multiLevelType w:val="multilevel"/>
    <w:tmpl w:val="0436F2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DE3242E"/>
    <w:multiLevelType w:val="multilevel"/>
    <w:tmpl w:val="62B67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536A20"/>
    <w:multiLevelType w:val="multilevel"/>
    <w:tmpl w:val="5B44A57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DEB0E3B"/>
    <w:multiLevelType w:val="multilevel"/>
    <w:tmpl w:val="56381C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F8E7410"/>
    <w:multiLevelType w:val="multilevel"/>
    <w:tmpl w:val="B7F848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6626EFA"/>
    <w:multiLevelType w:val="multilevel"/>
    <w:tmpl w:val="98D46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E426CE"/>
    <w:multiLevelType w:val="multilevel"/>
    <w:tmpl w:val="B6B267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D7F004E"/>
    <w:multiLevelType w:val="multilevel"/>
    <w:tmpl w:val="9EE4158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40D5D5B"/>
    <w:multiLevelType w:val="multilevel"/>
    <w:tmpl w:val="8D60244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BCA41E3"/>
    <w:multiLevelType w:val="multilevel"/>
    <w:tmpl w:val="A7BAF8D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84726755">
    <w:abstractNumId w:val="11"/>
  </w:num>
  <w:num w:numId="2" w16cid:durableId="1868791712">
    <w:abstractNumId w:val="2"/>
  </w:num>
  <w:num w:numId="3" w16cid:durableId="1007026806">
    <w:abstractNumId w:val="4"/>
  </w:num>
  <w:num w:numId="4" w16cid:durableId="58600073">
    <w:abstractNumId w:val="3"/>
  </w:num>
  <w:num w:numId="5" w16cid:durableId="46954143">
    <w:abstractNumId w:val="14"/>
  </w:num>
  <w:num w:numId="6" w16cid:durableId="1108768938">
    <w:abstractNumId w:val="12"/>
  </w:num>
  <w:num w:numId="7" w16cid:durableId="767892974">
    <w:abstractNumId w:val="10"/>
  </w:num>
  <w:num w:numId="8" w16cid:durableId="665130175">
    <w:abstractNumId w:val="0"/>
  </w:num>
  <w:num w:numId="9" w16cid:durableId="1408848024">
    <w:abstractNumId w:val="5"/>
  </w:num>
  <w:num w:numId="10" w16cid:durableId="1847329765">
    <w:abstractNumId w:val="13"/>
  </w:num>
  <w:num w:numId="11" w16cid:durableId="1024136711">
    <w:abstractNumId w:val="15"/>
  </w:num>
  <w:num w:numId="12" w16cid:durableId="194930241">
    <w:abstractNumId w:val="7"/>
  </w:num>
  <w:num w:numId="13" w16cid:durableId="9449642">
    <w:abstractNumId w:val="1"/>
  </w:num>
  <w:num w:numId="14" w16cid:durableId="97218157">
    <w:abstractNumId w:val="6"/>
  </w:num>
  <w:num w:numId="15" w16cid:durableId="520515914">
    <w:abstractNumId w:val="9"/>
  </w:num>
  <w:num w:numId="16" w16cid:durableId="2083259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A7"/>
    <w:rsid w:val="001C0978"/>
    <w:rsid w:val="00262DFA"/>
    <w:rsid w:val="00633FD9"/>
    <w:rsid w:val="00637F23"/>
    <w:rsid w:val="007C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44E57"/>
  <w15:docId w15:val="{2AEDBD66-7E7E-4B6E-868A-C2EAC27F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6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fn"/>
    <w:basedOn w:val="Normal"/>
    <w:link w:val="FootnoteTextChar"/>
    <w:uiPriority w:val="99"/>
    <w:qFormat/>
    <w:rsid w:val="001D2E66"/>
    <w:rPr>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1D2E66"/>
    <w:rPr>
      <w:rFonts w:ascii="Times New Roman" w:eastAsia="Times New Roman" w:hAnsi="Times New Roman" w:cs="Times New Roman"/>
      <w:sz w:val="20"/>
      <w:szCs w:val="20"/>
      <w:lang w:val="en-GB"/>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BVI fnr"/>
    <w:basedOn w:val="DefaultParagraphFont"/>
    <w:link w:val="ftrefChar"/>
    <w:uiPriority w:val="99"/>
    <w:qFormat/>
    <w:rsid w:val="001D2E66"/>
    <w:rPr>
      <w:rFonts w:cs="Times New Roman"/>
      <w:vertAlign w:val="superscript"/>
    </w:rPr>
  </w:style>
  <w:style w:type="character" w:styleId="CommentReference">
    <w:name w:val="annotation reference"/>
    <w:basedOn w:val="DefaultParagraphFont"/>
    <w:uiPriority w:val="99"/>
    <w:rsid w:val="001D2E66"/>
    <w:rPr>
      <w:rFonts w:cs="Times New Roman"/>
      <w:sz w:val="16"/>
      <w:szCs w:val="16"/>
    </w:rPr>
  </w:style>
  <w:style w:type="paragraph" w:styleId="CommentText">
    <w:name w:val="annotation text"/>
    <w:basedOn w:val="Normal"/>
    <w:link w:val="CommentTextChar"/>
    <w:uiPriority w:val="99"/>
    <w:rsid w:val="001D2E66"/>
    <w:rPr>
      <w:sz w:val="20"/>
      <w:szCs w:val="20"/>
    </w:rPr>
  </w:style>
  <w:style w:type="character" w:customStyle="1" w:styleId="CommentTextChar">
    <w:name w:val="Comment Text Char"/>
    <w:basedOn w:val="DefaultParagraphFont"/>
    <w:link w:val="CommentText"/>
    <w:uiPriority w:val="99"/>
    <w:rsid w:val="001D2E66"/>
    <w:rPr>
      <w:rFonts w:ascii="Times New Roman" w:eastAsia="Times New Roman" w:hAnsi="Times New Roman" w:cs="Times New Roman"/>
      <w:sz w:val="20"/>
      <w:szCs w:val="20"/>
      <w:lang w:val="en-GB"/>
    </w:rPr>
  </w:style>
  <w:style w:type="table" w:styleId="TableGrid">
    <w:name w:val="Table Grid"/>
    <w:basedOn w:val="TableNormal"/>
    <w:uiPriority w:val="39"/>
    <w:rsid w:val="001D2E66"/>
    <w:pPr>
      <w:spacing w:after="120"/>
      <w:ind w:left="360" w:hanging="36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D2E66"/>
    <w:rPr>
      <w:rFonts w:cs="Times New Roman"/>
      <w:color w:val="0000FF"/>
      <w:u w:val="single"/>
    </w:rPr>
  </w:style>
  <w:style w:type="paragraph" w:styleId="BodyText">
    <w:name w:val="Body Text"/>
    <w:basedOn w:val="Normal"/>
    <w:link w:val="BodyTextChar"/>
    <w:rsid w:val="001D2E66"/>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cs="Courier New"/>
      <w:b/>
      <w:bCs/>
      <w:spacing w:val="-2"/>
      <w:sz w:val="20"/>
      <w:szCs w:val="20"/>
    </w:rPr>
  </w:style>
  <w:style w:type="character" w:customStyle="1" w:styleId="BodyTextChar">
    <w:name w:val="Body Text Char"/>
    <w:basedOn w:val="DefaultParagraphFont"/>
    <w:link w:val="BodyText"/>
    <w:rsid w:val="001D2E66"/>
    <w:rPr>
      <w:rFonts w:ascii="Times New Roman" w:eastAsia="Times New Roman" w:hAnsi="Times New Roman" w:cs="Courier New"/>
      <w:b/>
      <w:bCs/>
      <w:spacing w:val="-2"/>
      <w:sz w:val="20"/>
      <w:szCs w:val="20"/>
      <w:lang w:val="en-GB"/>
    </w:rPr>
  </w:style>
  <w:style w:type="paragraph" w:customStyle="1" w:styleId="ftrefChar">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1D2E66"/>
    <w:pPr>
      <w:spacing w:line="240" w:lineRule="exact"/>
    </w:pPr>
    <w:rPr>
      <w:rFonts w:asciiTheme="minorHAnsi" w:eastAsiaTheme="minorHAnsi" w:hAnsiTheme="minorHAnsi"/>
      <w:sz w:val="22"/>
      <w:szCs w:val="22"/>
      <w:vertAlign w:val="superscript"/>
      <w:lang w:val="en-US"/>
    </w:rPr>
  </w:style>
  <w:style w:type="paragraph" w:styleId="BalloonText">
    <w:name w:val="Balloon Text"/>
    <w:basedOn w:val="Normal"/>
    <w:link w:val="BalloonTextChar"/>
    <w:uiPriority w:val="99"/>
    <w:semiHidden/>
    <w:unhideWhenUsed/>
    <w:rsid w:val="001D2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E66"/>
    <w:rPr>
      <w:rFonts w:ascii="Segoe UI" w:eastAsia="Times New Roman" w:hAnsi="Segoe UI" w:cs="Segoe UI"/>
      <w:sz w:val="18"/>
      <w:szCs w:val="18"/>
      <w:lang w:val="en-GB"/>
    </w:rPr>
  </w:style>
  <w:style w:type="paragraph" w:styleId="ListParagraph">
    <w:name w:val="List Paragraph"/>
    <w:basedOn w:val="Normal"/>
    <w:uiPriority w:val="34"/>
    <w:qFormat/>
    <w:rsid w:val="00FF1931"/>
    <w:pPr>
      <w:ind w:left="720"/>
      <w:contextualSpacing/>
    </w:pPr>
  </w:style>
  <w:style w:type="paragraph" w:styleId="Header">
    <w:name w:val="header"/>
    <w:basedOn w:val="Normal"/>
    <w:link w:val="HeaderChar"/>
    <w:uiPriority w:val="99"/>
    <w:unhideWhenUsed/>
    <w:rsid w:val="009D52FA"/>
    <w:pPr>
      <w:tabs>
        <w:tab w:val="center" w:pos="4680"/>
        <w:tab w:val="right" w:pos="9360"/>
      </w:tabs>
    </w:pPr>
  </w:style>
  <w:style w:type="character" w:customStyle="1" w:styleId="HeaderChar">
    <w:name w:val="Header Char"/>
    <w:basedOn w:val="DefaultParagraphFont"/>
    <w:link w:val="Header"/>
    <w:uiPriority w:val="99"/>
    <w:rsid w:val="009D52F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52FA"/>
    <w:pPr>
      <w:tabs>
        <w:tab w:val="center" w:pos="4680"/>
        <w:tab w:val="right" w:pos="9360"/>
      </w:tabs>
    </w:pPr>
  </w:style>
  <w:style w:type="character" w:customStyle="1" w:styleId="FooterChar">
    <w:name w:val="Footer Char"/>
    <w:basedOn w:val="DefaultParagraphFont"/>
    <w:link w:val="Footer"/>
    <w:uiPriority w:val="99"/>
    <w:rsid w:val="009D52FA"/>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120"/>
      <w:ind w:left="360" w:hanging="360"/>
    </w:pPr>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top w:w="43" w:type="dxa"/>
        <w:left w:w="115" w:type="dxa"/>
        <w:bottom w:w="43"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120"/>
      <w:ind w:left="360" w:hanging="360"/>
    </w:pPr>
    <w:rPr>
      <w:rFonts w:ascii="Calibri" w:eastAsia="Calibri" w:hAnsi="Calibri" w:cs="Calibri"/>
      <w:sz w:val="20"/>
      <w:szCs w:val="20"/>
    </w:rPr>
    <w:tblPr>
      <w:tblStyleRowBandSize w:val="1"/>
      <w:tblStyleColBandSize w:val="1"/>
    </w:tblPr>
  </w:style>
  <w:style w:type="paragraph" w:styleId="NormalWeb">
    <w:name w:val="Normal (Web)"/>
    <w:basedOn w:val="Normal"/>
    <w:uiPriority w:val="99"/>
    <w:unhideWhenUsed/>
    <w:rsid w:val="0008504F"/>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63565"/>
    <w:rPr>
      <w:b/>
      <w:bCs/>
    </w:rPr>
  </w:style>
  <w:style w:type="character" w:customStyle="1" w:styleId="CommentSubjectChar">
    <w:name w:val="Comment Subject Char"/>
    <w:basedOn w:val="CommentTextChar"/>
    <w:link w:val="CommentSubject"/>
    <w:uiPriority w:val="99"/>
    <w:semiHidden/>
    <w:rsid w:val="00363565"/>
    <w:rPr>
      <w:rFonts w:ascii="Times New Roman" w:eastAsia="Times New Roman" w:hAnsi="Times New Roman" w:cs="Times New Roman"/>
      <w:b/>
      <w:bCs/>
      <w:sz w:val="20"/>
      <w:szCs w:val="20"/>
      <w:lang w:val="en-GB"/>
    </w:rPr>
  </w:style>
  <w:style w:type="paragraph" w:styleId="Revision">
    <w:name w:val="Revision"/>
    <w:hidden/>
    <w:uiPriority w:val="99"/>
    <w:semiHidden/>
    <w:rsid w:val="005530A1"/>
  </w:style>
  <w:style w:type="table" w:customStyle="1" w:styleId="a3">
    <w:basedOn w:val="TableNormal"/>
    <w:pPr>
      <w:spacing w:after="120"/>
      <w:ind w:left="360" w:hanging="360"/>
    </w:pPr>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pPr>
      <w:spacing w:after="120"/>
      <w:ind w:left="360" w:hanging="360"/>
    </w:pPr>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pPr>
      <w:spacing w:after="120"/>
      <w:ind w:left="360" w:hanging="360"/>
    </w:pPr>
    <w:rPr>
      <w:rFonts w:ascii="Calibri" w:eastAsia="Calibri" w:hAnsi="Calibri" w:cs="Calibri"/>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ecd-ilibrary.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htrade-my.sharepoint.com/personal/stam_idhtrade_org/Documents/Documents/20220915%20Gender%20Mainstreaming%20Plan%20Template%20(1)%20-%20AF%20NST.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dhtrade-my.sharepoint.com/personal/stam_idhtrade_org/Documents/Documents/20220915%20Gender%20Mainstreaming%20Plan%20Template%20(1)%20-%20AF%20NST.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hsustainabletrade.com/news/gender-toolkit-inspire-integrating-gender-aspects-supply-chain-approaches/"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files/investigaciones/agropecuario/enda/ena/2019/boletin_ena_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bHoORAXUg5tX8WMBwXMUpQn8cA==">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2" ma:contentTypeDescription="Create a new document." ma:contentTypeScope="" ma:versionID="163c1a9522cf939202095a856a196920">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4f9d1c4e36b4cbdddce70cb0a765bf2a"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dtotheProgram_x003f_Yes_x002f_No xmlns="6d32a6d6-1a42-4ee3-96ac-b6b2542cab14">true</SubmittedtotheProgram_x003f_Yes_x002f_No>
    <lcf76f155ced4ddcb4097134ff3c332f xmlns="6d32a6d6-1a42-4ee3-96ac-b6b2542cab14">
      <Terms xmlns="http://schemas.microsoft.com/office/infopath/2007/PartnerControls"/>
    </lcf76f155ced4ddcb4097134ff3c332f>
    <TaxCatchAll xmlns="f57df1ab-6810-4fa8-9caa-de92a9b262c5" xsi:nil="true"/>
    <_ip_UnifiedCompliancePolicyUIAction xmlns="http://schemas.microsoft.com/sharepoint/v3" xsi:nil="true"/>
    <wjad xmlns="6d32a6d6-1a42-4ee3-96ac-b6b2542cab14" xsi:nil="true"/>
    <_ip_UnifiedCompliancePolicyProperties xmlns="http://schemas.microsoft.com/sharepoint/v3" xsi:nil="true"/>
    <DocType xmlns="fd35fde0-7421-4a34-a774-f438bb92962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6DE8751-07E2-4727-834A-A0D16AA2D76D}"/>
</file>

<file path=customXml/itemProps3.xml><?xml version="1.0" encoding="utf-8"?>
<ds:datastoreItem xmlns:ds="http://schemas.openxmlformats.org/officeDocument/2006/customXml" ds:itemID="{E3B9F327-7BDB-4A3A-B913-A848D22EB29D}"/>
</file>

<file path=customXml/itemProps4.xml><?xml version="1.0" encoding="utf-8"?>
<ds:datastoreItem xmlns:ds="http://schemas.openxmlformats.org/officeDocument/2006/customXml" ds:itemID="{A86C880F-C7EC-4DB3-8ABF-0CF8734D1373}"/>
</file>

<file path=docProps/app.xml><?xml version="1.0" encoding="utf-8"?>
<Properties xmlns="http://schemas.openxmlformats.org/officeDocument/2006/extended-properties" xmlns:vt="http://schemas.openxmlformats.org/officeDocument/2006/docPropsVTypes">
  <Template>Normal</Template>
  <TotalTime>1</TotalTime>
  <Pages>18</Pages>
  <Words>6443</Words>
  <Characters>35439</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Kissoon</dc:creator>
  <cp:lastModifiedBy>Juliana Rios</cp:lastModifiedBy>
  <cp:revision>2</cp:revision>
  <dcterms:created xsi:type="dcterms:W3CDTF">2023-02-14T19:32:00Z</dcterms:created>
  <dcterms:modified xsi:type="dcterms:W3CDTF">2023-02-14T19:32:00Z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