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552A6" w14:textId="77777777" w:rsidR="00446431" w:rsidRDefault="00EA3662">
      <w:pPr>
        <w:pBdr>
          <w:top w:val="nil"/>
          <w:left w:val="nil"/>
          <w:bottom w:val="nil"/>
          <w:right w:val="nil"/>
          <w:between w:val="nil"/>
        </w:pBdr>
        <w:tabs>
          <w:tab w:val="center" w:pos="4513"/>
          <w:tab w:val="right" w:pos="9026"/>
        </w:tabs>
        <w:jc w:val="center"/>
        <w:rPr>
          <w:rFonts w:ascii="Calibri" w:eastAsia="Calibri" w:hAnsi="Calibri" w:cs="Calibri"/>
          <w:b/>
          <w:color w:val="000000"/>
          <w:sz w:val="32"/>
          <w:szCs w:val="32"/>
        </w:rPr>
      </w:pPr>
      <w:r>
        <w:rPr>
          <w:rFonts w:ascii="Calibri" w:eastAsia="Calibri" w:hAnsi="Calibri" w:cs="Calibri"/>
          <w:b/>
          <w:color w:val="000000"/>
          <w:sz w:val="32"/>
          <w:szCs w:val="32"/>
        </w:rPr>
        <w:t>CI-GEF/GCF PROJECT AGENCIES</w:t>
      </w:r>
    </w:p>
    <w:p w14:paraId="65508E1C" w14:textId="77777777" w:rsidR="00446431" w:rsidRDefault="00EA3662">
      <w:pPr>
        <w:pBdr>
          <w:top w:val="nil"/>
          <w:left w:val="nil"/>
          <w:bottom w:val="nil"/>
          <w:right w:val="nil"/>
          <w:between w:val="nil"/>
        </w:pBdr>
        <w:jc w:val="center"/>
        <w:rPr>
          <w:rFonts w:ascii="Calibri" w:eastAsia="Calibri" w:hAnsi="Calibri" w:cs="Calibri"/>
          <w:b/>
          <w:color w:val="000000"/>
          <w:sz w:val="32"/>
          <w:szCs w:val="32"/>
        </w:rPr>
      </w:pPr>
      <w:r>
        <w:rPr>
          <w:rFonts w:ascii="Calibri" w:eastAsia="Calibri" w:hAnsi="Calibri" w:cs="Calibri"/>
          <w:b/>
          <w:color w:val="000000"/>
          <w:sz w:val="32"/>
          <w:szCs w:val="32"/>
        </w:rPr>
        <w:t>Accountability &amp; Grievance Mechanism (AGM)</w:t>
      </w:r>
    </w:p>
    <w:p w14:paraId="5E68AE4C" w14:textId="77777777" w:rsidR="00446431" w:rsidRDefault="00446431">
      <w:pPr>
        <w:pBdr>
          <w:top w:val="nil"/>
          <w:left w:val="nil"/>
          <w:bottom w:val="single" w:sz="4" w:space="1" w:color="000000"/>
          <w:right w:val="nil"/>
          <w:between w:val="nil"/>
        </w:pBdr>
        <w:rPr>
          <w:rFonts w:ascii="Calibri" w:eastAsia="Calibri" w:hAnsi="Calibri" w:cs="Calibri"/>
          <w:b/>
          <w:color w:val="000000"/>
          <w:sz w:val="24"/>
          <w:szCs w:val="24"/>
        </w:rPr>
      </w:pPr>
    </w:p>
    <w:p w14:paraId="70F3898D" w14:textId="77777777" w:rsidR="00446431" w:rsidRDefault="00EA3662">
      <w:pPr>
        <w:pBdr>
          <w:top w:val="nil"/>
          <w:left w:val="nil"/>
          <w:bottom w:val="single" w:sz="4" w:space="1" w:color="000000"/>
          <w:right w:val="nil"/>
          <w:between w:val="nil"/>
        </w:pBdr>
        <w:rPr>
          <w:rFonts w:ascii="Calibri" w:eastAsia="Calibri" w:hAnsi="Calibri" w:cs="Calibri"/>
          <w:b/>
          <w:color w:val="000000"/>
          <w:sz w:val="28"/>
          <w:szCs w:val="28"/>
        </w:rPr>
      </w:pPr>
      <w:r>
        <w:rPr>
          <w:rFonts w:ascii="Calibri" w:eastAsia="Calibri" w:hAnsi="Calibri" w:cs="Calibri"/>
          <w:color w:val="000000"/>
          <w:sz w:val="28"/>
          <w:szCs w:val="28"/>
        </w:rPr>
        <w:t>SECTION I: Project Information</w:t>
      </w:r>
    </w:p>
    <w:p w14:paraId="49F0CE4C" w14:textId="77777777" w:rsidR="00446431" w:rsidRDefault="00446431">
      <w:pPr>
        <w:pBdr>
          <w:top w:val="nil"/>
          <w:left w:val="nil"/>
          <w:bottom w:val="nil"/>
          <w:right w:val="nil"/>
          <w:between w:val="nil"/>
        </w:pBdr>
        <w:rPr>
          <w:rFonts w:ascii="Calibri" w:eastAsia="Calibri" w:hAnsi="Calibri" w:cs="Calibri"/>
          <w:color w:val="000000"/>
          <w:sz w:val="24"/>
          <w:szCs w:val="24"/>
        </w:rPr>
      </w:pPr>
    </w:p>
    <w:tbl>
      <w:tblPr>
        <w:tblStyle w:val="a6"/>
        <w:tblW w:w="10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1850"/>
        <w:gridCol w:w="850"/>
        <w:gridCol w:w="2250"/>
        <w:gridCol w:w="2564"/>
      </w:tblGrid>
      <w:tr w:rsidR="00446431" w14:paraId="4C076C54" w14:textId="77777777">
        <w:trPr>
          <w:trHeight w:val="488"/>
        </w:trPr>
        <w:tc>
          <w:tcPr>
            <w:tcW w:w="2515" w:type="dxa"/>
            <w:shd w:val="clear" w:color="auto" w:fill="C6D9F1"/>
            <w:vAlign w:val="center"/>
          </w:tcPr>
          <w:p w14:paraId="36271EFD" w14:textId="77777777" w:rsidR="00446431" w:rsidRDefault="00EA366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color w:val="000000"/>
                <w:sz w:val="20"/>
                <w:szCs w:val="20"/>
              </w:rPr>
              <w:t>PROJECT TITLE:</w:t>
            </w:r>
          </w:p>
        </w:tc>
        <w:tc>
          <w:tcPr>
            <w:tcW w:w="7514" w:type="dxa"/>
            <w:gridSpan w:val="4"/>
            <w:vAlign w:val="center"/>
          </w:tcPr>
          <w:p w14:paraId="15DCA089" w14:textId="77777777" w:rsidR="00446431" w:rsidRDefault="00EA3662">
            <w:pPr>
              <w:widowControl/>
              <w:rPr>
                <w:rFonts w:ascii="Calibri" w:eastAsia="Calibri" w:hAnsi="Calibri" w:cs="Calibri"/>
                <w:color w:val="000000"/>
                <w:sz w:val="20"/>
                <w:szCs w:val="20"/>
              </w:rPr>
            </w:pPr>
            <w:r>
              <w:rPr>
                <w:rFonts w:ascii="Calibri" w:eastAsia="Calibri" w:hAnsi="Calibri" w:cs="Calibri"/>
                <w:sz w:val="20"/>
                <w:szCs w:val="20"/>
              </w:rPr>
              <w:t>Building the next generation LDN investment pipeline through national Technical Assistance Hubs</w:t>
            </w:r>
          </w:p>
        </w:tc>
      </w:tr>
      <w:tr w:rsidR="00446431" w14:paraId="26134900" w14:textId="77777777">
        <w:trPr>
          <w:trHeight w:val="488"/>
        </w:trPr>
        <w:tc>
          <w:tcPr>
            <w:tcW w:w="2515" w:type="dxa"/>
            <w:shd w:val="clear" w:color="auto" w:fill="C6D9F1"/>
            <w:vAlign w:val="center"/>
          </w:tcPr>
          <w:p w14:paraId="53D3B412" w14:textId="77777777" w:rsidR="00446431" w:rsidRDefault="00EA366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color w:val="000000"/>
                <w:sz w:val="20"/>
                <w:szCs w:val="20"/>
              </w:rPr>
              <w:t>GEF/GCF PROJECT ID:</w:t>
            </w:r>
          </w:p>
        </w:tc>
        <w:tc>
          <w:tcPr>
            <w:tcW w:w="2700" w:type="dxa"/>
            <w:gridSpan w:val="2"/>
            <w:vAlign w:val="center"/>
          </w:tcPr>
          <w:p w14:paraId="7BB00368" w14:textId="77777777" w:rsidR="00446431" w:rsidRDefault="00EA3662">
            <w:pPr>
              <w:widowControl/>
              <w:rPr>
                <w:rFonts w:ascii="Calibri" w:eastAsia="Calibri" w:hAnsi="Calibri" w:cs="Calibri"/>
                <w:color w:val="000000"/>
                <w:sz w:val="20"/>
                <w:szCs w:val="20"/>
              </w:rPr>
            </w:pPr>
            <w:r>
              <w:rPr>
                <w:rFonts w:ascii="Calibri" w:eastAsia="Calibri" w:hAnsi="Calibri" w:cs="Calibri"/>
                <w:sz w:val="20"/>
                <w:szCs w:val="20"/>
              </w:rPr>
              <w:t>11006</w:t>
            </w:r>
          </w:p>
        </w:tc>
        <w:tc>
          <w:tcPr>
            <w:tcW w:w="2250" w:type="dxa"/>
            <w:shd w:val="clear" w:color="auto" w:fill="C6D9F1"/>
            <w:vAlign w:val="center"/>
          </w:tcPr>
          <w:p w14:paraId="2A7FAA10" w14:textId="77777777" w:rsidR="00446431" w:rsidRDefault="00EA366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PROJECT DURATION:</w:t>
            </w:r>
          </w:p>
        </w:tc>
        <w:tc>
          <w:tcPr>
            <w:tcW w:w="2564" w:type="dxa"/>
            <w:vAlign w:val="center"/>
          </w:tcPr>
          <w:p w14:paraId="7EABF642" w14:textId="77777777" w:rsidR="00446431" w:rsidRDefault="00EA366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 xml:space="preserve">36 </w:t>
            </w:r>
            <w:r>
              <w:rPr>
                <w:rFonts w:ascii="Calibri" w:eastAsia="Calibri" w:hAnsi="Calibri" w:cs="Calibri"/>
                <w:color w:val="000000"/>
                <w:sz w:val="20"/>
                <w:szCs w:val="20"/>
              </w:rPr>
              <w:t>months</w:t>
            </w:r>
          </w:p>
        </w:tc>
      </w:tr>
      <w:tr w:rsidR="00446431" w14:paraId="5CD8CCBB" w14:textId="77777777">
        <w:trPr>
          <w:trHeight w:val="488"/>
        </w:trPr>
        <w:tc>
          <w:tcPr>
            <w:tcW w:w="2515" w:type="dxa"/>
            <w:shd w:val="clear" w:color="auto" w:fill="C6D9F1"/>
            <w:vAlign w:val="center"/>
          </w:tcPr>
          <w:p w14:paraId="4CE444C3" w14:textId="77777777" w:rsidR="00446431" w:rsidRDefault="00EA366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color w:val="000000"/>
                <w:sz w:val="20"/>
                <w:szCs w:val="20"/>
              </w:rPr>
              <w:t>EXECUTING AGENCY/ENTITY:</w:t>
            </w:r>
          </w:p>
        </w:tc>
        <w:tc>
          <w:tcPr>
            <w:tcW w:w="7514" w:type="dxa"/>
            <w:gridSpan w:val="4"/>
            <w:vAlign w:val="center"/>
          </w:tcPr>
          <w:p w14:paraId="6C2EDCC8" w14:textId="77777777" w:rsidR="00446431" w:rsidRDefault="00EA3662">
            <w:pPr>
              <w:tabs>
                <w:tab w:val="left" w:pos="0"/>
                <w:tab w:val="right" w:pos="73"/>
                <w:tab w:val="right" w:pos="1712"/>
                <w:tab w:val="right" w:pos="4160"/>
                <w:tab w:val="right" w:pos="6528"/>
                <w:tab w:val="right" w:pos="9384"/>
              </w:tabs>
              <w:rPr>
                <w:rFonts w:ascii="Calibri" w:eastAsia="Calibri" w:hAnsi="Calibri" w:cs="Calibri"/>
                <w:color w:val="000000"/>
                <w:sz w:val="20"/>
                <w:szCs w:val="20"/>
              </w:rPr>
            </w:pPr>
            <w:r>
              <w:rPr>
                <w:rFonts w:ascii="Calibri" w:eastAsia="Calibri" w:hAnsi="Calibri" w:cs="Calibri"/>
                <w:sz w:val="20"/>
                <w:szCs w:val="20"/>
              </w:rPr>
              <w:t>IDH</w:t>
            </w:r>
          </w:p>
        </w:tc>
      </w:tr>
      <w:tr w:rsidR="00446431" w14:paraId="79C2142B" w14:textId="77777777">
        <w:trPr>
          <w:trHeight w:val="488"/>
        </w:trPr>
        <w:tc>
          <w:tcPr>
            <w:tcW w:w="2515" w:type="dxa"/>
            <w:shd w:val="clear" w:color="auto" w:fill="C6D9F1"/>
            <w:vAlign w:val="center"/>
          </w:tcPr>
          <w:p w14:paraId="04330751" w14:textId="77777777" w:rsidR="00446431" w:rsidRDefault="00EA366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color w:val="000000"/>
                <w:sz w:val="20"/>
                <w:szCs w:val="20"/>
              </w:rPr>
              <w:t>PROJECT START DATE</w:t>
            </w:r>
            <w:r>
              <w:rPr>
                <w:rFonts w:ascii="Calibri" w:eastAsia="Calibri" w:hAnsi="Calibri" w:cs="Calibri"/>
                <w:i/>
                <w:color w:val="000000"/>
                <w:sz w:val="20"/>
                <w:szCs w:val="20"/>
              </w:rPr>
              <w:t>:</w:t>
            </w:r>
          </w:p>
        </w:tc>
        <w:tc>
          <w:tcPr>
            <w:tcW w:w="2700" w:type="dxa"/>
            <w:gridSpan w:val="2"/>
            <w:vAlign w:val="center"/>
          </w:tcPr>
          <w:p w14:paraId="34AC58B0" w14:textId="77777777" w:rsidR="00446431" w:rsidRDefault="00EA3662">
            <w:pPr>
              <w:rPr>
                <w:rFonts w:ascii="Calibri" w:eastAsia="Calibri" w:hAnsi="Calibri" w:cs="Calibri"/>
                <w:sz w:val="20"/>
                <w:szCs w:val="20"/>
              </w:rPr>
            </w:pPr>
            <w:r>
              <w:rPr>
                <w:rFonts w:ascii="Calibri" w:eastAsia="Calibri" w:hAnsi="Calibri" w:cs="Calibri"/>
                <w:i/>
                <w:sz w:val="20"/>
                <w:szCs w:val="20"/>
              </w:rPr>
              <w:t>TBD</w:t>
            </w:r>
          </w:p>
        </w:tc>
        <w:tc>
          <w:tcPr>
            <w:tcW w:w="2250" w:type="dxa"/>
            <w:shd w:val="clear" w:color="auto" w:fill="C6D9F1"/>
            <w:vAlign w:val="center"/>
          </w:tcPr>
          <w:p w14:paraId="52D31C7F" w14:textId="77777777" w:rsidR="00446431" w:rsidRDefault="00EA366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color w:val="000000"/>
                <w:sz w:val="20"/>
                <w:szCs w:val="20"/>
              </w:rPr>
              <w:t>PROJECT END DATE</w:t>
            </w:r>
            <w:r>
              <w:rPr>
                <w:rFonts w:ascii="Calibri" w:eastAsia="Calibri" w:hAnsi="Calibri" w:cs="Calibri"/>
                <w:i/>
                <w:color w:val="000000"/>
                <w:sz w:val="20"/>
                <w:szCs w:val="20"/>
              </w:rPr>
              <w:t>:</w:t>
            </w:r>
          </w:p>
        </w:tc>
        <w:tc>
          <w:tcPr>
            <w:tcW w:w="2564" w:type="dxa"/>
            <w:vAlign w:val="center"/>
          </w:tcPr>
          <w:p w14:paraId="07F915B2" w14:textId="77777777" w:rsidR="00446431" w:rsidRDefault="00EA366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i/>
                <w:sz w:val="20"/>
                <w:szCs w:val="20"/>
              </w:rPr>
              <w:t>TBD</w:t>
            </w:r>
          </w:p>
        </w:tc>
      </w:tr>
      <w:tr w:rsidR="00446431" w14:paraId="2E3EF4CF" w14:textId="77777777">
        <w:trPr>
          <w:trHeight w:val="488"/>
        </w:trPr>
        <w:tc>
          <w:tcPr>
            <w:tcW w:w="4365" w:type="dxa"/>
            <w:gridSpan w:val="2"/>
            <w:shd w:val="clear" w:color="auto" w:fill="C6D9F1"/>
            <w:vAlign w:val="center"/>
          </w:tcPr>
          <w:p w14:paraId="258CB2E7" w14:textId="77777777" w:rsidR="00446431" w:rsidRDefault="00EA366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color w:val="000000"/>
                <w:sz w:val="20"/>
                <w:szCs w:val="20"/>
              </w:rPr>
              <w:t>AGM PREPARED BY:</w:t>
            </w:r>
          </w:p>
        </w:tc>
        <w:tc>
          <w:tcPr>
            <w:tcW w:w="5664" w:type="dxa"/>
            <w:gridSpan w:val="3"/>
            <w:vAlign w:val="center"/>
          </w:tcPr>
          <w:p w14:paraId="21B8165F" w14:textId="77777777" w:rsidR="00446431" w:rsidRDefault="00EA366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Jim Stephenson &amp; Izzy Brown (Terranomics Limited) and Nienke Stam and Ari Nova Firnanda (IDH)</w:t>
            </w:r>
          </w:p>
        </w:tc>
      </w:tr>
      <w:tr w:rsidR="00446431" w14:paraId="16FD0BFF" w14:textId="77777777">
        <w:trPr>
          <w:trHeight w:val="488"/>
        </w:trPr>
        <w:tc>
          <w:tcPr>
            <w:tcW w:w="4365" w:type="dxa"/>
            <w:gridSpan w:val="2"/>
            <w:shd w:val="clear" w:color="auto" w:fill="C6D9F1"/>
            <w:vAlign w:val="center"/>
          </w:tcPr>
          <w:p w14:paraId="404268D0" w14:textId="77777777" w:rsidR="00446431" w:rsidRDefault="00EA366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color w:val="000000"/>
                <w:sz w:val="20"/>
                <w:szCs w:val="20"/>
              </w:rPr>
              <w:t>DATE OF (RE)SUBMISSION TO CI-GEF/GCF:</w:t>
            </w:r>
          </w:p>
        </w:tc>
        <w:tc>
          <w:tcPr>
            <w:tcW w:w="5664" w:type="dxa"/>
            <w:gridSpan w:val="3"/>
            <w:vAlign w:val="center"/>
          </w:tcPr>
          <w:p w14:paraId="4EBBD591" w14:textId="4A4B4AC7" w:rsidR="00446431" w:rsidRDefault="00FA666D">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 xml:space="preserve">16.12.22; </w:t>
            </w:r>
            <w:r w:rsidR="00EA3662">
              <w:rPr>
                <w:rFonts w:ascii="Calibri" w:eastAsia="Calibri" w:hAnsi="Calibri" w:cs="Calibri"/>
                <w:sz w:val="20"/>
                <w:szCs w:val="20"/>
              </w:rPr>
              <w:t>23.12.22</w:t>
            </w:r>
            <w:r>
              <w:rPr>
                <w:rFonts w:ascii="Calibri" w:eastAsia="Calibri" w:hAnsi="Calibri" w:cs="Calibri"/>
                <w:sz w:val="20"/>
                <w:szCs w:val="20"/>
              </w:rPr>
              <w:t>; 23.01.23</w:t>
            </w:r>
          </w:p>
        </w:tc>
      </w:tr>
      <w:tr w:rsidR="00446431" w14:paraId="52272402" w14:textId="77777777">
        <w:trPr>
          <w:trHeight w:val="488"/>
        </w:trPr>
        <w:tc>
          <w:tcPr>
            <w:tcW w:w="4365" w:type="dxa"/>
            <w:gridSpan w:val="2"/>
            <w:shd w:val="clear" w:color="auto" w:fill="C6D9F1"/>
            <w:vAlign w:val="center"/>
          </w:tcPr>
          <w:p w14:paraId="04C1F3D5" w14:textId="77777777" w:rsidR="00446431" w:rsidRDefault="00EA366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color w:val="000000"/>
                <w:sz w:val="20"/>
                <w:szCs w:val="20"/>
              </w:rPr>
              <w:t>AGM APPROVED BY:</w:t>
            </w:r>
          </w:p>
        </w:tc>
        <w:tc>
          <w:tcPr>
            <w:tcW w:w="5664" w:type="dxa"/>
            <w:gridSpan w:val="3"/>
            <w:vAlign w:val="center"/>
          </w:tcPr>
          <w:p w14:paraId="1FB3DCB7" w14:textId="33376489" w:rsidR="00446431" w:rsidRPr="00BF5B64" w:rsidRDefault="00BF5B64">
            <w:pPr>
              <w:pBdr>
                <w:top w:val="nil"/>
                <w:left w:val="nil"/>
                <w:bottom w:val="nil"/>
                <w:right w:val="nil"/>
                <w:between w:val="nil"/>
              </w:pBdr>
              <w:rPr>
                <w:rFonts w:ascii="Calibri" w:eastAsia="Calibri" w:hAnsi="Calibri" w:cs="Calibri"/>
                <w:iCs/>
                <w:color w:val="000000"/>
                <w:sz w:val="20"/>
                <w:szCs w:val="20"/>
              </w:rPr>
            </w:pPr>
            <w:r w:rsidRPr="00BF5B64">
              <w:rPr>
                <w:rFonts w:ascii="Calibri" w:eastAsia="Calibri" w:hAnsi="Calibri" w:cs="Calibri"/>
                <w:iCs/>
                <w:color w:val="000000"/>
                <w:sz w:val="20"/>
                <w:szCs w:val="20"/>
              </w:rPr>
              <w:t>Ian Kissoon, Senior Director, ESMS, CI-GEF/GCF Agencies</w:t>
            </w:r>
          </w:p>
        </w:tc>
      </w:tr>
      <w:tr w:rsidR="00446431" w14:paraId="6BE77079" w14:textId="77777777">
        <w:trPr>
          <w:trHeight w:val="488"/>
        </w:trPr>
        <w:tc>
          <w:tcPr>
            <w:tcW w:w="4365" w:type="dxa"/>
            <w:gridSpan w:val="2"/>
            <w:shd w:val="clear" w:color="auto" w:fill="C6D9F1"/>
            <w:vAlign w:val="center"/>
          </w:tcPr>
          <w:p w14:paraId="429D3E2A" w14:textId="77777777" w:rsidR="00446431" w:rsidRDefault="00EA366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color w:val="000000"/>
                <w:sz w:val="20"/>
                <w:szCs w:val="20"/>
              </w:rPr>
              <w:t>DATE OF CI-GEF/GCF APPROVAL:</w:t>
            </w:r>
          </w:p>
        </w:tc>
        <w:tc>
          <w:tcPr>
            <w:tcW w:w="5664" w:type="dxa"/>
            <w:gridSpan w:val="3"/>
            <w:vAlign w:val="center"/>
          </w:tcPr>
          <w:p w14:paraId="25669824" w14:textId="4277A57C" w:rsidR="00446431" w:rsidRPr="00BF5B64" w:rsidRDefault="00BF5B64">
            <w:pPr>
              <w:pBdr>
                <w:top w:val="nil"/>
                <w:left w:val="nil"/>
                <w:bottom w:val="nil"/>
                <w:right w:val="nil"/>
                <w:between w:val="nil"/>
              </w:pBdr>
              <w:rPr>
                <w:rFonts w:ascii="Calibri" w:eastAsia="Calibri" w:hAnsi="Calibri" w:cs="Calibri"/>
                <w:iCs/>
                <w:color w:val="000000"/>
                <w:sz w:val="20"/>
                <w:szCs w:val="20"/>
              </w:rPr>
            </w:pPr>
            <w:r w:rsidRPr="00BF5B64">
              <w:rPr>
                <w:rFonts w:ascii="Calibri" w:eastAsia="Calibri" w:hAnsi="Calibri" w:cs="Calibri"/>
                <w:iCs/>
                <w:color w:val="000000"/>
                <w:sz w:val="20"/>
                <w:szCs w:val="20"/>
              </w:rPr>
              <w:t>January 30, 2023</w:t>
            </w:r>
          </w:p>
        </w:tc>
      </w:tr>
      <w:tr w:rsidR="00446431" w14:paraId="441A26D7" w14:textId="77777777">
        <w:tc>
          <w:tcPr>
            <w:tcW w:w="10029" w:type="dxa"/>
            <w:gridSpan w:val="5"/>
          </w:tcPr>
          <w:p w14:paraId="28D2B22B" w14:textId="77777777" w:rsidR="00446431" w:rsidRDefault="00446431">
            <w:pPr>
              <w:pBdr>
                <w:top w:val="nil"/>
                <w:left w:val="nil"/>
                <w:bottom w:val="nil"/>
                <w:right w:val="nil"/>
                <w:between w:val="nil"/>
              </w:pBdr>
              <w:rPr>
                <w:rFonts w:ascii="Calibri" w:eastAsia="Calibri" w:hAnsi="Calibri" w:cs="Calibri"/>
                <w:b/>
                <w:i/>
                <w:color w:val="000000"/>
                <w:sz w:val="24"/>
                <w:szCs w:val="24"/>
                <w:highlight w:val="yellow"/>
              </w:rPr>
            </w:pPr>
          </w:p>
          <w:p w14:paraId="3609D7CA" w14:textId="77777777" w:rsidR="00446431" w:rsidRDefault="00EA3662">
            <w:pPr>
              <w:pBdr>
                <w:top w:val="nil"/>
                <w:left w:val="nil"/>
                <w:bottom w:val="nil"/>
                <w:right w:val="nil"/>
                <w:between w:val="nil"/>
              </w:pBdr>
              <w:jc w:val="both"/>
              <w:rPr>
                <w:rFonts w:ascii="Calibri" w:eastAsia="Calibri" w:hAnsi="Calibri" w:cs="Calibri"/>
                <w:highlight w:val="white"/>
              </w:rPr>
            </w:pPr>
            <w:r>
              <w:rPr>
                <w:rFonts w:ascii="Calibri" w:eastAsia="Calibri" w:hAnsi="Calibri" w:cs="Calibri"/>
                <w:highlight w:val="white"/>
              </w:rPr>
              <w:t>The project’s objective is to build capacity and mobilize the local public and private sector in target countries to unlock blended finance investment in land degradation neutrality.</w:t>
            </w:r>
          </w:p>
          <w:p w14:paraId="32A834C1" w14:textId="77777777" w:rsidR="00446431" w:rsidRDefault="00446431">
            <w:pPr>
              <w:pBdr>
                <w:top w:val="nil"/>
                <w:left w:val="nil"/>
                <w:bottom w:val="nil"/>
                <w:right w:val="nil"/>
                <w:between w:val="nil"/>
              </w:pBdr>
              <w:jc w:val="both"/>
              <w:rPr>
                <w:rFonts w:ascii="Calibri" w:eastAsia="Calibri" w:hAnsi="Calibri" w:cs="Calibri"/>
                <w:highlight w:val="white"/>
              </w:rPr>
            </w:pPr>
          </w:p>
          <w:p w14:paraId="79FC97D1" w14:textId="77777777" w:rsidR="00446431" w:rsidRDefault="00EA3662">
            <w:pPr>
              <w:pBdr>
                <w:top w:val="nil"/>
                <w:left w:val="nil"/>
                <w:bottom w:val="nil"/>
                <w:right w:val="nil"/>
                <w:between w:val="nil"/>
              </w:pBdr>
              <w:jc w:val="both"/>
              <w:rPr>
                <w:rFonts w:ascii="Calibri" w:eastAsia="Calibri" w:hAnsi="Calibri" w:cs="Calibri"/>
                <w:highlight w:val="white"/>
              </w:rPr>
            </w:pPr>
            <w:r>
              <w:rPr>
                <w:rFonts w:ascii="Calibri" w:eastAsia="Calibri" w:hAnsi="Calibri" w:cs="Calibri"/>
                <w:highlight w:val="white"/>
              </w:rPr>
              <w:t>The projects components are as set out below:</w:t>
            </w:r>
          </w:p>
          <w:p w14:paraId="6A59269B" w14:textId="77777777" w:rsidR="00446431" w:rsidRDefault="00446431">
            <w:pPr>
              <w:pBdr>
                <w:top w:val="nil"/>
                <w:left w:val="nil"/>
                <w:bottom w:val="nil"/>
                <w:right w:val="nil"/>
                <w:between w:val="nil"/>
              </w:pBdr>
              <w:jc w:val="both"/>
              <w:rPr>
                <w:rFonts w:ascii="Calibri" w:eastAsia="Calibri" w:hAnsi="Calibri" w:cs="Calibri"/>
                <w:highlight w:val="white"/>
              </w:rPr>
            </w:pPr>
          </w:p>
          <w:p w14:paraId="792B07E9" w14:textId="77777777" w:rsidR="00446431" w:rsidRDefault="00EA3662">
            <w:pPr>
              <w:numPr>
                <w:ilvl w:val="0"/>
                <w:numId w:val="5"/>
              </w:numPr>
              <w:jc w:val="both"/>
              <w:rPr>
                <w:rFonts w:ascii="Calibri" w:eastAsia="Calibri" w:hAnsi="Calibri" w:cs="Calibri"/>
              </w:rPr>
            </w:pPr>
            <w:r>
              <w:rPr>
                <w:rFonts w:ascii="Calibri" w:eastAsia="Calibri" w:hAnsi="Calibri" w:cs="Calibri"/>
              </w:rPr>
              <w:t xml:space="preserve">Component 1 of the project (TA Hub for national-level mobilization to advance high-impact SME, smallholder and community-based projects) will be implemented at the country level with the entirety of Colombia as the project location. </w:t>
            </w:r>
          </w:p>
          <w:p w14:paraId="02DB5C4D" w14:textId="77777777" w:rsidR="00446431" w:rsidRDefault="00EA3662">
            <w:pPr>
              <w:numPr>
                <w:ilvl w:val="0"/>
                <w:numId w:val="5"/>
              </w:numPr>
              <w:jc w:val="both"/>
              <w:rPr>
                <w:rFonts w:ascii="Calibri" w:eastAsia="Calibri" w:hAnsi="Calibri" w:cs="Calibri"/>
              </w:rPr>
            </w:pPr>
            <w:r>
              <w:rPr>
                <w:rFonts w:ascii="Calibri" w:eastAsia="Calibri" w:hAnsi="Calibri" w:cs="Calibri"/>
              </w:rPr>
              <w:t xml:space="preserve">Component 2 (Demonstrating how to replicate the national TA hub approach) will focus on other countries where a National TA Hub approach could effectively contribute to combatting land degradation. </w:t>
            </w:r>
          </w:p>
          <w:p w14:paraId="3470A3C1" w14:textId="77777777" w:rsidR="00446431" w:rsidRDefault="00EA3662">
            <w:pPr>
              <w:numPr>
                <w:ilvl w:val="0"/>
                <w:numId w:val="5"/>
              </w:numPr>
              <w:jc w:val="both"/>
              <w:rPr>
                <w:rFonts w:ascii="Calibri" w:eastAsia="Calibri" w:hAnsi="Calibri" w:cs="Calibri"/>
              </w:rPr>
            </w:pPr>
            <w:r>
              <w:rPr>
                <w:rFonts w:ascii="Calibri" w:eastAsia="Calibri" w:hAnsi="Calibri" w:cs="Calibri"/>
              </w:rPr>
              <w:t xml:space="preserve">In contrast, Component 3 (Knowledge sharing and management) is geographically-agnostic – and will be global in scope. </w:t>
            </w:r>
          </w:p>
          <w:p w14:paraId="6046FC47" w14:textId="77777777" w:rsidR="00446431" w:rsidRDefault="00446431">
            <w:pPr>
              <w:pBdr>
                <w:top w:val="nil"/>
                <w:left w:val="nil"/>
                <w:bottom w:val="nil"/>
                <w:right w:val="nil"/>
                <w:between w:val="nil"/>
              </w:pBdr>
              <w:jc w:val="both"/>
              <w:rPr>
                <w:rFonts w:ascii="Calibri" w:eastAsia="Calibri" w:hAnsi="Calibri" w:cs="Calibri"/>
                <w:highlight w:val="white"/>
              </w:rPr>
            </w:pPr>
          </w:p>
          <w:p w14:paraId="1E49267B" w14:textId="77777777" w:rsidR="00446431" w:rsidRDefault="00EA3662">
            <w:pPr>
              <w:pBdr>
                <w:top w:val="nil"/>
                <w:left w:val="nil"/>
                <w:bottom w:val="nil"/>
                <w:right w:val="nil"/>
                <w:between w:val="nil"/>
              </w:pBdr>
              <w:jc w:val="both"/>
              <w:rPr>
                <w:rFonts w:ascii="Calibri" w:eastAsia="Calibri" w:hAnsi="Calibri" w:cs="Calibri"/>
                <w:highlight w:val="white"/>
              </w:rPr>
            </w:pPr>
            <w:r>
              <w:rPr>
                <w:rFonts w:ascii="Calibri" w:eastAsia="Calibri" w:hAnsi="Calibri" w:cs="Calibri"/>
                <w:highlight w:val="white"/>
              </w:rPr>
              <w:t xml:space="preserve">A pilot National TA Hub will be established in Colombia, serving SMEs, smallholder and community LDN projects, and helping them implement investment roadmaps. It will also work with local financial institutions and Microfinance Institutions (MFIs) in the country to improve accessibility to or develop new credit lines and financial products which are appropriate for the needs of LDN projects and businesses.  </w:t>
            </w:r>
          </w:p>
          <w:p w14:paraId="77560BBB" w14:textId="77777777" w:rsidR="00446431" w:rsidRDefault="00446431">
            <w:pPr>
              <w:pBdr>
                <w:top w:val="nil"/>
                <w:left w:val="nil"/>
                <w:bottom w:val="nil"/>
                <w:right w:val="nil"/>
                <w:between w:val="nil"/>
              </w:pBdr>
              <w:jc w:val="both"/>
              <w:rPr>
                <w:rFonts w:ascii="Calibri" w:eastAsia="Calibri" w:hAnsi="Calibri" w:cs="Calibri"/>
                <w:highlight w:val="white"/>
              </w:rPr>
            </w:pPr>
          </w:p>
          <w:p w14:paraId="3B0CF6FA" w14:textId="77777777" w:rsidR="00446431" w:rsidRDefault="00EA3662">
            <w:pPr>
              <w:pBdr>
                <w:top w:val="nil"/>
                <w:left w:val="nil"/>
                <w:bottom w:val="nil"/>
                <w:right w:val="nil"/>
                <w:between w:val="nil"/>
              </w:pBdr>
              <w:jc w:val="both"/>
              <w:rPr>
                <w:rFonts w:ascii="Calibri" w:eastAsia="Calibri" w:hAnsi="Calibri" w:cs="Calibri"/>
                <w:highlight w:val="white"/>
              </w:rPr>
            </w:pPr>
            <w:r>
              <w:rPr>
                <w:rFonts w:ascii="Calibri" w:eastAsia="Calibri" w:hAnsi="Calibri" w:cs="Calibri"/>
                <w:highlight w:val="white"/>
              </w:rPr>
              <w:t xml:space="preserve">At the same time, it will also establish a global TAF ‘LDN Finance Network’ with impact investors, philanthropic investors and national banks/MFIs to decide on which projects and businesses coming through the National TA Hub can be taken forward for investment by members of the network. </w:t>
            </w:r>
          </w:p>
          <w:p w14:paraId="7B6B99FA" w14:textId="77777777" w:rsidR="00446431" w:rsidRDefault="00446431">
            <w:pPr>
              <w:pBdr>
                <w:top w:val="nil"/>
                <w:left w:val="nil"/>
                <w:bottom w:val="nil"/>
                <w:right w:val="nil"/>
                <w:between w:val="nil"/>
              </w:pBdr>
              <w:jc w:val="both"/>
              <w:rPr>
                <w:rFonts w:ascii="Calibri" w:eastAsia="Calibri" w:hAnsi="Calibri" w:cs="Calibri"/>
                <w:highlight w:val="white"/>
              </w:rPr>
            </w:pPr>
          </w:p>
          <w:p w14:paraId="69FEFEC2" w14:textId="77777777" w:rsidR="00446431" w:rsidRDefault="00EA3662">
            <w:pPr>
              <w:pBdr>
                <w:top w:val="nil"/>
                <w:left w:val="nil"/>
                <w:bottom w:val="nil"/>
                <w:right w:val="nil"/>
                <w:between w:val="nil"/>
              </w:pBdr>
              <w:jc w:val="both"/>
              <w:rPr>
                <w:rFonts w:ascii="Calibri" w:eastAsia="Calibri" w:hAnsi="Calibri" w:cs="Calibri"/>
                <w:highlight w:val="white"/>
              </w:rPr>
            </w:pPr>
            <w:r>
              <w:rPr>
                <w:rFonts w:ascii="Calibri" w:eastAsia="Calibri" w:hAnsi="Calibri" w:cs="Calibri"/>
                <w:highlight w:val="white"/>
              </w:rPr>
              <w:t xml:space="preserve">Once the pilot National TA Hub has demonstrated its first results there will then be scoping studies carried out in three other countries to assess the feasibility and strategy for replicating the TA Hub. This will be accompanied by a recommendations report on how to replicate the national TA hub model, to engage and encourage governments and stakeholders in other countries to consider replicating the approach. This will be further supported by the development of broader lessons learnt documents, case studies and tools for public/private collaboration in progressing LDN objectives, to encourage more effective collaboration between </w:t>
            </w:r>
            <w:r>
              <w:rPr>
                <w:rFonts w:ascii="Calibri" w:eastAsia="Calibri" w:hAnsi="Calibri" w:cs="Calibri"/>
                <w:highlight w:val="white"/>
              </w:rPr>
              <w:lastRenderedPageBreak/>
              <w:t>these sectors going forward and to create a better enabling environment for LDN investment.</w:t>
            </w:r>
          </w:p>
          <w:p w14:paraId="76804AE4" w14:textId="77777777" w:rsidR="00446431" w:rsidRDefault="00446431">
            <w:pPr>
              <w:pBdr>
                <w:top w:val="nil"/>
                <w:left w:val="nil"/>
                <w:bottom w:val="nil"/>
                <w:right w:val="nil"/>
                <w:between w:val="nil"/>
              </w:pBdr>
              <w:rPr>
                <w:rFonts w:ascii="Calibri" w:eastAsia="Calibri" w:hAnsi="Calibri" w:cs="Calibri"/>
                <w:highlight w:val="white"/>
              </w:rPr>
            </w:pPr>
          </w:p>
          <w:p w14:paraId="32C5F4AE" w14:textId="77777777" w:rsidR="00446431" w:rsidRDefault="00EA3662">
            <w:pPr>
              <w:pBdr>
                <w:top w:val="nil"/>
                <w:left w:val="nil"/>
                <w:bottom w:val="nil"/>
                <w:right w:val="nil"/>
                <w:between w:val="nil"/>
              </w:pBdr>
              <w:rPr>
                <w:rFonts w:ascii="Calibri" w:eastAsia="Calibri" w:hAnsi="Calibri" w:cs="Calibri"/>
                <w:u w:val="single"/>
              </w:rPr>
            </w:pPr>
            <w:r>
              <w:rPr>
                <w:rFonts w:ascii="Calibri" w:eastAsia="Calibri" w:hAnsi="Calibri" w:cs="Calibri"/>
                <w:highlight w:val="white"/>
                <w:u w:val="single"/>
              </w:rPr>
              <w:t xml:space="preserve">The </w:t>
            </w:r>
            <w:r>
              <w:rPr>
                <w:rFonts w:ascii="Calibri" w:eastAsia="Calibri" w:hAnsi="Calibri" w:cs="Calibri"/>
                <w:u w:val="single"/>
              </w:rPr>
              <w:t xml:space="preserve">Accountability and Grievance (AGM) Plan </w:t>
            </w:r>
          </w:p>
          <w:p w14:paraId="6F4887C2" w14:textId="77777777" w:rsidR="00446431" w:rsidRDefault="00446431">
            <w:pPr>
              <w:pBdr>
                <w:top w:val="nil"/>
                <w:left w:val="nil"/>
                <w:bottom w:val="nil"/>
                <w:right w:val="nil"/>
                <w:between w:val="nil"/>
              </w:pBdr>
              <w:jc w:val="both"/>
              <w:rPr>
                <w:rFonts w:ascii="Calibri" w:eastAsia="Calibri" w:hAnsi="Calibri" w:cs="Calibri"/>
              </w:rPr>
            </w:pPr>
          </w:p>
          <w:p w14:paraId="4C8D016E" w14:textId="77777777" w:rsidR="00446431" w:rsidRDefault="00EA3662">
            <w:pPr>
              <w:pBdr>
                <w:top w:val="nil"/>
                <w:left w:val="nil"/>
                <w:bottom w:val="nil"/>
                <w:right w:val="nil"/>
                <w:between w:val="nil"/>
              </w:pBdr>
              <w:jc w:val="both"/>
              <w:rPr>
                <w:rFonts w:ascii="Calibri" w:eastAsia="Calibri" w:hAnsi="Calibri" w:cs="Calibri"/>
              </w:rPr>
            </w:pPr>
            <w:r>
              <w:rPr>
                <w:rFonts w:ascii="Calibri" w:eastAsia="Calibri" w:hAnsi="Calibri" w:cs="Calibri"/>
              </w:rPr>
              <w:t>This AGM Plan describes h</w:t>
            </w:r>
            <w:r>
              <w:rPr>
                <w:rFonts w:ascii="Calibri" w:eastAsia="Calibri" w:hAnsi="Calibri" w:cs="Calibri"/>
                <w:highlight w:val="white"/>
              </w:rPr>
              <w:t>ow the project will ensure to have in place an accountability and grievance mechanism, that is compliant with CI-GEF Agency Policy and that provides a transparent and safe</w:t>
            </w:r>
            <w:r>
              <w:rPr>
                <w:rFonts w:ascii="Calibri" w:eastAsia="Calibri" w:hAnsi="Calibri" w:cs="Calibri"/>
              </w:rPr>
              <w:t xml:space="preserve"> engagement space throughout the entirety of the project through the use of IDH’s SpeakUp Policy and System. Concerns related to this project will always be taken seriously with resolutions created and met. The AGM is therefore an important tool for maintaining dialogue with project stakeholders, for people to raise grievances and for maintaining public support for the project. The AGM is an important tool to reduce risk to this project and promotes positive relationships between the Project and the stakeholders. This is because any persons in relation to or impacted by the Project may report a grievance, such as local and indigenous communities, government partners and organizations. The Grievance mechanism ensures that all reports will go through a third-party (no bias) efficient process in which all reports will be investigated to a certain extent with appropriate measures met once a conclusion has been agreed to.</w:t>
            </w:r>
          </w:p>
          <w:p w14:paraId="587CBECA" w14:textId="77777777" w:rsidR="00446431" w:rsidRDefault="00446431">
            <w:pPr>
              <w:pBdr>
                <w:top w:val="nil"/>
                <w:left w:val="nil"/>
                <w:bottom w:val="nil"/>
                <w:right w:val="nil"/>
                <w:between w:val="nil"/>
              </w:pBdr>
              <w:jc w:val="both"/>
              <w:rPr>
                <w:rFonts w:ascii="Calibri" w:eastAsia="Calibri" w:hAnsi="Calibri" w:cs="Calibri"/>
              </w:rPr>
            </w:pPr>
          </w:p>
          <w:p w14:paraId="44B01F74" w14:textId="77777777" w:rsidR="00446431" w:rsidRDefault="00EA3662">
            <w:pPr>
              <w:pBdr>
                <w:top w:val="nil"/>
                <w:left w:val="nil"/>
                <w:bottom w:val="nil"/>
                <w:right w:val="nil"/>
                <w:between w:val="nil"/>
              </w:pBdr>
              <w:jc w:val="both"/>
              <w:rPr>
                <w:rFonts w:ascii="Calibri" w:eastAsia="Calibri" w:hAnsi="Calibri" w:cs="Calibri"/>
                <w:highlight w:val="white"/>
              </w:rPr>
            </w:pPr>
            <w:r>
              <w:rPr>
                <w:rFonts w:ascii="Calibri" w:eastAsia="Calibri" w:hAnsi="Calibri" w:cs="Calibri"/>
              </w:rPr>
              <w:t xml:space="preserve">Therefore, as described above and throughout this Plan, in relation to </w:t>
            </w:r>
            <w:r>
              <w:rPr>
                <w:rFonts w:ascii="Calibri" w:eastAsia="Calibri" w:hAnsi="Calibri" w:cs="Calibri"/>
                <w:highlight w:val="white"/>
              </w:rPr>
              <w:t>CI GEF/GCF’s Environmental and Social Management Framework (ESMF), the mechanism covers all the requirements (see below) in addition to ensuring compliance with CI-GEF/GCF Project Agency’s ESMF standards and requirements and to provide for the receipt of and timely response to resolution of complaints from parties affected of CI-GEF/GCF funded projects. The requirements the mechanism addresses include:</w:t>
            </w:r>
          </w:p>
          <w:p w14:paraId="33B37757" w14:textId="77777777" w:rsidR="00446431" w:rsidRDefault="00446431">
            <w:pPr>
              <w:pBdr>
                <w:top w:val="nil"/>
                <w:left w:val="nil"/>
                <w:bottom w:val="nil"/>
                <w:right w:val="nil"/>
                <w:between w:val="nil"/>
              </w:pBdr>
              <w:jc w:val="both"/>
              <w:rPr>
                <w:rFonts w:ascii="Calibri" w:eastAsia="Calibri" w:hAnsi="Calibri" w:cs="Calibri"/>
                <w:highlight w:val="white"/>
              </w:rPr>
            </w:pPr>
          </w:p>
          <w:p w14:paraId="06F6020D" w14:textId="77777777" w:rsidR="00446431" w:rsidRDefault="00EA3662">
            <w:pPr>
              <w:numPr>
                <w:ilvl w:val="0"/>
                <w:numId w:val="3"/>
              </w:numPr>
              <w:jc w:val="both"/>
              <w:rPr>
                <w:rFonts w:ascii="Calibri" w:eastAsia="Calibri" w:hAnsi="Calibri" w:cs="Calibri"/>
                <w:highlight w:val="white"/>
              </w:rPr>
            </w:pPr>
            <w:r>
              <w:rPr>
                <w:rFonts w:ascii="Calibri" w:eastAsia="Calibri" w:hAnsi="Calibri" w:cs="Calibri"/>
                <w:highlight w:val="white"/>
              </w:rPr>
              <w:t>Addressing potential breaches of ESMF policies and standards;</w:t>
            </w:r>
          </w:p>
          <w:p w14:paraId="26B95E1A" w14:textId="77777777" w:rsidR="00446431" w:rsidRDefault="00EA3662">
            <w:pPr>
              <w:numPr>
                <w:ilvl w:val="0"/>
                <w:numId w:val="3"/>
              </w:numPr>
              <w:jc w:val="both"/>
              <w:rPr>
                <w:rFonts w:ascii="Calibri" w:eastAsia="Calibri" w:hAnsi="Calibri" w:cs="Calibri"/>
                <w:highlight w:val="white"/>
              </w:rPr>
            </w:pPr>
            <w:r>
              <w:rPr>
                <w:rFonts w:ascii="Calibri" w:eastAsia="Calibri" w:hAnsi="Calibri" w:cs="Calibri"/>
                <w:highlight w:val="white"/>
              </w:rPr>
              <w:t>Being independent, transparent, and effective;</w:t>
            </w:r>
          </w:p>
          <w:p w14:paraId="305BD9D2" w14:textId="77777777" w:rsidR="00446431" w:rsidRDefault="00EA3662">
            <w:pPr>
              <w:numPr>
                <w:ilvl w:val="0"/>
                <w:numId w:val="3"/>
              </w:numPr>
              <w:jc w:val="both"/>
              <w:rPr>
                <w:rFonts w:ascii="Calibri" w:eastAsia="Calibri" w:hAnsi="Calibri" w:cs="Calibri"/>
                <w:highlight w:val="white"/>
              </w:rPr>
            </w:pPr>
            <w:r>
              <w:rPr>
                <w:rFonts w:ascii="Calibri" w:eastAsia="Calibri" w:hAnsi="Calibri" w:cs="Calibri"/>
                <w:highlight w:val="white"/>
              </w:rPr>
              <w:t>Being reasonably accessible to project-affected people;</w:t>
            </w:r>
          </w:p>
          <w:p w14:paraId="4EC026FA" w14:textId="77777777" w:rsidR="00446431" w:rsidRDefault="00EA3662">
            <w:pPr>
              <w:numPr>
                <w:ilvl w:val="0"/>
                <w:numId w:val="3"/>
              </w:numPr>
              <w:jc w:val="both"/>
              <w:rPr>
                <w:rFonts w:ascii="Calibri" w:eastAsia="Calibri" w:hAnsi="Calibri" w:cs="Calibri"/>
                <w:highlight w:val="white"/>
              </w:rPr>
            </w:pPr>
            <w:r>
              <w:rPr>
                <w:rFonts w:ascii="Calibri" w:eastAsia="Calibri" w:hAnsi="Calibri" w:cs="Calibri"/>
                <w:highlight w:val="white"/>
              </w:rPr>
              <w:t>Keeping complainants abreast of progress with cases brought forward; and</w:t>
            </w:r>
          </w:p>
          <w:p w14:paraId="3CA42EEB" w14:textId="77777777" w:rsidR="00446431" w:rsidRDefault="00EA3662">
            <w:pPr>
              <w:numPr>
                <w:ilvl w:val="0"/>
                <w:numId w:val="3"/>
              </w:numPr>
              <w:jc w:val="both"/>
              <w:rPr>
                <w:rFonts w:ascii="Calibri" w:eastAsia="Calibri" w:hAnsi="Calibri" w:cs="Calibri"/>
                <w:highlight w:val="white"/>
              </w:rPr>
            </w:pPr>
            <w:r>
              <w:rPr>
                <w:rFonts w:ascii="Calibri" w:eastAsia="Calibri" w:hAnsi="Calibri" w:cs="Calibri"/>
                <w:highlight w:val="white"/>
              </w:rPr>
              <w:t>Maintaining records on all cases and issues brought forward for review.</w:t>
            </w:r>
          </w:p>
          <w:p w14:paraId="01A8CF02" w14:textId="77777777" w:rsidR="00446431" w:rsidRDefault="00446431">
            <w:pPr>
              <w:pBdr>
                <w:top w:val="nil"/>
                <w:left w:val="nil"/>
                <w:bottom w:val="nil"/>
                <w:right w:val="nil"/>
                <w:between w:val="nil"/>
              </w:pBdr>
              <w:rPr>
                <w:rFonts w:ascii="Calibri" w:eastAsia="Calibri" w:hAnsi="Calibri" w:cs="Calibri"/>
              </w:rPr>
            </w:pPr>
          </w:p>
        </w:tc>
      </w:tr>
    </w:tbl>
    <w:p w14:paraId="3A50D8E7" w14:textId="77777777" w:rsidR="00446431" w:rsidRDefault="00446431">
      <w:pPr>
        <w:pBdr>
          <w:top w:val="nil"/>
          <w:left w:val="nil"/>
          <w:bottom w:val="single" w:sz="4" w:space="1" w:color="000000"/>
          <w:right w:val="nil"/>
          <w:between w:val="nil"/>
        </w:pBdr>
        <w:rPr>
          <w:rFonts w:ascii="Calibri" w:eastAsia="Calibri" w:hAnsi="Calibri" w:cs="Calibri"/>
          <w:sz w:val="28"/>
          <w:szCs w:val="28"/>
        </w:rPr>
      </w:pPr>
    </w:p>
    <w:p w14:paraId="4A9DF035" w14:textId="77777777" w:rsidR="00446431" w:rsidRDefault="00446431">
      <w:pPr>
        <w:pBdr>
          <w:top w:val="nil"/>
          <w:left w:val="nil"/>
          <w:bottom w:val="single" w:sz="4" w:space="1" w:color="000000"/>
          <w:right w:val="nil"/>
          <w:between w:val="nil"/>
        </w:pBdr>
        <w:rPr>
          <w:rFonts w:ascii="Calibri" w:eastAsia="Calibri" w:hAnsi="Calibri" w:cs="Calibri"/>
          <w:sz w:val="28"/>
          <w:szCs w:val="28"/>
        </w:rPr>
      </w:pPr>
    </w:p>
    <w:p w14:paraId="2814F660" w14:textId="77777777" w:rsidR="00446431" w:rsidRDefault="00EA3662">
      <w:pPr>
        <w:pBdr>
          <w:top w:val="nil"/>
          <w:left w:val="nil"/>
          <w:bottom w:val="single" w:sz="4" w:space="1" w:color="000000"/>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SECTION II: Scope</w:t>
      </w:r>
    </w:p>
    <w:p w14:paraId="473C818A" w14:textId="77777777" w:rsidR="00446431" w:rsidRDefault="00446431">
      <w:pPr>
        <w:pBdr>
          <w:bottom w:val="single" w:sz="4" w:space="1" w:color="000000"/>
        </w:pBdr>
        <w:rPr>
          <w:rFonts w:ascii="Calibri" w:eastAsia="Calibri" w:hAnsi="Calibri" w:cs="Calibri"/>
          <w:sz w:val="28"/>
          <w:szCs w:val="28"/>
        </w:rPr>
      </w:pPr>
    </w:p>
    <w:p w14:paraId="77425B9A" w14:textId="77777777" w:rsidR="00446431" w:rsidRDefault="00EA3662">
      <w:pPr>
        <w:pBdr>
          <w:bottom w:val="single" w:sz="4" w:space="1" w:color="000000"/>
        </w:pBdr>
        <w:jc w:val="both"/>
        <w:rPr>
          <w:rFonts w:ascii="Calibri" w:eastAsia="Calibri" w:hAnsi="Calibri" w:cs="Calibri"/>
        </w:rPr>
      </w:pPr>
      <w:r>
        <w:rPr>
          <w:rFonts w:ascii="Calibri" w:eastAsia="Calibri" w:hAnsi="Calibri" w:cs="Calibri"/>
        </w:rPr>
        <w:t xml:space="preserve">This project will have a wide range of stakeholders, from various backgrounds and regions of Colombia. Therefore, IDH’s </w:t>
      </w:r>
      <w:r>
        <w:rPr>
          <w:rFonts w:ascii="Calibri" w:eastAsia="Calibri" w:hAnsi="Calibri" w:cs="Calibri"/>
          <w:i/>
        </w:rPr>
        <w:t xml:space="preserve"> </w:t>
      </w:r>
      <w:hyperlink r:id="rId8">
        <w:r>
          <w:rPr>
            <w:rFonts w:ascii="Calibri" w:eastAsia="Calibri" w:hAnsi="Calibri" w:cs="Calibri"/>
            <w:color w:val="1155CC"/>
            <w:u w:val="single"/>
          </w:rPr>
          <w:t>IDH SpeakUp Policy</w:t>
        </w:r>
      </w:hyperlink>
      <w:r>
        <w:rPr>
          <w:rFonts w:ascii="Calibri" w:eastAsia="Calibri" w:hAnsi="Calibri" w:cs="Calibri"/>
        </w:rPr>
        <w:t xml:space="preserve"> will be utilised as the key accountability and grievance mechanism. This avenue is an anonymous reporting mechanism for grievances within and in conjunction with IDH. Additionally, this existing mechanism provided by IDH demonstrates full compliance with the CI-GEF/GCF AGM Policy.</w:t>
      </w:r>
    </w:p>
    <w:p w14:paraId="47C1264B" w14:textId="77777777" w:rsidR="00446431" w:rsidRDefault="00446431">
      <w:pPr>
        <w:pBdr>
          <w:bottom w:val="single" w:sz="4" w:space="1" w:color="000000"/>
        </w:pBdr>
        <w:jc w:val="both"/>
        <w:rPr>
          <w:rFonts w:ascii="Calibri" w:eastAsia="Calibri" w:hAnsi="Calibri" w:cs="Calibri"/>
        </w:rPr>
      </w:pPr>
    </w:p>
    <w:p w14:paraId="57E6F51E" w14:textId="77777777" w:rsidR="00446431" w:rsidRDefault="00EA3662">
      <w:pPr>
        <w:pBdr>
          <w:bottom w:val="single" w:sz="4" w:space="1" w:color="000000"/>
        </w:pBdr>
        <w:jc w:val="both"/>
        <w:rPr>
          <w:rFonts w:ascii="Calibri" w:eastAsia="Calibri" w:hAnsi="Calibri" w:cs="Calibri"/>
        </w:rPr>
      </w:pPr>
      <w:r>
        <w:rPr>
          <w:rFonts w:ascii="Calibri" w:eastAsia="Calibri" w:hAnsi="Calibri" w:cs="Calibri"/>
        </w:rPr>
        <w:t xml:space="preserve">The SpeakUp Policy is for all persons with an employment contract, internship contract or service agreement with IDH or third-party persons that wish to raise a concern about any possible misconduct with IDH or related to IDH’s activities. This specifically implies that once a project directed by IDH (and in this case funded by the GEF) is underway, any policies or activities occurring, in particular, breaches connected to environmental and social safeguards, gender and stakeholder engagement will be eligible as a grievance. </w:t>
      </w:r>
    </w:p>
    <w:p w14:paraId="525672FD" w14:textId="77777777" w:rsidR="00446431" w:rsidRDefault="00446431">
      <w:pPr>
        <w:pBdr>
          <w:bottom w:val="single" w:sz="4" w:space="1" w:color="000000"/>
        </w:pBdr>
        <w:jc w:val="both"/>
        <w:rPr>
          <w:rFonts w:ascii="Calibri" w:eastAsia="Calibri" w:hAnsi="Calibri" w:cs="Calibri"/>
        </w:rPr>
      </w:pPr>
    </w:p>
    <w:p w14:paraId="59862DBF" w14:textId="77777777" w:rsidR="00446431" w:rsidRDefault="00EA3662">
      <w:pPr>
        <w:pBdr>
          <w:bottom w:val="single" w:sz="4" w:space="1" w:color="000000"/>
        </w:pBdr>
        <w:jc w:val="both"/>
        <w:rPr>
          <w:rFonts w:ascii="Calibri" w:eastAsia="Calibri" w:hAnsi="Calibri" w:cs="Calibri"/>
        </w:rPr>
      </w:pPr>
      <w:r>
        <w:rPr>
          <w:rFonts w:ascii="Calibri" w:eastAsia="Calibri" w:hAnsi="Calibri" w:cs="Calibri"/>
        </w:rPr>
        <w:t>It is expected that the grievances to be handled will largely be confined to Project actions, such as stakeholder engagement with female-led SMEs and natural resource management issues that may arise in post-conflict areas. Some examples of concerns that may arise within this Project can be seen below:</w:t>
      </w:r>
    </w:p>
    <w:p w14:paraId="0B95F06D" w14:textId="77777777" w:rsidR="00446431" w:rsidRDefault="00446431">
      <w:pPr>
        <w:pBdr>
          <w:bottom w:val="single" w:sz="4" w:space="1" w:color="000000"/>
        </w:pBdr>
        <w:rPr>
          <w:rFonts w:ascii="Calibri" w:eastAsia="Calibri" w:hAnsi="Calibri" w:cs="Calibri"/>
        </w:rPr>
      </w:pPr>
    </w:p>
    <w:p w14:paraId="123538A0" w14:textId="77777777" w:rsidR="00446431" w:rsidRDefault="00EA3662">
      <w:pPr>
        <w:numPr>
          <w:ilvl w:val="0"/>
          <w:numId w:val="4"/>
        </w:numPr>
        <w:pBdr>
          <w:bottom w:val="single" w:sz="4" w:space="1" w:color="000000"/>
        </w:pBdr>
        <w:rPr>
          <w:rFonts w:ascii="Calibri" w:eastAsia="Calibri" w:hAnsi="Calibri" w:cs="Calibri"/>
        </w:rPr>
      </w:pPr>
      <w:r>
        <w:rPr>
          <w:rFonts w:ascii="Calibri" w:eastAsia="Calibri" w:hAnsi="Calibri" w:cs="Calibri"/>
        </w:rPr>
        <w:t>Lack of engagement, such as engagement with TA, not fulfilling expectations;</w:t>
      </w:r>
    </w:p>
    <w:p w14:paraId="1ECA205A" w14:textId="77777777" w:rsidR="00446431" w:rsidRDefault="00EA3662">
      <w:pPr>
        <w:numPr>
          <w:ilvl w:val="0"/>
          <w:numId w:val="4"/>
        </w:numPr>
        <w:pBdr>
          <w:bottom w:val="single" w:sz="4" w:space="1" w:color="000000"/>
        </w:pBdr>
        <w:rPr>
          <w:rFonts w:ascii="Calibri" w:eastAsia="Calibri" w:hAnsi="Calibri" w:cs="Calibri"/>
        </w:rPr>
      </w:pPr>
      <w:r>
        <w:rPr>
          <w:rFonts w:ascii="Calibri" w:eastAsia="Calibri" w:hAnsi="Calibri" w:cs="Calibri"/>
        </w:rPr>
        <w:t>Non-adherence to agreements such as those seen in SEP, AGM, and GMP Plans;</w:t>
      </w:r>
    </w:p>
    <w:p w14:paraId="4B47E873" w14:textId="77777777" w:rsidR="00446431" w:rsidRDefault="00EA3662">
      <w:pPr>
        <w:numPr>
          <w:ilvl w:val="0"/>
          <w:numId w:val="4"/>
        </w:numPr>
        <w:pBdr>
          <w:bottom w:val="single" w:sz="4" w:space="1" w:color="000000"/>
        </w:pBdr>
        <w:rPr>
          <w:rFonts w:ascii="Calibri" w:eastAsia="Calibri" w:hAnsi="Calibri" w:cs="Calibri"/>
        </w:rPr>
      </w:pPr>
      <w:r>
        <w:rPr>
          <w:rFonts w:ascii="Calibri" w:eastAsia="Calibri" w:hAnsi="Calibri" w:cs="Calibri"/>
        </w:rPr>
        <w:t>On-going conflicts over natural resources;</w:t>
      </w:r>
    </w:p>
    <w:p w14:paraId="20AD4FC2" w14:textId="77777777" w:rsidR="00446431" w:rsidRDefault="00EA3662">
      <w:pPr>
        <w:numPr>
          <w:ilvl w:val="0"/>
          <w:numId w:val="4"/>
        </w:numPr>
        <w:pBdr>
          <w:bottom w:val="single" w:sz="4" w:space="1" w:color="000000"/>
        </w:pBdr>
        <w:rPr>
          <w:rFonts w:ascii="Calibri" w:eastAsia="Calibri" w:hAnsi="Calibri" w:cs="Calibri"/>
        </w:rPr>
      </w:pPr>
      <w:r>
        <w:rPr>
          <w:rFonts w:ascii="Calibri" w:eastAsia="Calibri" w:hAnsi="Calibri" w:cs="Calibri"/>
        </w:rPr>
        <w:lastRenderedPageBreak/>
        <w:t xml:space="preserve">Sexual harassment, abuse, or exploitation; </w:t>
      </w:r>
    </w:p>
    <w:p w14:paraId="33D97FFF" w14:textId="77777777" w:rsidR="00446431" w:rsidRDefault="00EA3662">
      <w:pPr>
        <w:numPr>
          <w:ilvl w:val="0"/>
          <w:numId w:val="4"/>
        </w:numPr>
        <w:pBdr>
          <w:bottom w:val="single" w:sz="4" w:space="1" w:color="000000"/>
        </w:pBdr>
        <w:rPr>
          <w:rFonts w:ascii="Calibri" w:eastAsia="Calibri" w:hAnsi="Calibri" w:cs="Calibri"/>
        </w:rPr>
      </w:pPr>
      <w:r>
        <w:rPr>
          <w:rFonts w:ascii="Calibri" w:eastAsia="Calibri" w:hAnsi="Calibri" w:cs="Calibri"/>
        </w:rPr>
        <w:t xml:space="preserve">Ensuring that female-led SMEs have equal opportunities with no discrimination; </w:t>
      </w:r>
    </w:p>
    <w:p w14:paraId="3A102E28" w14:textId="77777777" w:rsidR="00446431" w:rsidRDefault="00EA3662">
      <w:pPr>
        <w:numPr>
          <w:ilvl w:val="0"/>
          <w:numId w:val="4"/>
        </w:numPr>
        <w:pBdr>
          <w:bottom w:val="single" w:sz="4" w:space="1" w:color="000000"/>
        </w:pBdr>
        <w:rPr>
          <w:rFonts w:ascii="Calibri" w:eastAsia="Calibri" w:hAnsi="Calibri" w:cs="Calibri"/>
        </w:rPr>
      </w:pPr>
      <w:r>
        <w:rPr>
          <w:rFonts w:ascii="Calibri" w:eastAsia="Calibri" w:hAnsi="Calibri" w:cs="Calibri"/>
        </w:rPr>
        <w:t xml:space="preserve">Discrimination and disadvantaged groups being excluded, for example in the possible engagement of indigenous persons; </w:t>
      </w:r>
    </w:p>
    <w:p w14:paraId="19C78A2D" w14:textId="77777777" w:rsidR="00446431" w:rsidRDefault="00EA3662">
      <w:pPr>
        <w:numPr>
          <w:ilvl w:val="0"/>
          <w:numId w:val="4"/>
        </w:numPr>
        <w:pBdr>
          <w:bottom w:val="single" w:sz="4" w:space="1" w:color="000000"/>
        </w:pBdr>
        <w:rPr>
          <w:rFonts w:ascii="Calibri" w:eastAsia="Calibri" w:hAnsi="Calibri" w:cs="Calibri"/>
        </w:rPr>
      </w:pPr>
      <w:r>
        <w:rPr>
          <w:rFonts w:ascii="Calibri" w:eastAsia="Calibri" w:hAnsi="Calibri" w:cs="Calibri"/>
        </w:rPr>
        <w:t>Improper use of company resources and funding; and</w:t>
      </w:r>
    </w:p>
    <w:p w14:paraId="170CAB6E" w14:textId="77777777" w:rsidR="00446431" w:rsidRDefault="00EA3662">
      <w:pPr>
        <w:numPr>
          <w:ilvl w:val="0"/>
          <w:numId w:val="4"/>
        </w:numPr>
        <w:pBdr>
          <w:bottom w:val="single" w:sz="4" w:space="1" w:color="000000"/>
        </w:pBdr>
        <w:rPr>
          <w:rFonts w:ascii="Calibri" w:eastAsia="Calibri" w:hAnsi="Calibri" w:cs="Calibri"/>
        </w:rPr>
      </w:pPr>
      <w:r>
        <w:rPr>
          <w:rFonts w:ascii="Calibri" w:eastAsia="Calibri" w:hAnsi="Calibri" w:cs="Calibri"/>
        </w:rPr>
        <w:t xml:space="preserve">Violation of any applicable law or regulation. As Component 1 of this Project is in Colombia, all regional laws or regulations must be adhered to. </w:t>
      </w:r>
    </w:p>
    <w:p w14:paraId="5C194E96" w14:textId="77777777" w:rsidR="00446431" w:rsidRDefault="00446431">
      <w:pPr>
        <w:pBdr>
          <w:bottom w:val="single" w:sz="4" w:space="1" w:color="000000"/>
        </w:pBdr>
        <w:jc w:val="both"/>
        <w:rPr>
          <w:rFonts w:ascii="Calibri" w:eastAsia="Calibri" w:hAnsi="Calibri" w:cs="Calibri"/>
        </w:rPr>
      </w:pPr>
    </w:p>
    <w:p w14:paraId="51E8B01A" w14:textId="77777777" w:rsidR="00446431" w:rsidRDefault="00EA3662">
      <w:pPr>
        <w:pBdr>
          <w:bottom w:val="single" w:sz="4" w:space="1" w:color="000000"/>
        </w:pBdr>
        <w:jc w:val="both"/>
        <w:rPr>
          <w:rFonts w:ascii="Calibri" w:eastAsia="Calibri" w:hAnsi="Calibri" w:cs="Calibri"/>
          <w:color w:val="980000"/>
          <w:highlight w:val="white"/>
        </w:rPr>
      </w:pPr>
      <w:r>
        <w:rPr>
          <w:rFonts w:ascii="Calibri" w:eastAsia="Calibri" w:hAnsi="Calibri" w:cs="Calibri"/>
        </w:rPr>
        <w:t xml:space="preserve">This list is not exhaustive of types of grievances that may be eligible. This is because the SpeakUp Policy can be utilised in conjunction with any violation of IDH values, principles set out in the </w:t>
      </w:r>
      <w:hyperlink r:id="rId9" w:anchor=":~:text=Transparency%20and%20integrity%20are%20key,work%20processes%20and%20work%20environment.">
        <w:r>
          <w:rPr>
            <w:rFonts w:ascii="Calibri" w:eastAsia="Calibri" w:hAnsi="Calibri" w:cs="Calibri"/>
            <w:color w:val="1155CC"/>
            <w:u w:val="single"/>
          </w:rPr>
          <w:t>Code of Conduct</w:t>
        </w:r>
      </w:hyperlink>
      <w:r>
        <w:rPr>
          <w:rFonts w:ascii="Calibri" w:eastAsia="Calibri" w:hAnsi="Calibri" w:cs="Calibri"/>
        </w:rPr>
        <w:t xml:space="preserve">, IDH </w:t>
      </w:r>
      <w:hyperlink r:id="rId10" w:anchor=":~:text=Transparency%20and%20integrity%20are%20key,work%20processes%20and%20work%20environment.">
        <w:r>
          <w:rPr>
            <w:rFonts w:ascii="Calibri" w:eastAsia="Calibri" w:hAnsi="Calibri" w:cs="Calibri"/>
            <w:color w:val="1155CC"/>
            <w:u w:val="single"/>
          </w:rPr>
          <w:t>policies,</w:t>
        </w:r>
      </w:hyperlink>
      <w:r>
        <w:rPr>
          <w:rFonts w:ascii="Calibri" w:eastAsia="Calibri" w:hAnsi="Calibri" w:cs="Calibri"/>
        </w:rPr>
        <w:t xml:space="preserve"> laws, or regulations. Most of which can be found in IDH’s </w:t>
      </w:r>
      <w:hyperlink r:id="rId11">
        <w:r>
          <w:rPr>
            <w:rFonts w:ascii="Calibri" w:eastAsia="Calibri" w:hAnsi="Calibri" w:cs="Calibri"/>
            <w:color w:val="1155CC"/>
            <w:u w:val="single"/>
          </w:rPr>
          <w:t>General Terms and Conditions.</w:t>
        </w:r>
      </w:hyperlink>
    </w:p>
    <w:p w14:paraId="66B8A697" w14:textId="77777777" w:rsidR="00446431" w:rsidRDefault="00446431">
      <w:pPr>
        <w:pBdr>
          <w:bottom w:val="single" w:sz="4" w:space="1" w:color="000000"/>
        </w:pBdr>
        <w:jc w:val="both"/>
        <w:rPr>
          <w:rFonts w:ascii="Calibri" w:eastAsia="Calibri" w:hAnsi="Calibri" w:cs="Calibri"/>
          <w:color w:val="980000"/>
          <w:highlight w:val="white"/>
        </w:rPr>
      </w:pPr>
    </w:p>
    <w:p w14:paraId="54DBE431" w14:textId="77777777" w:rsidR="00446431" w:rsidRDefault="00EA3662">
      <w:pPr>
        <w:pBdr>
          <w:bottom w:val="single" w:sz="4" w:space="1" w:color="000000"/>
        </w:pBdr>
        <w:jc w:val="both"/>
        <w:rPr>
          <w:rFonts w:ascii="Calibri" w:eastAsia="Calibri" w:hAnsi="Calibri" w:cs="Calibri"/>
        </w:rPr>
      </w:pPr>
      <w:r>
        <w:rPr>
          <w:rFonts w:ascii="Calibri" w:eastAsia="Calibri" w:hAnsi="Calibri" w:cs="Calibri"/>
        </w:rPr>
        <w:t xml:space="preserve">This mechanism may be anonymous to help ensure transparency and fairness. Two routes that those reporting may take are through a project-designated contact person at IDH or using the around-the-clock available systems which are monitored by an independent third party to IDH through online reports or by phone. Due to this third-party avenue, any persons who submit a grievance may remain anonymous to IDH employees or partners working within this specific Project. The reporter may indicate this to IDH’s Executive Board or the Supervisory Board if the grievance is related to the Executive Board. If a grievance is found to not be eligible, a reply will be shared with the reporter clarifying why the grievance is found to be not eligible, and sharing guidance with the grievant on other existing mechanisms that can be pursued. </w:t>
      </w:r>
    </w:p>
    <w:p w14:paraId="12CE16E0" w14:textId="77777777" w:rsidR="00446431" w:rsidRDefault="00446431">
      <w:pPr>
        <w:pBdr>
          <w:bottom w:val="single" w:sz="4" w:space="1" w:color="000000"/>
        </w:pBdr>
        <w:jc w:val="both"/>
        <w:rPr>
          <w:rFonts w:ascii="Calibri" w:eastAsia="Calibri" w:hAnsi="Calibri" w:cs="Calibri"/>
        </w:rPr>
      </w:pPr>
    </w:p>
    <w:p w14:paraId="07505882" w14:textId="77777777" w:rsidR="00446431" w:rsidRDefault="00EA3662">
      <w:pPr>
        <w:pBdr>
          <w:bottom w:val="single" w:sz="4" w:space="1" w:color="000000"/>
        </w:pBdr>
        <w:jc w:val="both"/>
        <w:rPr>
          <w:rFonts w:ascii="Calibri" w:eastAsia="Calibri" w:hAnsi="Calibri" w:cs="Calibri"/>
        </w:rPr>
      </w:pPr>
      <w:r>
        <w:rPr>
          <w:rFonts w:ascii="Calibri" w:eastAsia="Calibri" w:hAnsi="Calibri" w:cs="Calibri"/>
        </w:rPr>
        <w:t>The SpeakUp Policy has been adapted to ensure that it is accessible to a range of potential stakeholders. Specifically, within the context of this Project’s Component 1, local stakeholders around Colombia may be able to access the system round the clock for both phone and online reporting avenues. In-person meetings may occur outside of typical working hours and will be determined by the manager or similar trained IDH employee who can register the grievance. Additionally, a specific ‘Colombia’ phone line ensures that no international rates are charged (in most countries including Colombia the lines are free of charge, in some instances this is not possible and local rates apply) is available and that the steps are all in Spanish.</w:t>
      </w:r>
    </w:p>
    <w:p w14:paraId="3060317E" w14:textId="77777777" w:rsidR="00446431" w:rsidRDefault="00446431">
      <w:pPr>
        <w:pBdr>
          <w:bottom w:val="single" w:sz="4" w:space="1" w:color="000000"/>
        </w:pBdr>
        <w:rPr>
          <w:rFonts w:ascii="Calibri" w:eastAsia="Calibri" w:hAnsi="Calibri" w:cs="Calibri"/>
        </w:rPr>
      </w:pPr>
    </w:p>
    <w:p w14:paraId="75578670" w14:textId="77777777" w:rsidR="00446431" w:rsidRDefault="00446431">
      <w:pPr>
        <w:pBdr>
          <w:bottom w:val="single" w:sz="4" w:space="1" w:color="000000"/>
        </w:pBdr>
        <w:rPr>
          <w:rFonts w:ascii="Calibri" w:eastAsia="Calibri" w:hAnsi="Calibri" w:cs="Calibri"/>
        </w:rPr>
      </w:pPr>
    </w:p>
    <w:p w14:paraId="39CD6475" w14:textId="77777777" w:rsidR="00446431" w:rsidRDefault="00EA3662">
      <w:pPr>
        <w:pBdr>
          <w:bottom w:val="single" w:sz="4" w:space="1" w:color="000000"/>
        </w:pBdr>
        <w:tabs>
          <w:tab w:val="left" w:pos="3000"/>
        </w:tabs>
        <w:rPr>
          <w:rFonts w:ascii="Calibri" w:eastAsia="Calibri" w:hAnsi="Calibri" w:cs="Calibri"/>
          <w:sz w:val="28"/>
          <w:szCs w:val="28"/>
        </w:rPr>
      </w:pPr>
      <w:r>
        <w:rPr>
          <w:rFonts w:ascii="Calibri" w:eastAsia="Calibri" w:hAnsi="Calibri" w:cs="Calibri"/>
          <w:sz w:val="28"/>
          <w:szCs w:val="28"/>
        </w:rPr>
        <w:t>SECTION III: Awareness and Accessibility</w:t>
      </w:r>
    </w:p>
    <w:p w14:paraId="1793BA64" w14:textId="77777777" w:rsidR="00446431" w:rsidRDefault="00446431"/>
    <w:tbl>
      <w:tblPr>
        <w:tblStyle w:val="a7"/>
        <w:tblW w:w="10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7"/>
        <w:gridCol w:w="2030"/>
        <w:gridCol w:w="2344"/>
        <w:gridCol w:w="1945"/>
        <w:gridCol w:w="1473"/>
      </w:tblGrid>
      <w:tr w:rsidR="00446431" w14:paraId="7E40249E" w14:textId="77777777">
        <w:trPr>
          <w:trHeight w:val="924"/>
        </w:trPr>
        <w:tc>
          <w:tcPr>
            <w:tcW w:w="2237" w:type="dxa"/>
            <w:shd w:val="clear" w:color="auto" w:fill="C6D9F1"/>
            <w:vAlign w:val="center"/>
          </w:tcPr>
          <w:p w14:paraId="196258A9" w14:textId="77777777" w:rsidR="00446431" w:rsidRDefault="00EA3662">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Method of Socialization</w:t>
            </w:r>
          </w:p>
        </w:tc>
        <w:tc>
          <w:tcPr>
            <w:tcW w:w="2030" w:type="dxa"/>
            <w:shd w:val="clear" w:color="auto" w:fill="C6D9F1"/>
            <w:vAlign w:val="center"/>
          </w:tcPr>
          <w:p w14:paraId="6CF00610" w14:textId="77777777" w:rsidR="00446431" w:rsidRDefault="00EA3662">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 xml:space="preserve">Intended Audience </w:t>
            </w:r>
          </w:p>
        </w:tc>
        <w:tc>
          <w:tcPr>
            <w:tcW w:w="2344" w:type="dxa"/>
            <w:shd w:val="clear" w:color="auto" w:fill="C6D9F1"/>
            <w:vAlign w:val="center"/>
          </w:tcPr>
          <w:p w14:paraId="4F257645" w14:textId="77777777" w:rsidR="00446431" w:rsidRDefault="00EA3662">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Accessibility adaptations </w:t>
            </w:r>
          </w:p>
          <w:p w14:paraId="6B37029D" w14:textId="77777777" w:rsidR="00446431" w:rsidRDefault="00EA366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(sep</w:t>
            </w:r>
            <w:r>
              <w:rPr>
                <w:rFonts w:ascii="Calibri" w:eastAsia="Calibri" w:hAnsi="Calibri" w:cs="Calibri"/>
              </w:rPr>
              <w:t>arated according to different stakeholder group)</w:t>
            </w:r>
          </w:p>
        </w:tc>
        <w:tc>
          <w:tcPr>
            <w:tcW w:w="1945" w:type="dxa"/>
            <w:shd w:val="clear" w:color="auto" w:fill="C6D9F1"/>
            <w:vAlign w:val="center"/>
          </w:tcPr>
          <w:p w14:paraId="386C412A" w14:textId="77777777" w:rsidR="00446431" w:rsidRDefault="00EA3662">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Frequency of the action/channel</w:t>
            </w:r>
          </w:p>
        </w:tc>
        <w:tc>
          <w:tcPr>
            <w:tcW w:w="1473" w:type="dxa"/>
            <w:shd w:val="clear" w:color="auto" w:fill="C6D9F1"/>
            <w:vAlign w:val="center"/>
          </w:tcPr>
          <w:p w14:paraId="2C0CB31D" w14:textId="77777777" w:rsidR="00446431" w:rsidRDefault="00EA3662">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Budget</w:t>
            </w:r>
          </w:p>
        </w:tc>
      </w:tr>
      <w:tr w:rsidR="00446431" w14:paraId="42759184" w14:textId="77777777">
        <w:trPr>
          <w:trHeight w:val="1296"/>
        </w:trPr>
        <w:tc>
          <w:tcPr>
            <w:tcW w:w="2237" w:type="dxa"/>
            <w:vMerge w:val="restart"/>
          </w:tcPr>
          <w:p w14:paraId="7DC9AD5E" w14:textId="77777777" w:rsidR="00446431" w:rsidRDefault="00EA3662">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The SpeakUp Policy will be made available on the project’s website and through contact channels such as in-person and online meetings such as powerpoints and made visible in high foot traffic areas of affected stakeholders.</w:t>
            </w:r>
          </w:p>
          <w:p w14:paraId="3D0CE59C" w14:textId="77777777" w:rsidR="00446431" w:rsidRDefault="00EA3662">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p w14:paraId="32D17241" w14:textId="77777777" w:rsidR="00446431" w:rsidRDefault="00EA3662">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At the inception meeting, stakeholders will be made aware of the SpeakUp Policy.</w:t>
            </w:r>
          </w:p>
          <w:p w14:paraId="281906A0" w14:textId="77777777" w:rsidR="00446431" w:rsidRDefault="00446431">
            <w:pPr>
              <w:pBdr>
                <w:top w:val="nil"/>
                <w:left w:val="nil"/>
                <w:bottom w:val="nil"/>
                <w:right w:val="nil"/>
                <w:between w:val="nil"/>
              </w:pBdr>
              <w:rPr>
                <w:rFonts w:ascii="Calibri" w:eastAsia="Calibri" w:hAnsi="Calibri" w:cs="Calibri"/>
                <w:sz w:val="20"/>
                <w:szCs w:val="20"/>
              </w:rPr>
            </w:pPr>
          </w:p>
          <w:p w14:paraId="631FE7E3" w14:textId="77777777" w:rsidR="00446431" w:rsidRDefault="00EA366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At the end of every presentation or community engagement, the SpeakUp Policy will be visible. (Communicating grievances via IDH local experts will ensure language barriers are overcome.)</w:t>
            </w:r>
          </w:p>
        </w:tc>
        <w:tc>
          <w:tcPr>
            <w:tcW w:w="2030" w:type="dxa"/>
          </w:tcPr>
          <w:p w14:paraId="5A0FDF68" w14:textId="77777777" w:rsidR="00446431" w:rsidRDefault="00446431">
            <w:pPr>
              <w:rPr>
                <w:rFonts w:ascii="Calibri" w:eastAsia="Calibri" w:hAnsi="Calibri" w:cs="Calibri"/>
                <w:sz w:val="20"/>
                <w:szCs w:val="20"/>
              </w:rPr>
            </w:pPr>
          </w:p>
          <w:p w14:paraId="2DFA80DC" w14:textId="77777777" w:rsidR="00446431" w:rsidRDefault="00EA3662">
            <w:pPr>
              <w:rPr>
                <w:rFonts w:ascii="Calibri" w:eastAsia="Calibri" w:hAnsi="Calibri" w:cs="Calibri"/>
                <w:sz w:val="20"/>
                <w:szCs w:val="20"/>
              </w:rPr>
            </w:pPr>
            <w:r>
              <w:rPr>
                <w:rFonts w:ascii="Calibri" w:eastAsia="Calibri" w:hAnsi="Calibri" w:cs="Calibri"/>
                <w:sz w:val="20"/>
                <w:szCs w:val="20"/>
              </w:rPr>
              <w:t xml:space="preserve">National level stakeholders including but not limited to government officials , SMEs, financial institutions, NGOs etc. </w:t>
            </w:r>
          </w:p>
          <w:p w14:paraId="7E2E36DC" w14:textId="77777777" w:rsidR="00446431" w:rsidRDefault="00446431">
            <w:pPr>
              <w:rPr>
                <w:rFonts w:ascii="Calibri" w:eastAsia="Calibri" w:hAnsi="Calibri" w:cs="Calibri"/>
                <w:sz w:val="20"/>
                <w:szCs w:val="20"/>
              </w:rPr>
            </w:pPr>
          </w:p>
          <w:p w14:paraId="4DFB85F0" w14:textId="77777777" w:rsidR="00446431" w:rsidRDefault="00446431">
            <w:pPr>
              <w:rPr>
                <w:rFonts w:ascii="Calibri" w:eastAsia="Calibri" w:hAnsi="Calibri" w:cs="Calibri"/>
                <w:sz w:val="20"/>
                <w:szCs w:val="20"/>
              </w:rPr>
            </w:pPr>
          </w:p>
        </w:tc>
        <w:tc>
          <w:tcPr>
            <w:tcW w:w="2344" w:type="dxa"/>
          </w:tcPr>
          <w:p w14:paraId="454E374E" w14:textId="77777777" w:rsidR="00446431" w:rsidRDefault="00EA3662">
            <w:pPr>
              <w:rPr>
                <w:rFonts w:ascii="Calibri" w:eastAsia="Calibri" w:hAnsi="Calibri" w:cs="Calibri"/>
                <w:sz w:val="20"/>
                <w:szCs w:val="20"/>
              </w:rPr>
            </w:pPr>
            <w:r>
              <w:rPr>
                <w:rFonts w:ascii="Calibri" w:eastAsia="Calibri" w:hAnsi="Calibri" w:cs="Calibri"/>
                <w:sz w:val="20"/>
                <w:szCs w:val="20"/>
              </w:rPr>
              <w:t>Translated versions in local languages will be available for information on the SpeakUp Policy.</w:t>
            </w:r>
          </w:p>
          <w:p w14:paraId="64AC937C" w14:textId="77777777" w:rsidR="00446431" w:rsidRDefault="00446431">
            <w:pPr>
              <w:rPr>
                <w:rFonts w:ascii="Calibri" w:eastAsia="Calibri" w:hAnsi="Calibri" w:cs="Calibri"/>
                <w:sz w:val="20"/>
                <w:szCs w:val="20"/>
              </w:rPr>
            </w:pPr>
          </w:p>
          <w:p w14:paraId="4BA2E851" w14:textId="77777777" w:rsidR="00446431" w:rsidRDefault="00EA3662">
            <w:pPr>
              <w:rPr>
                <w:rFonts w:ascii="Calibri" w:eastAsia="Calibri" w:hAnsi="Calibri" w:cs="Calibri"/>
                <w:sz w:val="20"/>
                <w:szCs w:val="20"/>
              </w:rPr>
            </w:pPr>
            <w:r>
              <w:rPr>
                <w:rFonts w:ascii="Calibri" w:eastAsia="Calibri" w:hAnsi="Calibri" w:cs="Calibri"/>
                <w:sz w:val="20"/>
                <w:szCs w:val="20"/>
              </w:rPr>
              <w:t xml:space="preserve">The SpeakUp Policy website caters to most countries and if a country is not applicable on the website then groups may email the IDH Netherlands Headquarters. However, IDH in Colombia already has its own separate website and phone </w:t>
            </w:r>
            <w:r>
              <w:rPr>
                <w:rFonts w:ascii="Calibri" w:eastAsia="Calibri" w:hAnsi="Calibri" w:cs="Calibri"/>
                <w:sz w:val="20"/>
                <w:szCs w:val="20"/>
              </w:rPr>
              <w:lastRenderedPageBreak/>
              <w:t xml:space="preserve">number to call. </w:t>
            </w:r>
          </w:p>
          <w:p w14:paraId="43B75753" w14:textId="77777777" w:rsidR="00446431" w:rsidRDefault="00446431">
            <w:pPr>
              <w:rPr>
                <w:rFonts w:ascii="Calibri" w:eastAsia="Calibri" w:hAnsi="Calibri" w:cs="Calibri"/>
                <w:sz w:val="20"/>
                <w:szCs w:val="20"/>
              </w:rPr>
            </w:pPr>
          </w:p>
          <w:p w14:paraId="6B9DD435" w14:textId="77777777" w:rsidR="00446431" w:rsidRDefault="00EA3662">
            <w:pPr>
              <w:rPr>
                <w:rFonts w:ascii="Calibri" w:eastAsia="Calibri" w:hAnsi="Calibri" w:cs="Calibri"/>
                <w:sz w:val="20"/>
                <w:szCs w:val="20"/>
              </w:rPr>
            </w:pPr>
            <w:r>
              <w:rPr>
                <w:rFonts w:ascii="Calibri" w:eastAsia="Calibri" w:hAnsi="Calibri" w:cs="Calibri"/>
                <w:sz w:val="20"/>
                <w:szCs w:val="20"/>
              </w:rPr>
              <w:t>It will also be possible to communicate grievances via the National Project and Stakeholder Manager based in Colombia orally in Spanish.</w:t>
            </w:r>
          </w:p>
          <w:p w14:paraId="20E2D2EB" w14:textId="77777777" w:rsidR="00446431" w:rsidRDefault="00446431">
            <w:pPr>
              <w:rPr>
                <w:rFonts w:ascii="Calibri" w:eastAsia="Calibri" w:hAnsi="Calibri" w:cs="Calibri"/>
                <w:sz w:val="20"/>
                <w:szCs w:val="20"/>
              </w:rPr>
            </w:pPr>
          </w:p>
          <w:p w14:paraId="38C236F2" w14:textId="77777777" w:rsidR="00446431" w:rsidRDefault="00EA3662">
            <w:pPr>
              <w:rPr>
                <w:rFonts w:ascii="Calibri" w:eastAsia="Calibri" w:hAnsi="Calibri" w:cs="Calibri"/>
                <w:sz w:val="20"/>
                <w:szCs w:val="20"/>
              </w:rPr>
            </w:pPr>
            <w:r>
              <w:rPr>
                <w:rFonts w:ascii="Calibri" w:eastAsia="Calibri" w:hAnsi="Calibri" w:cs="Calibri"/>
                <w:sz w:val="20"/>
                <w:szCs w:val="20"/>
              </w:rPr>
              <w:t>As the AGM will be socialized by the TA Hub Project Manager. It is anticipated that stakeholders such as the government and potential funding institutions will utilise this route of grievance reporting.</w:t>
            </w:r>
          </w:p>
        </w:tc>
        <w:tc>
          <w:tcPr>
            <w:tcW w:w="1945" w:type="dxa"/>
            <w:vMerge w:val="restart"/>
          </w:tcPr>
          <w:p w14:paraId="0DC2B6E3" w14:textId="77777777" w:rsidR="00446431" w:rsidRDefault="00EA366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lastRenderedPageBreak/>
              <w:t>The SpeakUp Policy will continuously socialize with all stakeholders involved at different stages of the project implementation. Particularly at the beginning of initial contact and through vital communications such as workshops and meetings.</w:t>
            </w:r>
          </w:p>
        </w:tc>
        <w:tc>
          <w:tcPr>
            <w:tcW w:w="1473" w:type="dxa"/>
            <w:vMerge w:val="restart"/>
          </w:tcPr>
          <w:p w14:paraId="01EED532" w14:textId="77777777" w:rsidR="00446431" w:rsidRDefault="00EA366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 xml:space="preserve">No additional budget is allocated to this activity, it is mainstreamed in existing communications and stakeholder consultation activities. </w:t>
            </w:r>
          </w:p>
        </w:tc>
      </w:tr>
      <w:tr w:rsidR="00446431" w14:paraId="26B752A9" w14:textId="77777777">
        <w:trPr>
          <w:trHeight w:val="1296"/>
        </w:trPr>
        <w:tc>
          <w:tcPr>
            <w:tcW w:w="2237" w:type="dxa"/>
            <w:vMerge/>
          </w:tcPr>
          <w:p w14:paraId="335C5131" w14:textId="77777777" w:rsidR="00446431" w:rsidRDefault="00446431">
            <w:pPr>
              <w:pBdr>
                <w:top w:val="nil"/>
                <w:left w:val="nil"/>
                <w:bottom w:val="nil"/>
                <w:right w:val="nil"/>
                <w:between w:val="nil"/>
              </w:pBdr>
              <w:rPr>
                <w:rFonts w:ascii="Calibri" w:eastAsia="Calibri" w:hAnsi="Calibri" w:cs="Calibri"/>
                <w:sz w:val="20"/>
                <w:szCs w:val="20"/>
              </w:rPr>
            </w:pPr>
          </w:p>
        </w:tc>
        <w:tc>
          <w:tcPr>
            <w:tcW w:w="2030" w:type="dxa"/>
          </w:tcPr>
          <w:p w14:paraId="77A3A648" w14:textId="77777777" w:rsidR="00446431" w:rsidRDefault="00EA3662">
            <w:pPr>
              <w:rPr>
                <w:rFonts w:ascii="Calibri" w:eastAsia="Calibri" w:hAnsi="Calibri" w:cs="Calibri"/>
                <w:sz w:val="20"/>
                <w:szCs w:val="20"/>
              </w:rPr>
            </w:pPr>
            <w:r>
              <w:rPr>
                <w:rFonts w:ascii="Calibri" w:eastAsia="Calibri" w:hAnsi="Calibri" w:cs="Calibri"/>
                <w:sz w:val="20"/>
                <w:szCs w:val="20"/>
              </w:rPr>
              <w:t>Local level stakeholders including</w:t>
            </w:r>
          </w:p>
          <w:p w14:paraId="5C2EFE0F" w14:textId="77777777" w:rsidR="00446431" w:rsidRDefault="00EA3662">
            <w:pPr>
              <w:rPr>
                <w:rFonts w:ascii="Calibri" w:eastAsia="Calibri" w:hAnsi="Calibri" w:cs="Calibri"/>
                <w:sz w:val="20"/>
                <w:szCs w:val="20"/>
              </w:rPr>
            </w:pPr>
            <w:r>
              <w:rPr>
                <w:rFonts w:ascii="Calibri" w:eastAsia="Calibri" w:hAnsi="Calibri" w:cs="Calibri"/>
                <w:sz w:val="20"/>
                <w:szCs w:val="20"/>
              </w:rPr>
              <w:t>indigenous/traditional peoples, local communities and CSOs.</w:t>
            </w:r>
          </w:p>
          <w:p w14:paraId="11D5607E" w14:textId="77777777" w:rsidR="00446431" w:rsidRDefault="00446431">
            <w:pPr>
              <w:rPr>
                <w:rFonts w:ascii="Calibri" w:eastAsia="Calibri" w:hAnsi="Calibri" w:cs="Calibri"/>
                <w:sz w:val="20"/>
                <w:szCs w:val="20"/>
              </w:rPr>
            </w:pPr>
          </w:p>
          <w:p w14:paraId="41E3697C" w14:textId="77777777" w:rsidR="00446431" w:rsidRDefault="00446431">
            <w:pPr>
              <w:rPr>
                <w:rFonts w:ascii="Calibri" w:eastAsia="Calibri" w:hAnsi="Calibri" w:cs="Calibri"/>
                <w:sz w:val="20"/>
                <w:szCs w:val="20"/>
              </w:rPr>
            </w:pPr>
          </w:p>
        </w:tc>
        <w:tc>
          <w:tcPr>
            <w:tcW w:w="2344" w:type="dxa"/>
          </w:tcPr>
          <w:p w14:paraId="4C529E3A" w14:textId="77777777" w:rsidR="00446431" w:rsidRDefault="00EA3662">
            <w:pPr>
              <w:rPr>
                <w:rFonts w:ascii="Calibri" w:eastAsia="Calibri" w:hAnsi="Calibri" w:cs="Calibri"/>
                <w:sz w:val="20"/>
                <w:szCs w:val="20"/>
              </w:rPr>
            </w:pPr>
            <w:r>
              <w:rPr>
                <w:rFonts w:ascii="Calibri" w:eastAsia="Calibri" w:hAnsi="Calibri" w:cs="Calibri"/>
                <w:sz w:val="20"/>
                <w:szCs w:val="20"/>
              </w:rPr>
              <w:t>This information will be posted physically in high foot traffic areas of affected stakeholders such as community centres, healthcare facilities and educational institutions.</w:t>
            </w:r>
          </w:p>
          <w:p w14:paraId="188CEB4B" w14:textId="77777777" w:rsidR="00446431" w:rsidRDefault="00446431">
            <w:pPr>
              <w:rPr>
                <w:rFonts w:ascii="Calibri" w:eastAsia="Calibri" w:hAnsi="Calibri" w:cs="Calibri"/>
                <w:sz w:val="20"/>
                <w:szCs w:val="20"/>
              </w:rPr>
            </w:pPr>
          </w:p>
          <w:p w14:paraId="712B5603" w14:textId="77777777" w:rsidR="00446431" w:rsidRDefault="00EA3662">
            <w:pPr>
              <w:rPr>
                <w:rFonts w:ascii="Calibri" w:eastAsia="Calibri" w:hAnsi="Calibri" w:cs="Calibri"/>
                <w:sz w:val="20"/>
                <w:szCs w:val="20"/>
              </w:rPr>
            </w:pPr>
            <w:r>
              <w:rPr>
                <w:rFonts w:ascii="Calibri" w:eastAsia="Calibri" w:hAnsi="Calibri" w:cs="Calibri"/>
                <w:sz w:val="20"/>
                <w:szCs w:val="20"/>
              </w:rPr>
              <w:t>Translated versions in local languages will be available for information on the SpeakUp Policy.</w:t>
            </w:r>
          </w:p>
          <w:p w14:paraId="268FB304" w14:textId="77777777" w:rsidR="00446431" w:rsidRDefault="00446431">
            <w:pPr>
              <w:rPr>
                <w:rFonts w:ascii="Calibri" w:eastAsia="Calibri" w:hAnsi="Calibri" w:cs="Calibri"/>
                <w:sz w:val="20"/>
                <w:szCs w:val="20"/>
              </w:rPr>
            </w:pPr>
          </w:p>
        </w:tc>
        <w:tc>
          <w:tcPr>
            <w:tcW w:w="1945" w:type="dxa"/>
            <w:vMerge/>
          </w:tcPr>
          <w:p w14:paraId="71D37917" w14:textId="77777777" w:rsidR="00446431" w:rsidRDefault="00446431">
            <w:pPr>
              <w:pBdr>
                <w:top w:val="nil"/>
                <w:left w:val="nil"/>
                <w:bottom w:val="nil"/>
                <w:right w:val="nil"/>
                <w:between w:val="nil"/>
              </w:pBdr>
              <w:rPr>
                <w:rFonts w:ascii="Calibri" w:eastAsia="Calibri" w:hAnsi="Calibri" w:cs="Calibri"/>
                <w:sz w:val="20"/>
                <w:szCs w:val="20"/>
              </w:rPr>
            </w:pPr>
          </w:p>
        </w:tc>
        <w:tc>
          <w:tcPr>
            <w:tcW w:w="1473" w:type="dxa"/>
            <w:vMerge/>
          </w:tcPr>
          <w:p w14:paraId="58D962FC" w14:textId="77777777" w:rsidR="00446431" w:rsidRDefault="00446431">
            <w:pPr>
              <w:pBdr>
                <w:top w:val="nil"/>
                <w:left w:val="nil"/>
                <w:bottom w:val="nil"/>
                <w:right w:val="nil"/>
                <w:between w:val="nil"/>
              </w:pBdr>
              <w:rPr>
                <w:rFonts w:ascii="Calibri" w:eastAsia="Calibri" w:hAnsi="Calibri" w:cs="Calibri"/>
                <w:sz w:val="20"/>
                <w:szCs w:val="20"/>
              </w:rPr>
            </w:pPr>
          </w:p>
        </w:tc>
      </w:tr>
      <w:tr w:rsidR="00446431" w14:paraId="7CA81922" w14:textId="77777777">
        <w:trPr>
          <w:trHeight w:val="1296"/>
        </w:trPr>
        <w:tc>
          <w:tcPr>
            <w:tcW w:w="2237" w:type="dxa"/>
            <w:vMerge/>
          </w:tcPr>
          <w:p w14:paraId="61EAF38F" w14:textId="77777777" w:rsidR="00446431" w:rsidRDefault="00446431">
            <w:pPr>
              <w:pBdr>
                <w:top w:val="nil"/>
                <w:left w:val="nil"/>
                <w:bottom w:val="nil"/>
                <w:right w:val="nil"/>
                <w:between w:val="nil"/>
              </w:pBdr>
              <w:rPr>
                <w:rFonts w:ascii="Calibri" w:eastAsia="Calibri" w:hAnsi="Calibri" w:cs="Calibri"/>
                <w:sz w:val="20"/>
                <w:szCs w:val="20"/>
              </w:rPr>
            </w:pPr>
          </w:p>
        </w:tc>
        <w:tc>
          <w:tcPr>
            <w:tcW w:w="2030" w:type="dxa"/>
          </w:tcPr>
          <w:p w14:paraId="0D8EB0CF" w14:textId="77777777" w:rsidR="00446431" w:rsidRDefault="00EA3662">
            <w:pPr>
              <w:rPr>
                <w:rFonts w:ascii="Calibri" w:eastAsia="Calibri" w:hAnsi="Calibri" w:cs="Calibri"/>
                <w:sz w:val="20"/>
                <w:szCs w:val="20"/>
              </w:rPr>
            </w:pPr>
            <w:r>
              <w:rPr>
                <w:rFonts w:ascii="Calibri" w:eastAsia="Calibri" w:hAnsi="Calibri" w:cs="Calibri"/>
                <w:sz w:val="20"/>
                <w:szCs w:val="20"/>
              </w:rPr>
              <w:t>Other stakeholders directly affected by the project, but not yet identified.</w:t>
            </w:r>
          </w:p>
        </w:tc>
        <w:tc>
          <w:tcPr>
            <w:tcW w:w="2344" w:type="dxa"/>
          </w:tcPr>
          <w:p w14:paraId="3621B257" w14:textId="77777777" w:rsidR="00446431" w:rsidRDefault="00EA3662">
            <w:pPr>
              <w:rPr>
                <w:rFonts w:ascii="Calibri" w:eastAsia="Calibri" w:hAnsi="Calibri" w:cs="Calibri"/>
                <w:sz w:val="20"/>
                <w:szCs w:val="20"/>
              </w:rPr>
            </w:pPr>
            <w:r>
              <w:rPr>
                <w:rFonts w:ascii="Calibri" w:eastAsia="Calibri" w:hAnsi="Calibri" w:cs="Calibri"/>
                <w:sz w:val="20"/>
                <w:szCs w:val="20"/>
              </w:rPr>
              <w:t xml:space="preserve">Other stakeholders may not have the same requirements in terms of accessibility. Therefore the Policy will be adapted as necessary to ensure that different needs are met. </w:t>
            </w:r>
          </w:p>
        </w:tc>
        <w:tc>
          <w:tcPr>
            <w:tcW w:w="1945" w:type="dxa"/>
            <w:vMerge/>
          </w:tcPr>
          <w:p w14:paraId="45C395D6" w14:textId="77777777" w:rsidR="00446431" w:rsidRDefault="00446431">
            <w:pPr>
              <w:pBdr>
                <w:top w:val="nil"/>
                <w:left w:val="nil"/>
                <w:bottom w:val="nil"/>
                <w:right w:val="nil"/>
                <w:between w:val="nil"/>
              </w:pBdr>
              <w:rPr>
                <w:rFonts w:ascii="Calibri" w:eastAsia="Calibri" w:hAnsi="Calibri" w:cs="Calibri"/>
                <w:sz w:val="20"/>
                <w:szCs w:val="20"/>
              </w:rPr>
            </w:pPr>
          </w:p>
        </w:tc>
        <w:tc>
          <w:tcPr>
            <w:tcW w:w="1473" w:type="dxa"/>
            <w:vMerge/>
          </w:tcPr>
          <w:p w14:paraId="7B581199" w14:textId="77777777" w:rsidR="00446431" w:rsidRDefault="00446431">
            <w:pPr>
              <w:pBdr>
                <w:top w:val="nil"/>
                <w:left w:val="nil"/>
                <w:bottom w:val="nil"/>
                <w:right w:val="nil"/>
                <w:between w:val="nil"/>
              </w:pBdr>
              <w:rPr>
                <w:rFonts w:ascii="Calibri" w:eastAsia="Calibri" w:hAnsi="Calibri" w:cs="Calibri"/>
                <w:sz w:val="20"/>
                <w:szCs w:val="20"/>
              </w:rPr>
            </w:pPr>
          </w:p>
        </w:tc>
      </w:tr>
    </w:tbl>
    <w:p w14:paraId="57D9259C" w14:textId="77777777" w:rsidR="00446431" w:rsidRDefault="00446431">
      <w:pPr>
        <w:pBdr>
          <w:top w:val="nil"/>
          <w:left w:val="nil"/>
          <w:bottom w:val="single" w:sz="4" w:space="1" w:color="000000"/>
          <w:right w:val="nil"/>
          <w:between w:val="nil"/>
        </w:pBdr>
        <w:rPr>
          <w:rFonts w:ascii="Calibri" w:eastAsia="Calibri" w:hAnsi="Calibri" w:cs="Calibri"/>
          <w:color w:val="000000"/>
          <w:sz w:val="28"/>
          <w:szCs w:val="28"/>
        </w:rPr>
      </w:pPr>
    </w:p>
    <w:tbl>
      <w:tblPr>
        <w:tblStyle w:val="a8"/>
        <w:tblW w:w="10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29"/>
      </w:tblGrid>
      <w:tr w:rsidR="00446431" w14:paraId="0F397FDC" w14:textId="77777777">
        <w:tc>
          <w:tcPr>
            <w:tcW w:w="10029" w:type="dxa"/>
          </w:tcPr>
          <w:p w14:paraId="4084C00B" w14:textId="77777777" w:rsidR="00446431" w:rsidRDefault="00EA366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Please reply to the questions below, which intend to address the adaptations and capacity of the AGM to be gender-responsive and </w:t>
            </w:r>
            <w:r>
              <w:rPr>
                <w:rFonts w:ascii="Calibri" w:eastAsia="Calibri" w:hAnsi="Calibri" w:cs="Calibri"/>
              </w:rPr>
              <w:t>have</w:t>
            </w:r>
            <w:r>
              <w:rPr>
                <w:rFonts w:ascii="Calibri" w:eastAsia="Calibri" w:hAnsi="Calibri" w:cs="Calibri"/>
                <w:color w:val="000000"/>
              </w:rPr>
              <w:t xml:space="preserve"> adaptations in place to address differentiated needs from disadvantaged groups:</w:t>
            </w:r>
          </w:p>
          <w:p w14:paraId="3FC82ED4" w14:textId="77777777" w:rsidR="00446431" w:rsidRDefault="00446431">
            <w:pPr>
              <w:pBdr>
                <w:top w:val="nil"/>
                <w:left w:val="nil"/>
                <w:bottom w:val="nil"/>
                <w:right w:val="nil"/>
                <w:between w:val="nil"/>
              </w:pBdr>
              <w:jc w:val="both"/>
              <w:rPr>
                <w:rFonts w:ascii="Calibri" w:eastAsia="Calibri" w:hAnsi="Calibri" w:cs="Calibri"/>
                <w:color w:val="000000"/>
              </w:rPr>
            </w:pPr>
          </w:p>
          <w:p w14:paraId="7DB943C4" w14:textId="77777777" w:rsidR="00446431" w:rsidRDefault="00EA3662">
            <w:pPr>
              <w:numPr>
                <w:ilvl w:val="0"/>
                <w:numId w:val="2"/>
              </w:numPr>
              <w:pBdr>
                <w:top w:val="nil"/>
                <w:left w:val="nil"/>
                <w:bottom w:val="nil"/>
                <w:right w:val="nil"/>
                <w:between w:val="nil"/>
              </w:pBdr>
              <w:ind w:left="330"/>
              <w:jc w:val="both"/>
              <w:rPr>
                <w:rFonts w:ascii="Calibri" w:eastAsia="Calibri" w:hAnsi="Calibri" w:cs="Calibri"/>
                <w:i/>
                <w:color w:val="000000"/>
              </w:rPr>
            </w:pPr>
            <w:r>
              <w:rPr>
                <w:rFonts w:ascii="Calibri" w:eastAsia="Calibri" w:hAnsi="Calibri" w:cs="Calibri"/>
                <w:i/>
                <w:color w:val="000000"/>
              </w:rPr>
              <w:t xml:space="preserve">Are the persons responsible </w:t>
            </w:r>
            <w:r>
              <w:rPr>
                <w:rFonts w:ascii="Calibri" w:eastAsia="Calibri" w:hAnsi="Calibri" w:cs="Calibri"/>
                <w:i/>
              </w:rPr>
              <w:t>for</w:t>
            </w:r>
            <w:r>
              <w:rPr>
                <w:rFonts w:ascii="Calibri" w:eastAsia="Calibri" w:hAnsi="Calibri" w:cs="Calibri"/>
                <w:i/>
                <w:color w:val="000000"/>
              </w:rPr>
              <w:t xml:space="preserve"> the GRM aware and knowledgeable of the commitment of the mechanism to be </w:t>
            </w:r>
            <w:r>
              <w:rPr>
                <w:rFonts w:ascii="Calibri" w:eastAsia="Calibri" w:hAnsi="Calibri" w:cs="Calibri"/>
                <w:i/>
              </w:rPr>
              <w:t>gender-responsive</w:t>
            </w:r>
            <w:r>
              <w:rPr>
                <w:rFonts w:ascii="Calibri" w:eastAsia="Calibri" w:hAnsi="Calibri" w:cs="Calibri"/>
                <w:i/>
                <w:color w:val="000000"/>
              </w:rPr>
              <w:t xml:space="preserve"> and inclusive of those in disadvantaged groups? Explain your answer.</w:t>
            </w:r>
          </w:p>
          <w:p w14:paraId="4769C4B7" w14:textId="77777777" w:rsidR="00446431" w:rsidRDefault="00446431">
            <w:pPr>
              <w:pBdr>
                <w:top w:val="nil"/>
                <w:left w:val="nil"/>
                <w:bottom w:val="nil"/>
                <w:right w:val="nil"/>
                <w:between w:val="nil"/>
              </w:pBdr>
              <w:ind w:left="720"/>
              <w:jc w:val="both"/>
              <w:rPr>
                <w:rFonts w:ascii="Calibri" w:eastAsia="Calibri" w:hAnsi="Calibri" w:cs="Calibri"/>
              </w:rPr>
            </w:pPr>
          </w:p>
          <w:p w14:paraId="3FAC8CE7" w14:textId="77777777" w:rsidR="00446431" w:rsidRDefault="00EA3662">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The person responsible for implementing the AGM is TA Hub Project Manager in Colombia who is an IDH staff member. This means she/he will be required to complete IDH gender training which aims to better prepare and increase knowledge on gender theories, strategies, and approaches, as well as deep-dive lessons on the practical elements of gender-responsive measures in project implementation.  </w:t>
            </w:r>
          </w:p>
          <w:p w14:paraId="59A64D63" w14:textId="77777777" w:rsidR="00446431" w:rsidRDefault="00446431">
            <w:pPr>
              <w:pBdr>
                <w:top w:val="nil"/>
                <w:left w:val="nil"/>
                <w:bottom w:val="nil"/>
                <w:right w:val="nil"/>
                <w:between w:val="nil"/>
              </w:pBdr>
              <w:jc w:val="both"/>
              <w:rPr>
                <w:rFonts w:ascii="Calibri" w:eastAsia="Calibri" w:hAnsi="Calibri" w:cs="Calibri"/>
              </w:rPr>
            </w:pPr>
          </w:p>
          <w:p w14:paraId="5BF3B624" w14:textId="77777777" w:rsidR="00446431" w:rsidRDefault="00EA3662">
            <w:pPr>
              <w:numPr>
                <w:ilvl w:val="0"/>
                <w:numId w:val="2"/>
              </w:numPr>
              <w:pBdr>
                <w:top w:val="nil"/>
                <w:left w:val="nil"/>
                <w:bottom w:val="nil"/>
                <w:right w:val="nil"/>
                <w:between w:val="nil"/>
              </w:pBdr>
              <w:ind w:left="330"/>
              <w:jc w:val="both"/>
              <w:rPr>
                <w:rFonts w:ascii="Calibri" w:eastAsia="Calibri" w:hAnsi="Calibri" w:cs="Calibri"/>
                <w:i/>
                <w:color w:val="000000"/>
              </w:rPr>
            </w:pPr>
            <w:r>
              <w:rPr>
                <w:rFonts w:ascii="Calibri" w:eastAsia="Calibri" w:hAnsi="Calibri" w:cs="Calibri"/>
                <w:i/>
                <w:color w:val="000000"/>
              </w:rPr>
              <w:t xml:space="preserve">Are the formats in place and channels available gender-sensitive and inclusive of those in disadvantaged groups? For example, the different formats ask the grievant to specify if they prefer mediators of a certain </w:t>
            </w:r>
            <w:r>
              <w:rPr>
                <w:rFonts w:ascii="Calibri" w:eastAsia="Calibri" w:hAnsi="Calibri" w:cs="Calibri"/>
                <w:i/>
                <w:color w:val="000000"/>
              </w:rPr>
              <w:lastRenderedPageBreak/>
              <w:t>gender or with context-specific gender expertise so that they feel more comfortable, particularly if there are instances of SEAH involved. Explain your answer.</w:t>
            </w:r>
          </w:p>
          <w:p w14:paraId="2F9F617D" w14:textId="77777777" w:rsidR="00446431" w:rsidRDefault="00446431">
            <w:pPr>
              <w:pBdr>
                <w:top w:val="nil"/>
                <w:left w:val="nil"/>
                <w:bottom w:val="nil"/>
                <w:right w:val="nil"/>
                <w:between w:val="nil"/>
              </w:pBdr>
              <w:jc w:val="both"/>
              <w:rPr>
                <w:rFonts w:ascii="Calibri" w:eastAsia="Calibri" w:hAnsi="Calibri" w:cs="Calibri"/>
              </w:rPr>
            </w:pPr>
          </w:p>
          <w:p w14:paraId="106BCD28" w14:textId="77777777" w:rsidR="00446431" w:rsidRDefault="00EA3662">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IDH SpeakUp system serves as an inclusive, neutral, and unbiased platform available to anyone at any time. Also, in IDH, as governed by its Code of Conduct, IDH has multiple, trained confidential advisors, who vary in gender and age, and have formats in place to work with gender-sensitive situations.  In addition, this Project will involve disadvantaged groups, for example, rural cooperatives with limited access to the internet. Therefore, options for orally reported grievances with locally trained IDH staff who are sufficient in the local language will be available at all stages of the Project. However, if any person feels IDH's existing formats and channels are inappropriate, one can file an external report with IDH SpeakUp. </w:t>
            </w:r>
          </w:p>
          <w:p w14:paraId="12AA3BB8" w14:textId="77777777" w:rsidR="00446431" w:rsidRDefault="00446431">
            <w:pPr>
              <w:pBdr>
                <w:top w:val="nil"/>
                <w:left w:val="nil"/>
                <w:bottom w:val="nil"/>
                <w:right w:val="nil"/>
                <w:between w:val="nil"/>
              </w:pBdr>
              <w:rPr>
                <w:rFonts w:ascii="Calibri" w:eastAsia="Calibri" w:hAnsi="Calibri" w:cs="Calibri"/>
                <w:sz w:val="24"/>
                <w:szCs w:val="24"/>
              </w:rPr>
            </w:pPr>
          </w:p>
          <w:p w14:paraId="27C1C08F" w14:textId="77777777" w:rsidR="00446431" w:rsidRDefault="00EA3662">
            <w:pPr>
              <w:jc w:val="both"/>
              <w:rPr>
                <w:rFonts w:ascii="Calibri" w:eastAsia="Calibri" w:hAnsi="Calibri" w:cs="Calibri"/>
                <w:sz w:val="24"/>
                <w:szCs w:val="24"/>
              </w:rPr>
            </w:pPr>
            <w:r>
              <w:rPr>
                <w:rFonts w:ascii="Calibri" w:eastAsia="Calibri" w:hAnsi="Calibri" w:cs="Calibri"/>
              </w:rPr>
              <w:t>IDH adheres to an open-door policy in which we encourage employees, associates, implementation partners’ staff,  project beneficiaries and wider stakeholders to always feel free to reach out to raise and discuss an issue. First, any person can contact IDH confidential advisors who will treat all information provided to him or her as confidential and will not share this unless specifically requested to do so by the relevant person contacting them. In addition, any person can also use our external SpeakUp system to raise concerns confidentially and in his or her own language. The SpeakUp system is run by an independent third party and is available 24/7/365. In addition, as governed in the IDH Code of Conduct, any person representing IDH including consultants contracted by IDH must be politically unaffiliated and unbiased. This also means that IDH representatives must provide services to everyone without unfair discrimination and regardless of any affiliation or preference.</w:t>
            </w:r>
          </w:p>
          <w:p w14:paraId="4F050910" w14:textId="77777777" w:rsidR="00446431" w:rsidRDefault="00446431">
            <w:pPr>
              <w:pBdr>
                <w:top w:val="nil"/>
                <w:left w:val="nil"/>
                <w:bottom w:val="nil"/>
                <w:right w:val="nil"/>
                <w:between w:val="nil"/>
              </w:pBdr>
              <w:rPr>
                <w:rFonts w:ascii="Calibri" w:eastAsia="Calibri" w:hAnsi="Calibri" w:cs="Calibri"/>
                <w:sz w:val="24"/>
                <w:szCs w:val="24"/>
              </w:rPr>
            </w:pPr>
          </w:p>
        </w:tc>
      </w:tr>
    </w:tbl>
    <w:p w14:paraId="2BEAD49E" w14:textId="77777777" w:rsidR="00446431" w:rsidRDefault="00446431">
      <w:pPr>
        <w:pBdr>
          <w:top w:val="nil"/>
          <w:left w:val="nil"/>
          <w:bottom w:val="single" w:sz="4" w:space="1" w:color="000000"/>
          <w:right w:val="nil"/>
          <w:between w:val="nil"/>
        </w:pBdr>
        <w:rPr>
          <w:rFonts w:ascii="Calibri" w:eastAsia="Calibri" w:hAnsi="Calibri" w:cs="Calibri"/>
          <w:color w:val="000000"/>
          <w:sz w:val="28"/>
          <w:szCs w:val="28"/>
        </w:rPr>
      </w:pPr>
    </w:p>
    <w:p w14:paraId="6AEB85FD" w14:textId="77777777" w:rsidR="00446431" w:rsidRDefault="00446431">
      <w:pPr>
        <w:pBdr>
          <w:top w:val="nil"/>
          <w:left w:val="nil"/>
          <w:bottom w:val="single" w:sz="4" w:space="1" w:color="000000"/>
          <w:right w:val="nil"/>
          <w:between w:val="nil"/>
        </w:pBdr>
        <w:rPr>
          <w:rFonts w:ascii="Calibri" w:eastAsia="Calibri" w:hAnsi="Calibri" w:cs="Calibri"/>
          <w:color w:val="000000"/>
          <w:sz w:val="28"/>
          <w:szCs w:val="28"/>
        </w:rPr>
      </w:pPr>
    </w:p>
    <w:p w14:paraId="68803DE2" w14:textId="77777777" w:rsidR="00446431" w:rsidRDefault="00EA3662">
      <w:pPr>
        <w:pBdr>
          <w:top w:val="nil"/>
          <w:left w:val="nil"/>
          <w:bottom w:val="single" w:sz="4" w:space="1" w:color="000000"/>
          <w:right w:val="nil"/>
          <w:between w:val="nil"/>
        </w:pBdr>
        <w:rPr>
          <w:rFonts w:ascii="Calibri" w:eastAsia="Calibri" w:hAnsi="Calibri" w:cs="Calibri"/>
          <w:color w:val="000000"/>
          <w:sz w:val="24"/>
          <w:szCs w:val="24"/>
        </w:rPr>
      </w:pPr>
      <w:r>
        <w:rPr>
          <w:rFonts w:ascii="Calibri" w:eastAsia="Calibri" w:hAnsi="Calibri" w:cs="Calibri"/>
          <w:color w:val="000000"/>
          <w:sz w:val="28"/>
          <w:szCs w:val="28"/>
        </w:rPr>
        <w:t>SECTION IV: Channels for Receiving/Reporting/Registering Grievances</w:t>
      </w:r>
    </w:p>
    <w:p w14:paraId="1AD2F46D" w14:textId="77777777" w:rsidR="00446431" w:rsidRDefault="00446431">
      <w:pPr>
        <w:pBdr>
          <w:top w:val="nil"/>
          <w:left w:val="nil"/>
          <w:bottom w:val="nil"/>
          <w:right w:val="nil"/>
          <w:between w:val="nil"/>
        </w:pBdr>
        <w:rPr>
          <w:rFonts w:ascii="Calibri" w:eastAsia="Calibri" w:hAnsi="Calibri" w:cs="Calibri"/>
          <w:color w:val="000000"/>
          <w:sz w:val="20"/>
          <w:szCs w:val="20"/>
        </w:rPr>
      </w:pPr>
    </w:p>
    <w:p w14:paraId="29F7AD99" w14:textId="77777777" w:rsidR="00446431" w:rsidRDefault="00446431">
      <w:pPr>
        <w:pBdr>
          <w:top w:val="nil"/>
          <w:left w:val="nil"/>
          <w:bottom w:val="single" w:sz="4" w:space="1" w:color="000000"/>
          <w:right w:val="nil"/>
          <w:between w:val="nil"/>
        </w:pBdr>
        <w:rPr>
          <w:rFonts w:ascii="Calibri" w:eastAsia="Calibri" w:hAnsi="Calibri" w:cs="Calibri"/>
          <w:color w:val="000000"/>
          <w:sz w:val="24"/>
          <w:szCs w:val="24"/>
        </w:rPr>
      </w:pPr>
    </w:p>
    <w:tbl>
      <w:tblPr>
        <w:tblStyle w:val="a9"/>
        <w:tblW w:w="10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6794"/>
      </w:tblGrid>
      <w:tr w:rsidR="00446431" w14:paraId="0B76F7F1" w14:textId="77777777">
        <w:tc>
          <w:tcPr>
            <w:tcW w:w="3235" w:type="dxa"/>
          </w:tcPr>
          <w:p w14:paraId="1DCBA2AC" w14:textId="77777777" w:rsidR="00446431" w:rsidRDefault="00EA3662">
            <w:pPr>
              <w:pBdr>
                <w:top w:val="nil"/>
                <w:left w:val="nil"/>
                <w:bottom w:val="single" w:sz="4" w:space="1" w:color="000000"/>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Physical address(es) of project office or location(s) of grievance reporting point:</w:t>
            </w:r>
          </w:p>
        </w:tc>
        <w:tc>
          <w:tcPr>
            <w:tcW w:w="6794" w:type="dxa"/>
          </w:tcPr>
          <w:p w14:paraId="282C5D07" w14:textId="77777777" w:rsidR="00446431" w:rsidRDefault="00EA3662">
            <w:pPr>
              <w:pBdr>
                <w:top w:val="nil"/>
                <w:left w:val="nil"/>
                <w:bottom w:val="single" w:sz="4" w:space="1" w:color="000000"/>
                <w:right w:val="nil"/>
                <w:between w:val="nil"/>
              </w:pBdr>
              <w:rPr>
                <w:rFonts w:ascii="Calibri" w:eastAsia="Calibri" w:hAnsi="Calibri" w:cs="Calibri"/>
                <w:sz w:val="20"/>
                <w:szCs w:val="20"/>
              </w:rPr>
            </w:pPr>
            <w:r>
              <w:rPr>
                <w:rFonts w:ascii="Calibri" w:eastAsia="Calibri" w:hAnsi="Calibri" w:cs="Calibri"/>
                <w:sz w:val="20"/>
                <w:szCs w:val="20"/>
              </w:rPr>
              <w:t>Arthur van Schendelstraat 500</w:t>
            </w:r>
          </w:p>
          <w:p w14:paraId="48F9A664" w14:textId="77777777" w:rsidR="00446431" w:rsidRDefault="00EA3662">
            <w:pPr>
              <w:pBdr>
                <w:top w:val="nil"/>
                <w:left w:val="nil"/>
                <w:bottom w:val="single" w:sz="4" w:space="1" w:color="000000"/>
                <w:right w:val="nil"/>
                <w:between w:val="nil"/>
              </w:pBdr>
              <w:rPr>
                <w:rFonts w:ascii="Calibri" w:eastAsia="Calibri" w:hAnsi="Calibri" w:cs="Calibri"/>
                <w:sz w:val="20"/>
                <w:szCs w:val="20"/>
              </w:rPr>
            </w:pPr>
            <w:r>
              <w:rPr>
                <w:rFonts w:ascii="Calibri" w:eastAsia="Calibri" w:hAnsi="Calibri" w:cs="Calibri"/>
                <w:sz w:val="20"/>
                <w:szCs w:val="20"/>
              </w:rPr>
              <w:t>3511 MH Utrecht</w:t>
            </w:r>
          </w:p>
          <w:p w14:paraId="2C7123CB" w14:textId="77777777" w:rsidR="00446431" w:rsidRDefault="00EA3662">
            <w:pPr>
              <w:pBdr>
                <w:top w:val="nil"/>
                <w:left w:val="nil"/>
                <w:bottom w:val="single" w:sz="4" w:space="1" w:color="000000"/>
                <w:right w:val="nil"/>
                <w:between w:val="nil"/>
              </w:pBdr>
              <w:rPr>
                <w:rFonts w:ascii="Calibri" w:eastAsia="Calibri" w:hAnsi="Calibri" w:cs="Calibri"/>
                <w:sz w:val="20"/>
                <w:szCs w:val="20"/>
              </w:rPr>
            </w:pPr>
            <w:r>
              <w:rPr>
                <w:rFonts w:ascii="Calibri" w:eastAsia="Calibri" w:hAnsi="Calibri" w:cs="Calibri"/>
                <w:sz w:val="20"/>
                <w:szCs w:val="20"/>
              </w:rPr>
              <w:t>The Netherlands</w:t>
            </w:r>
          </w:p>
        </w:tc>
      </w:tr>
      <w:tr w:rsidR="00446431" w14:paraId="057829B8" w14:textId="77777777">
        <w:tc>
          <w:tcPr>
            <w:tcW w:w="3235" w:type="dxa"/>
          </w:tcPr>
          <w:p w14:paraId="6E12A02E" w14:textId="77777777" w:rsidR="00446431" w:rsidRDefault="00EA3662">
            <w:pPr>
              <w:pBdr>
                <w:top w:val="nil"/>
                <w:left w:val="nil"/>
                <w:bottom w:val="single" w:sz="4" w:space="1" w:color="000000"/>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Mailing address(es):</w:t>
            </w:r>
          </w:p>
        </w:tc>
        <w:tc>
          <w:tcPr>
            <w:tcW w:w="6794" w:type="dxa"/>
          </w:tcPr>
          <w:p w14:paraId="5B97F76D" w14:textId="77777777" w:rsidR="00446431" w:rsidRDefault="00EA3662">
            <w:pPr>
              <w:pBdr>
                <w:bottom w:val="single" w:sz="4" w:space="1" w:color="000000"/>
              </w:pBdr>
              <w:rPr>
                <w:rFonts w:ascii="Calibri" w:eastAsia="Calibri" w:hAnsi="Calibri" w:cs="Calibri"/>
                <w:sz w:val="20"/>
                <w:szCs w:val="20"/>
              </w:rPr>
            </w:pPr>
            <w:r>
              <w:rPr>
                <w:rFonts w:ascii="Calibri" w:eastAsia="Calibri" w:hAnsi="Calibri" w:cs="Calibri"/>
                <w:sz w:val="20"/>
                <w:szCs w:val="20"/>
              </w:rPr>
              <w:t>P.O. Box 1241</w:t>
            </w:r>
          </w:p>
          <w:p w14:paraId="6FFBEE08" w14:textId="77777777" w:rsidR="00446431" w:rsidRDefault="00EA3662">
            <w:pPr>
              <w:pBdr>
                <w:bottom w:val="single" w:sz="4" w:space="1" w:color="000000"/>
              </w:pBdr>
              <w:rPr>
                <w:rFonts w:ascii="Calibri" w:eastAsia="Calibri" w:hAnsi="Calibri" w:cs="Calibri"/>
                <w:sz w:val="20"/>
                <w:szCs w:val="20"/>
              </w:rPr>
            </w:pPr>
            <w:r>
              <w:rPr>
                <w:rFonts w:ascii="Calibri" w:eastAsia="Calibri" w:hAnsi="Calibri" w:cs="Calibri"/>
                <w:sz w:val="20"/>
                <w:szCs w:val="20"/>
              </w:rPr>
              <w:t>3500 BE UTRECHT</w:t>
            </w:r>
          </w:p>
          <w:p w14:paraId="2EE79627" w14:textId="77777777" w:rsidR="00446431" w:rsidRDefault="00EA3662">
            <w:pPr>
              <w:pBdr>
                <w:bottom w:val="single" w:sz="4" w:space="1" w:color="000000"/>
              </w:pBdr>
              <w:rPr>
                <w:rFonts w:ascii="Calibri" w:eastAsia="Calibri" w:hAnsi="Calibri" w:cs="Calibri"/>
                <w:sz w:val="20"/>
                <w:szCs w:val="20"/>
              </w:rPr>
            </w:pPr>
            <w:r>
              <w:rPr>
                <w:rFonts w:ascii="Calibri" w:eastAsia="Calibri" w:hAnsi="Calibri" w:cs="Calibri"/>
                <w:sz w:val="20"/>
                <w:szCs w:val="20"/>
              </w:rPr>
              <w:t>The Netherlands</w:t>
            </w:r>
          </w:p>
        </w:tc>
      </w:tr>
      <w:tr w:rsidR="00446431" w14:paraId="00F6549C" w14:textId="77777777">
        <w:tc>
          <w:tcPr>
            <w:tcW w:w="3235" w:type="dxa"/>
          </w:tcPr>
          <w:p w14:paraId="6DE51942" w14:textId="77777777" w:rsidR="00446431" w:rsidRDefault="00EA3662">
            <w:pPr>
              <w:pBdr>
                <w:top w:val="nil"/>
                <w:left w:val="nil"/>
                <w:bottom w:val="single" w:sz="4" w:space="1" w:color="000000"/>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Telephone/Fax Number(s):</w:t>
            </w:r>
          </w:p>
        </w:tc>
        <w:tc>
          <w:tcPr>
            <w:tcW w:w="6794" w:type="dxa"/>
          </w:tcPr>
          <w:p w14:paraId="0906F9A2" w14:textId="77777777" w:rsidR="00446431" w:rsidRDefault="00EA3662">
            <w:pPr>
              <w:pBdr>
                <w:top w:val="nil"/>
                <w:left w:val="nil"/>
                <w:bottom w:val="single" w:sz="4" w:space="1" w:color="000000"/>
                <w:right w:val="nil"/>
                <w:between w:val="nil"/>
              </w:pBdr>
              <w:rPr>
                <w:rFonts w:ascii="Calibri" w:eastAsia="Calibri" w:hAnsi="Calibri" w:cs="Calibri"/>
                <w:sz w:val="20"/>
                <w:szCs w:val="20"/>
              </w:rPr>
            </w:pPr>
            <w:r>
              <w:rPr>
                <w:rFonts w:ascii="Calibri" w:eastAsia="Calibri" w:hAnsi="Calibri" w:cs="Calibri"/>
                <w:sz w:val="20"/>
                <w:szCs w:val="20"/>
              </w:rPr>
              <w:t xml:space="preserve">SpeakUp Policy: BY PHONE To report misconduct by phone, please call the SpeakUp line in your country (free of charge). Click </w:t>
            </w:r>
            <w:hyperlink r:id="rId12">
              <w:r>
                <w:rPr>
                  <w:rFonts w:ascii="Calibri" w:eastAsia="Calibri" w:hAnsi="Calibri" w:cs="Calibri"/>
                  <w:color w:val="1155CC"/>
                  <w:sz w:val="20"/>
                  <w:szCs w:val="20"/>
                  <w:u w:val="single"/>
                </w:rPr>
                <w:t>here</w:t>
              </w:r>
            </w:hyperlink>
            <w:r>
              <w:rPr>
                <w:rFonts w:ascii="Calibri" w:eastAsia="Calibri" w:hAnsi="Calibri" w:cs="Calibri"/>
                <w:sz w:val="20"/>
                <w:szCs w:val="20"/>
              </w:rPr>
              <w:t xml:space="preserve"> to find a local phone number. Colombia phone number and access code: (20416) 018009440692</w:t>
            </w:r>
          </w:p>
          <w:p w14:paraId="6BA36AAE" w14:textId="77777777" w:rsidR="00446431" w:rsidRDefault="00446431">
            <w:pPr>
              <w:pBdr>
                <w:top w:val="nil"/>
                <w:left w:val="nil"/>
                <w:bottom w:val="single" w:sz="4" w:space="1" w:color="000000"/>
                <w:right w:val="nil"/>
                <w:between w:val="nil"/>
              </w:pBdr>
              <w:rPr>
                <w:rFonts w:ascii="Calibri" w:eastAsia="Calibri" w:hAnsi="Calibri" w:cs="Calibri"/>
                <w:sz w:val="20"/>
                <w:szCs w:val="20"/>
              </w:rPr>
            </w:pPr>
          </w:p>
          <w:p w14:paraId="77408334" w14:textId="77777777" w:rsidR="00446431" w:rsidRDefault="00EA3662">
            <w:pPr>
              <w:pBdr>
                <w:bottom w:val="single" w:sz="4" w:space="1" w:color="000000"/>
              </w:pBdr>
              <w:rPr>
                <w:rFonts w:ascii="Calibri" w:eastAsia="Calibri" w:hAnsi="Calibri" w:cs="Calibri"/>
                <w:sz w:val="20"/>
                <w:szCs w:val="20"/>
              </w:rPr>
            </w:pPr>
            <w:r>
              <w:rPr>
                <w:rFonts w:ascii="Calibri" w:eastAsia="Calibri" w:hAnsi="Calibri" w:cs="Calibri"/>
                <w:sz w:val="20"/>
                <w:szCs w:val="20"/>
              </w:rPr>
              <w:t xml:space="preserve">Access to phone numbers: Colombia Country in Spanish </w:t>
            </w:r>
            <w:hyperlink r:id="rId13">
              <w:r>
                <w:rPr>
                  <w:rFonts w:ascii="Calibri" w:eastAsia="Calibri" w:hAnsi="Calibri" w:cs="Calibri"/>
                  <w:color w:val="1155CC"/>
                  <w:sz w:val="20"/>
                  <w:szCs w:val="20"/>
                  <w:u w:val="single"/>
                </w:rPr>
                <w:t>Link</w:t>
              </w:r>
            </w:hyperlink>
            <w:r>
              <w:rPr>
                <w:rFonts w:ascii="Calibri" w:eastAsia="Calibri" w:hAnsi="Calibri" w:cs="Calibri"/>
                <w:sz w:val="20"/>
                <w:szCs w:val="20"/>
              </w:rPr>
              <w:t xml:space="preserve"> Colombia Country in English </w:t>
            </w:r>
            <w:hyperlink r:id="rId14">
              <w:r>
                <w:rPr>
                  <w:rFonts w:ascii="Calibri" w:eastAsia="Calibri" w:hAnsi="Calibri" w:cs="Calibri"/>
                  <w:color w:val="1155CC"/>
                  <w:sz w:val="20"/>
                  <w:szCs w:val="20"/>
                  <w:u w:val="single"/>
                </w:rPr>
                <w:t>Link</w:t>
              </w:r>
            </w:hyperlink>
            <w:r>
              <w:rPr>
                <w:rFonts w:ascii="Calibri" w:eastAsia="Calibri" w:hAnsi="Calibri" w:cs="Calibri"/>
                <w:sz w:val="20"/>
                <w:szCs w:val="20"/>
              </w:rPr>
              <w:t>.</w:t>
            </w:r>
          </w:p>
        </w:tc>
      </w:tr>
      <w:tr w:rsidR="00446431" w14:paraId="6E05F6F5" w14:textId="77777777">
        <w:tc>
          <w:tcPr>
            <w:tcW w:w="3235" w:type="dxa"/>
          </w:tcPr>
          <w:p w14:paraId="05189BC0" w14:textId="77777777" w:rsidR="00446431" w:rsidRDefault="00EA3662">
            <w:pPr>
              <w:pBdr>
                <w:top w:val="nil"/>
                <w:left w:val="nil"/>
                <w:bottom w:val="single" w:sz="4" w:space="1" w:color="000000"/>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Email address(es):</w:t>
            </w:r>
          </w:p>
        </w:tc>
        <w:tc>
          <w:tcPr>
            <w:tcW w:w="6794" w:type="dxa"/>
          </w:tcPr>
          <w:p w14:paraId="1C1BB546" w14:textId="77777777" w:rsidR="00446431" w:rsidRDefault="00EA3662">
            <w:pPr>
              <w:pBdr>
                <w:bottom w:val="single" w:sz="4" w:space="1" w:color="000000"/>
              </w:pBdr>
              <w:rPr>
                <w:rFonts w:ascii="Calibri" w:eastAsia="Calibri" w:hAnsi="Calibri" w:cs="Calibri"/>
                <w:color w:val="000000"/>
                <w:sz w:val="20"/>
                <w:szCs w:val="20"/>
              </w:rPr>
            </w:pPr>
            <w:r>
              <w:rPr>
                <w:rFonts w:ascii="Calibri" w:eastAsia="Calibri" w:hAnsi="Calibri" w:cs="Calibri"/>
                <w:sz w:val="20"/>
                <w:szCs w:val="20"/>
              </w:rPr>
              <w:t>Confidential advisors: confidentialadvisor@idhtrade.org</w:t>
            </w:r>
          </w:p>
        </w:tc>
      </w:tr>
      <w:tr w:rsidR="00446431" w14:paraId="4B51F266" w14:textId="77777777">
        <w:tc>
          <w:tcPr>
            <w:tcW w:w="3235" w:type="dxa"/>
          </w:tcPr>
          <w:p w14:paraId="75DFFC37" w14:textId="77777777" w:rsidR="00446431" w:rsidRDefault="00EA3662">
            <w:pPr>
              <w:pBdr>
                <w:top w:val="nil"/>
                <w:left w:val="nil"/>
                <w:bottom w:val="single" w:sz="4" w:space="1" w:color="000000"/>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Website(s)/software application(s):</w:t>
            </w:r>
          </w:p>
        </w:tc>
        <w:tc>
          <w:tcPr>
            <w:tcW w:w="6794" w:type="dxa"/>
          </w:tcPr>
          <w:p w14:paraId="2CDBBF18" w14:textId="77777777" w:rsidR="00446431" w:rsidRDefault="00EA3662">
            <w:pPr>
              <w:pBdr>
                <w:top w:val="nil"/>
                <w:left w:val="nil"/>
                <w:bottom w:val="single" w:sz="4" w:space="1" w:color="000000"/>
                <w:right w:val="nil"/>
                <w:between w:val="nil"/>
              </w:pBdr>
              <w:rPr>
                <w:rFonts w:ascii="Calibri" w:eastAsia="Calibri" w:hAnsi="Calibri" w:cs="Calibri"/>
                <w:sz w:val="20"/>
                <w:szCs w:val="20"/>
              </w:rPr>
            </w:pPr>
            <w:r>
              <w:rPr>
                <w:rFonts w:ascii="Calibri" w:eastAsia="Calibri" w:hAnsi="Calibri" w:cs="Calibri"/>
                <w:sz w:val="20"/>
                <w:szCs w:val="20"/>
              </w:rPr>
              <w:t xml:space="preserve">ONLINE  To report misconduct online, </w:t>
            </w:r>
            <w:hyperlink r:id="rId15">
              <w:r>
                <w:rPr>
                  <w:rFonts w:ascii="Calibri" w:eastAsia="Calibri" w:hAnsi="Calibri" w:cs="Calibri"/>
                  <w:color w:val="1155CC"/>
                  <w:sz w:val="20"/>
                  <w:szCs w:val="20"/>
                  <w:u w:val="single"/>
                </w:rPr>
                <w:t xml:space="preserve">this is the link for </w:t>
              </w:r>
            </w:hyperlink>
            <w:r>
              <w:rPr>
                <w:rFonts w:ascii="Calibri" w:eastAsia="Calibri" w:hAnsi="Calibri" w:cs="Calibri"/>
                <w:sz w:val="20"/>
                <w:szCs w:val="20"/>
              </w:rPr>
              <w:t>IDH’s SpeakUp system where you can fill in a form to submit your concern.</w:t>
            </w:r>
          </w:p>
          <w:p w14:paraId="053ED1F7" w14:textId="77777777" w:rsidR="00446431" w:rsidRDefault="00446431">
            <w:pPr>
              <w:pBdr>
                <w:top w:val="nil"/>
                <w:left w:val="nil"/>
                <w:bottom w:val="single" w:sz="4" w:space="1" w:color="000000"/>
                <w:right w:val="nil"/>
                <w:between w:val="nil"/>
              </w:pBdr>
              <w:rPr>
                <w:rFonts w:ascii="Calibri" w:eastAsia="Calibri" w:hAnsi="Calibri" w:cs="Calibri"/>
                <w:sz w:val="20"/>
                <w:szCs w:val="20"/>
              </w:rPr>
            </w:pPr>
          </w:p>
          <w:p w14:paraId="5609A6D4" w14:textId="77777777" w:rsidR="00446431" w:rsidRDefault="00EA3662">
            <w:pPr>
              <w:pBdr>
                <w:bottom w:val="single" w:sz="4" w:space="1" w:color="000000"/>
              </w:pBdr>
              <w:rPr>
                <w:rFonts w:ascii="Calibri" w:eastAsia="Calibri" w:hAnsi="Calibri" w:cs="Calibri"/>
                <w:sz w:val="20"/>
                <w:szCs w:val="20"/>
              </w:rPr>
            </w:pPr>
            <w:r>
              <w:rPr>
                <w:rFonts w:ascii="Calibri" w:eastAsia="Calibri" w:hAnsi="Calibri" w:cs="Calibri"/>
                <w:sz w:val="20"/>
                <w:szCs w:val="20"/>
              </w:rPr>
              <w:t xml:space="preserve">Access to web link: Columbia Country in Spanish </w:t>
            </w:r>
            <w:hyperlink r:id="rId16">
              <w:r>
                <w:rPr>
                  <w:rFonts w:ascii="Calibri" w:eastAsia="Calibri" w:hAnsi="Calibri" w:cs="Calibri"/>
                  <w:color w:val="1155CC"/>
                  <w:sz w:val="20"/>
                  <w:szCs w:val="20"/>
                  <w:u w:val="single"/>
                </w:rPr>
                <w:t>Link</w:t>
              </w:r>
            </w:hyperlink>
            <w:r>
              <w:rPr>
                <w:rFonts w:ascii="Calibri" w:eastAsia="Calibri" w:hAnsi="Calibri" w:cs="Calibri"/>
                <w:sz w:val="20"/>
                <w:szCs w:val="20"/>
              </w:rPr>
              <w:t xml:space="preserve"> Colombia County in English </w:t>
            </w:r>
            <w:hyperlink r:id="rId17">
              <w:r>
                <w:rPr>
                  <w:rFonts w:ascii="Calibri" w:eastAsia="Calibri" w:hAnsi="Calibri" w:cs="Calibri"/>
                  <w:color w:val="1155CC"/>
                  <w:sz w:val="20"/>
                  <w:szCs w:val="20"/>
                  <w:u w:val="single"/>
                </w:rPr>
                <w:t>Link</w:t>
              </w:r>
            </w:hyperlink>
            <w:r>
              <w:rPr>
                <w:rFonts w:ascii="Calibri" w:eastAsia="Calibri" w:hAnsi="Calibri" w:cs="Calibri"/>
                <w:sz w:val="20"/>
                <w:szCs w:val="20"/>
              </w:rPr>
              <w:t>.</w:t>
            </w:r>
          </w:p>
        </w:tc>
      </w:tr>
      <w:tr w:rsidR="00446431" w14:paraId="406222E2" w14:textId="77777777">
        <w:tc>
          <w:tcPr>
            <w:tcW w:w="3235" w:type="dxa"/>
          </w:tcPr>
          <w:p w14:paraId="21CD15AA" w14:textId="77777777" w:rsidR="00446431" w:rsidRDefault="00EA3662">
            <w:pPr>
              <w:pBdr>
                <w:top w:val="nil"/>
                <w:left w:val="nil"/>
                <w:bottom w:val="single" w:sz="4" w:space="1" w:color="000000"/>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Radio Frequency, if applicable:</w:t>
            </w:r>
          </w:p>
        </w:tc>
        <w:tc>
          <w:tcPr>
            <w:tcW w:w="6794" w:type="dxa"/>
          </w:tcPr>
          <w:p w14:paraId="53C4CFBB" w14:textId="77777777" w:rsidR="00446431" w:rsidRDefault="00EA3662">
            <w:pPr>
              <w:pBdr>
                <w:bottom w:val="single" w:sz="4" w:space="1" w:color="000000"/>
              </w:pBdr>
              <w:rPr>
                <w:rFonts w:ascii="Calibri" w:eastAsia="Calibri" w:hAnsi="Calibri" w:cs="Calibri"/>
                <w:color w:val="000000"/>
                <w:sz w:val="20"/>
                <w:szCs w:val="20"/>
              </w:rPr>
            </w:pPr>
            <w:r>
              <w:rPr>
                <w:rFonts w:ascii="Calibri" w:eastAsia="Calibri" w:hAnsi="Calibri" w:cs="Calibri"/>
                <w:sz w:val="20"/>
                <w:szCs w:val="20"/>
              </w:rPr>
              <w:t>n/a</w:t>
            </w:r>
          </w:p>
        </w:tc>
      </w:tr>
      <w:tr w:rsidR="00446431" w14:paraId="5795182E" w14:textId="77777777">
        <w:tc>
          <w:tcPr>
            <w:tcW w:w="3235" w:type="dxa"/>
          </w:tcPr>
          <w:p w14:paraId="0FE10BCD" w14:textId="77777777" w:rsidR="00446431" w:rsidRDefault="00EA3662">
            <w:pPr>
              <w:pBdr>
                <w:top w:val="nil"/>
                <w:left w:val="nil"/>
                <w:bottom w:val="single" w:sz="4" w:space="1" w:color="000000"/>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Other:</w:t>
            </w:r>
          </w:p>
        </w:tc>
        <w:tc>
          <w:tcPr>
            <w:tcW w:w="6794" w:type="dxa"/>
          </w:tcPr>
          <w:p w14:paraId="478E66D4" w14:textId="77777777" w:rsidR="00446431" w:rsidRDefault="00EA3662">
            <w:pPr>
              <w:numPr>
                <w:ilvl w:val="0"/>
                <w:numId w:val="6"/>
              </w:numPr>
              <w:pBdr>
                <w:top w:val="nil"/>
                <w:left w:val="nil"/>
                <w:bottom w:val="single" w:sz="4" w:space="1" w:color="000000"/>
                <w:right w:val="nil"/>
                <w:between w:val="nil"/>
              </w:pBdr>
              <w:rPr>
                <w:rFonts w:ascii="Calibri" w:eastAsia="Calibri" w:hAnsi="Calibri" w:cs="Calibri"/>
                <w:sz w:val="20"/>
                <w:szCs w:val="20"/>
              </w:rPr>
            </w:pPr>
            <w:r>
              <w:rPr>
                <w:rFonts w:ascii="Calibri" w:eastAsia="Calibri" w:hAnsi="Calibri" w:cs="Calibri"/>
                <w:sz w:val="20"/>
                <w:szCs w:val="20"/>
              </w:rPr>
              <w:t>If a country is not listed in the SpeakUp system, users would then select the Netherlands to file a report online.</w:t>
            </w:r>
          </w:p>
          <w:p w14:paraId="3D0BA510" w14:textId="77777777" w:rsidR="00446431" w:rsidRDefault="00EA3662">
            <w:pPr>
              <w:numPr>
                <w:ilvl w:val="0"/>
                <w:numId w:val="6"/>
              </w:numPr>
              <w:pBdr>
                <w:top w:val="nil"/>
                <w:left w:val="nil"/>
                <w:bottom w:val="single" w:sz="4" w:space="1" w:color="000000"/>
                <w:right w:val="nil"/>
                <w:between w:val="nil"/>
              </w:pBdr>
              <w:rPr>
                <w:rFonts w:ascii="Calibri" w:eastAsia="Calibri" w:hAnsi="Calibri" w:cs="Calibri"/>
                <w:sz w:val="20"/>
                <w:szCs w:val="20"/>
              </w:rPr>
            </w:pPr>
            <w:r>
              <w:rPr>
                <w:rFonts w:ascii="Calibri" w:eastAsia="Calibri" w:hAnsi="Calibri" w:cs="Calibri"/>
                <w:sz w:val="20"/>
                <w:szCs w:val="20"/>
              </w:rPr>
              <w:t>If all options above are exhausted, it is possible to report to IDH's donors.</w:t>
            </w:r>
          </w:p>
          <w:p w14:paraId="02C82CAF" w14:textId="77777777" w:rsidR="00446431" w:rsidRDefault="00446431">
            <w:pPr>
              <w:pBdr>
                <w:top w:val="nil"/>
                <w:left w:val="nil"/>
                <w:bottom w:val="single" w:sz="4" w:space="1" w:color="000000"/>
                <w:right w:val="nil"/>
                <w:between w:val="nil"/>
              </w:pBdr>
              <w:rPr>
                <w:rFonts w:ascii="Calibri" w:eastAsia="Calibri" w:hAnsi="Calibri" w:cs="Calibri"/>
                <w:sz w:val="20"/>
                <w:szCs w:val="20"/>
              </w:rPr>
            </w:pPr>
          </w:p>
          <w:p w14:paraId="5466EF31" w14:textId="77777777" w:rsidR="00446431" w:rsidRDefault="00EA3662">
            <w:pPr>
              <w:pBdr>
                <w:top w:val="nil"/>
                <w:left w:val="nil"/>
                <w:bottom w:val="single" w:sz="4" w:space="1" w:color="000000"/>
                <w:right w:val="nil"/>
                <w:between w:val="nil"/>
              </w:pBdr>
              <w:rPr>
                <w:rFonts w:ascii="Calibri" w:eastAsia="Calibri" w:hAnsi="Calibri" w:cs="Calibri"/>
                <w:sz w:val="20"/>
                <w:szCs w:val="20"/>
                <w:highlight w:val="white"/>
              </w:rPr>
            </w:pPr>
            <w:r>
              <w:rPr>
                <w:rFonts w:ascii="Calibri" w:eastAsia="Calibri" w:hAnsi="Calibri" w:cs="Calibri"/>
                <w:sz w:val="20"/>
                <w:szCs w:val="20"/>
                <w:highlight w:val="white"/>
              </w:rPr>
              <w:t xml:space="preserve">CI’s EthicsPoint Hotline is at </w:t>
            </w:r>
            <w:hyperlink r:id="rId18">
              <w:r>
                <w:rPr>
                  <w:rFonts w:ascii="Calibri" w:eastAsia="Calibri" w:hAnsi="Calibri" w:cs="Calibri"/>
                  <w:color w:val="1A73E8"/>
                  <w:sz w:val="20"/>
                  <w:szCs w:val="20"/>
                  <w:highlight w:val="white"/>
                </w:rPr>
                <w:t>https://secure.ethicspoint.com</w:t>
              </w:r>
            </w:hyperlink>
            <w:r>
              <w:rPr>
                <w:rFonts w:ascii="Calibri" w:eastAsia="Calibri" w:hAnsi="Calibri" w:cs="Calibri"/>
                <w:sz w:val="20"/>
                <w:szCs w:val="20"/>
                <w:highlight w:val="white"/>
              </w:rPr>
              <w:t xml:space="preserve">. Through </w:t>
            </w:r>
            <w:r>
              <w:rPr>
                <w:rFonts w:ascii="Calibri" w:eastAsia="Calibri" w:hAnsi="Calibri" w:cs="Calibri"/>
                <w:sz w:val="20"/>
                <w:szCs w:val="20"/>
                <w:highlight w:val="white"/>
              </w:rPr>
              <w:lastRenderedPageBreak/>
              <w:t>EthicsPoint, CI will respond within 15 calendar days of receipt, and claims will be filed and included in project monitoring processes.</w:t>
            </w:r>
          </w:p>
          <w:p w14:paraId="0BF31ECC" w14:textId="77777777" w:rsidR="00446431" w:rsidRDefault="00446431">
            <w:pPr>
              <w:pBdr>
                <w:top w:val="nil"/>
                <w:left w:val="nil"/>
                <w:bottom w:val="single" w:sz="4" w:space="1" w:color="000000"/>
                <w:right w:val="nil"/>
                <w:between w:val="nil"/>
              </w:pBdr>
              <w:rPr>
                <w:rFonts w:ascii="Calibri" w:eastAsia="Calibri" w:hAnsi="Calibri" w:cs="Calibri"/>
                <w:sz w:val="20"/>
                <w:szCs w:val="20"/>
              </w:rPr>
            </w:pPr>
          </w:p>
          <w:p w14:paraId="08F1231F" w14:textId="77777777" w:rsidR="00446431" w:rsidRDefault="00EA3662">
            <w:pPr>
              <w:pBdr>
                <w:top w:val="nil"/>
                <w:left w:val="nil"/>
                <w:bottom w:val="single" w:sz="4" w:space="1" w:color="000000"/>
                <w:right w:val="nil"/>
                <w:between w:val="nil"/>
              </w:pBdr>
              <w:rPr>
                <w:rFonts w:ascii="Calibri" w:eastAsia="Calibri" w:hAnsi="Calibri" w:cs="Calibri"/>
                <w:sz w:val="20"/>
                <w:szCs w:val="20"/>
                <w:highlight w:val="white"/>
              </w:rPr>
            </w:pPr>
            <w:r>
              <w:rPr>
                <w:rFonts w:ascii="Calibri" w:eastAsia="Calibri" w:hAnsi="Calibri" w:cs="Calibri"/>
                <w:sz w:val="20"/>
                <w:szCs w:val="20"/>
                <w:highlight w:val="white"/>
              </w:rPr>
              <w:t>Alternatively, the grievant may file a claim with the Director of Compliance (DOC) who is responsible for the CI Accountability and Grievance Mechanism and who can be reached at:</w:t>
            </w:r>
          </w:p>
          <w:p w14:paraId="25DD19C8" w14:textId="77777777" w:rsidR="00446431" w:rsidRDefault="00EA3662">
            <w:pPr>
              <w:pBdr>
                <w:top w:val="nil"/>
                <w:left w:val="nil"/>
                <w:bottom w:val="single" w:sz="4" w:space="1" w:color="000000"/>
                <w:right w:val="nil"/>
                <w:between w:val="nil"/>
              </w:pBdr>
              <w:rPr>
                <w:rFonts w:ascii="Calibri" w:eastAsia="Calibri" w:hAnsi="Calibri" w:cs="Calibri"/>
                <w:sz w:val="20"/>
                <w:szCs w:val="20"/>
                <w:highlight w:val="white"/>
              </w:rPr>
            </w:pPr>
            <w:r>
              <w:rPr>
                <w:rFonts w:ascii="Calibri" w:eastAsia="Calibri" w:hAnsi="Calibri" w:cs="Calibri"/>
                <w:sz w:val="20"/>
                <w:szCs w:val="20"/>
                <w:highlight w:val="white"/>
              </w:rPr>
              <w:t>Mailing address:</w:t>
            </w:r>
          </w:p>
          <w:p w14:paraId="2E32C601" w14:textId="77777777" w:rsidR="00446431" w:rsidRDefault="00EA3662">
            <w:pPr>
              <w:pBdr>
                <w:top w:val="nil"/>
                <w:left w:val="nil"/>
                <w:bottom w:val="single" w:sz="4" w:space="1" w:color="000000"/>
                <w:right w:val="nil"/>
                <w:between w:val="nil"/>
              </w:pBdr>
              <w:rPr>
                <w:rFonts w:ascii="Calibri" w:eastAsia="Calibri" w:hAnsi="Calibri" w:cs="Calibri"/>
                <w:sz w:val="20"/>
                <w:szCs w:val="20"/>
                <w:highlight w:val="white"/>
              </w:rPr>
            </w:pPr>
            <w:r>
              <w:rPr>
                <w:rFonts w:ascii="Calibri" w:eastAsia="Calibri" w:hAnsi="Calibri" w:cs="Calibri"/>
                <w:sz w:val="20"/>
                <w:szCs w:val="20"/>
                <w:highlight w:val="white"/>
              </w:rPr>
              <w:t>Director of Compliance</w:t>
            </w:r>
          </w:p>
          <w:p w14:paraId="6CE2DE9D" w14:textId="77777777" w:rsidR="00446431" w:rsidRDefault="00EA3662">
            <w:pPr>
              <w:pBdr>
                <w:top w:val="nil"/>
                <w:left w:val="nil"/>
                <w:bottom w:val="single" w:sz="4" w:space="1" w:color="000000"/>
                <w:right w:val="nil"/>
                <w:between w:val="nil"/>
              </w:pBdr>
              <w:rPr>
                <w:rFonts w:ascii="Calibri" w:eastAsia="Calibri" w:hAnsi="Calibri" w:cs="Calibri"/>
                <w:sz w:val="20"/>
                <w:szCs w:val="20"/>
                <w:highlight w:val="white"/>
              </w:rPr>
            </w:pPr>
            <w:r>
              <w:rPr>
                <w:rFonts w:ascii="Calibri" w:eastAsia="Calibri" w:hAnsi="Calibri" w:cs="Calibri"/>
                <w:sz w:val="20"/>
                <w:szCs w:val="20"/>
                <w:highlight w:val="white"/>
              </w:rPr>
              <w:t>Conservation International</w:t>
            </w:r>
          </w:p>
          <w:p w14:paraId="56832D76" w14:textId="77777777" w:rsidR="00446431" w:rsidRDefault="00EA3662">
            <w:pPr>
              <w:pBdr>
                <w:top w:val="nil"/>
                <w:left w:val="nil"/>
                <w:bottom w:val="single" w:sz="4" w:space="1" w:color="000000"/>
                <w:right w:val="nil"/>
                <w:between w:val="nil"/>
              </w:pBdr>
              <w:rPr>
                <w:rFonts w:ascii="Calibri" w:eastAsia="Calibri" w:hAnsi="Calibri" w:cs="Calibri"/>
                <w:sz w:val="20"/>
                <w:szCs w:val="20"/>
                <w:highlight w:val="white"/>
              </w:rPr>
            </w:pPr>
            <w:r>
              <w:rPr>
                <w:rFonts w:ascii="Calibri" w:eastAsia="Calibri" w:hAnsi="Calibri" w:cs="Calibri"/>
                <w:sz w:val="20"/>
                <w:szCs w:val="20"/>
                <w:highlight w:val="white"/>
              </w:rPr>
              <w:t>2011 Crystal Drive, Suite 600</w:t>
            </w:r>
          </w:p>
          <w:p w14:paraId="0173EE99" w14:textId="77777777" w:rsidR="00446431" w:rsidRDefault="00EA3662">
            <w:pPr>
              <w:pBdr>
                <w:top w:val="nil"/>
                <w:left w:val="nil"/>
                <w:bottom w:val="single" w:sz="4" w:space="1" w:color="000000"/>
                <w:right w:val="nil"/>
                <w:between w:val="nil"/>
              </w:pBdr>
              <w:rPr>
                <w:rFonts w:ascii="Calibri" w:eastAsia="Calibri" w:hAnsi="Calibri" w:cs="Calibri"/>
                <w:sz w:val="20"/>
                <w:szCs w:val="20"/>
              </w:rPr>
            </w:pPr>
            <w:r>
              <w:rPr>
                <w:rFonts w:ascii="Calibri" w:eastAsia="Calibri" w:hAnsi="Calibri" w:cs="Calibri"/>
                <w:sz w:val="20"/>
                <w:szCs w:val="20"/>
                <w:highlight w:val="white"/>
              </w:rPr>
              <w:t>Arlington, VA 22202, USA.</w:t>
            </w:r>
          </w:p>
        </w:tc>
      </w:tr>
    </w:tbl>
    <w:p w14:paraId="0DCD8A30" w14:textId="77777777" w:rsidR="00446431" w:rsidRDefault="00446431">
      <w:pPr>
        <w:pBdr>
          <w:top w:val="nil"/>
          <w:left w:val="nil"/>
          <w:bottom w:val="single" w:sz="4" w:space="1" w:color="000000"/>
          <w:right w:val="nil"/>
          <w:between w:val="nil"/>
        </w:pBdr>
        <w:rPr>
          <w:rFonts w:ascii="Calibri" w:eastAsia="Calibri" w:hAnsi="Calibri" w:cs="Calibri"/>
          <w:sz w:val="28"/>
          <w:szCs w:val="28"/>
        </w:rPr>
      </w:pPr>
    </w:p>
    <w:p w14:paraId="213AFA7A" w14:textId="77777777" w:rsidR="00446431" w:rsidRDefault="00446431">
      <w:pPr>
        <w:pBdr>
          <w:top w:val="nil"/>
          <w:left w:val="nil"/>
          <w:bottom w:val="single" w:sz="4" w:space="1" w:color="000000"/>
          <w:right w:val="nil"/>
          <w:between w:val="nil"/>
        </w:pBdr>
        <w:rPr>
          <w:rFonts w:ascii="Calibri" w:eastAsia="Calibri" w:hAnsi="Calibri" w:cs="Calibri"/>
          <w:sz w:val="28"/>
          <w:szCs w:val="28"/>
        </w:rPr>
      </w:pPr>
    </w:p>
    <w:p w14:paraId="6EA7E625" w14:textId="77777777" w:rsidR="00446431" w:rsidRDefault="00EA3662">
      <w:pPr>
        <w:pBdr>
          <w:top w:val="nil"/>
          <w:left w:val="nil"/>
          <w:bottom w:val="single" w:sz="4" w:space="1" w:color="000000"/>
          <w:right w:val="nil"/>
          <w:between w:val="nil"/>
        </w:pBdr>
        <w:rPr>
          <w:rFonts w:ascii="Calibri" w:eastAsia="Calibri" w:hAnsi="Calibri" w:cs="Calibri"/>
          <w:color w:val="000000"/>
          <w:sz w:val="24"/>
          <w:szCs w:val="24"/>
        </w:rPr>
      </w:pPr>
      <w:bookmarkStart w:id="0" w:name="_heading=h.gjdgxs" w:colFirst="0" w:colLast="0"/>
      <w:bookmarkEnd w:id="0"/>
      <w:r>
        <w:rPr>
          <w:rFonts w:ascii="Calibri" w:eastAsia="Calibri" w:hAnsi="Calibri" w:cs="Calibri"/>
          <w:color w:val="000000"/>
          <w:sz w:val="28"/>
          <w:szCs w:val="28"/>
        </w:rPr>
        <w:t>SECTION V: Processing and Documentation</w:t>
      </w:r>
    </w:p>
    <w:p w14:paraId="3A3512C0" w14:textId="77777777" w:rsidR="00446431" w:rsidRDefault="00446431">
      <w:pPr>
        <w:rPr>
          <w:rFonts w:ascii="Calibri" w:eastAsia="Calibri" w:hAnsi="Calibri" w:cs="Calibri"/>
        </w:rPr>
      </w:pPr>
    </w:p>
    <w:tbl>
      <w:tblPr>
        <w:tblStyle w:val="aa"/>
        <w:tblW w:w="10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29"/>
      </w:tblGrid>
      <w:tr w:rsidR="00446431" w14:paraId="1FFDD247" w14:textId="77777777">
        <w:tc>
          <w:tcPr>
            <w:tcW w:w="10029" w:type="dxa"/>
          </w:tcPr>
          <w:p w14:paraId="211D2C97" w14:textId="77777777" w:rsidR="00446431" w:rsidRDefault="00EA3662">
            <w:pPr>
              <w:spacing w:before="120"/>
              <w:rPr>
                <w:rFonts w:ascii="Calibri" w:eastAsia="Calibri" w:hAnsi="Calibri" w:cs="Calibri"/>
                <w:i/>
              </w:rPr>
            </w:pPr>
            <w:r>
              <w:rPr>
                <w:rFonts w:ascii="Calibri" w:eastAsia="Calibri" w:hAnsi="Calibri" w:cs="Calibri"/>
                <w:sz w:val="28"/>
                <w:szCs w:val="28"/>
              </w:rPr>
              <w:t>Processing</w:t>
            </w:r>
          </w:p>
          <w:p w14:paraId="7744525A" w14:textId="77777777" w:rsidR="00446431" w:rsidRDefault="00EA3662">
            <w:pPr>
              <w:pBdr>
                <w:top w:val="nil"/>
                <w:left w:val="nil"/>
                <w:bottom w:val="nil"/>
                <w:right w:val="nil"/>
                <w:between w:val="nil"/>
              </w:pBdr>
              <w:spacing w:before="120"/>
              <w:jc w:val="both"/>
              <w:rPr>
                <w:rFonts w:ascii="Calibri" w:eastAsia="Calibri" w:hAnsi="Calibri" w:cs="Calibri"/>
              </w:rPr>
            </w:pPr>
            <w:r>
              <w:rPr>
                <w:rFonts w:ascii="Calibri" w:eastAsia="Calibri" w:hAnsi="Calibri" w:cs="Calibri"/>
              </w:rPr>
              <w:t>All reports received by the SpeakUp system are received by IDH confidential advisors, who will evaluate and assess the information received, and thereby determine the appropriate action. The confidential advisor can reply to the reporter with feedback on the report or with any further questions. In that case, the reporter may provide further information. Following this, the advisor will decide how to handle the case and the necessary steps moving forward and potentially, the outcome of the grievance. The reporter will then receive a confirmation of receipt within one week with an estimation of the time that will be needed to handle and access the grievance(s).</w:t>
            </w:r>
          </w:p>
          <w:p w14:paraId="13183B10" w14:textId="77777777" w:rsidR="00446431" w:rsidRDefault="00EA3662">
            <w:pPr>
              <w:spacing w:before="120"/>
              <w:jc w:val="both"/>
              <w:rPr>
                <w:rFonts w:ascii="Calibri" w:eastAsia="Calibri" w:hAnsi="Calibri" w:cs="Calibri"/>
              </w:rPr>
            </w:pPr>
            <w:bookmarkStart w:id="1" w:name="_heading=h.c6x9o9yulvvp" w:colFirst="0" w:colLast="0"/>
            <w:bookmarkEnd w:id="1"/>
            <w:r>
              <w:rPr>
                <w:rFonts w:ascii="Calibri" w:eastAsia="Calibri" w:hAnsi="Calibri" w:cs="Calibri"/>
              </w:rPr>
              <w:t>Confidentiality and anonymity are possible as the SpeakUp system is run by an independent third party and additionally if a reporter wishes to remain anonymous, they may do so. It is, however, encouraged not to remain anonymous as it is more difficult or even impossible to investigate these reports.</w:t>
            </w:r>
          </w:p>
          <w:p w14:paraId="239E8BBD" w14:textId="77777777" w:rsidR="00446431" w:rsidRDefault="00EA3662">
            <w:pPr>
              <w:spacing w:before="120"/>
              <w:jc w:val="both"/>
              <w:rPr>
                <w:rFonts w:ascii="Calibri" w:eastAsia="Calibri" w:hAnsi="Calibri" w:cs="Calibri"/>
              </w:rPr>
            </w:pPr>
            <w:bookmarkStart w:id="2" w:name="_heading=h.h6og8ub34eeo" w:colFirst="0" w:colLast="0"/>
            <w:bookmarkEnd w:id="2"/>
            <w:r>
              <w:rPr>
                <w:rFonts w:ascii="Calibri" w:eastAsia="Calibri" w:hAnsi="Calibri" w:cs="Calibri"/>
              </w:rPr>
              <w:t>Grievance forms will be identified from other IDH projects through the form process in which during AGM socialization stakeholders will be informed to provide sufficient information or reference to the GEF project, it will make the screening process more timely and accurate.</w:t>
            </w:r>
          </w:p>
          <w:p w14:paraId="14638A9C" w14:textId="77777777" w:rsidR="00446431" w:rsidRDefault="00EA3662">
            <w:pPr>
              <w:spacing w:before="120"/>
              <w:jc w:val="both"/>
              <w:rPr>
                <w:rFonts w:ascii="Calibri" w:eastAsia="Calibri" w:hAnsi="Calibri" w:cs="Calibri"/>
              </w:rPr>
            </w:pPr>
            <w:bookmarkStart w:id="3" w:name="_heading=h.8wnmvyxzc3fb" w:colFirst="0" w:colLast="0"/>
            <w:bookmarkEnd w:id="3"/>
            <w:r>
              <w:rPr>
                <w:rFonts w:ascii="Calibri" w:eastAsia="Calibri" w:hAnsi="Calibri" w:cs="Calibri"/>
              </w:rPr>
              <w:t>When the concern raised is of serious nature and warrants an investigation, the confidential advisor will refer the case to an investigation committee that will be composed of the most appropriate persons for the specific case at hand. The investigation committee will interview the person that has reached out with the concern if known,  and other people involved (anonymously if so requested) and will document such interviews appropriately and share the report with the interviewees for their approval and signing.</w:t>
            </w:r>
          </w:p>
          <w:p w14:paraId="49C937F2" w14:textId="77777777" w:rsidR="00446431" w:rsidRDefault="00EA3662">
            <w:pPr>
              <w:pBdr>
                <w:top w:val="nil"/>
                <w:left w:val="nil"/>
                <w:bottom w:val="nil"/>
                <w:right w:val="nil"/>
                <w:between w:val="nil"/>
              </w:pBdr>
              <w:spacing w:before="120"/>
              <w:jc w:val="both"/>
              <w:rPr>
                <w:rFonts w:ascii="Calibri" w:eastAsia="Calibri" w:hAnsi="Calibri" w:cs="Calibri"/>
                <w:highlight w:val="white"/>
              </w:rPr>
            </w:pPr>
            <w:r>
              <w:rPr>
                <w:rFonts w:ascii="Calibri" w:eastAsia="Calibri" w:hAnsi="Calibri" w:cs="Calibri"/>
              </w:rPr>
              <w:t xml:space="preserve">If misconduct is noted, then appropriate measures will be taken in accordance with the law, IDH Code of Conduct, and terms of employment. IDH will then inform the reporter within eight weeks of the initial reporting of these measures. If the Executive Board cannot inform of a specific time, then a written explanation of the delay will be received with a maximum delay of four weeks. Following the investigation, the Executive Board will decide if any external organisation(s) will be informed. </w:t>
            </w:r>
          </w:p>
          <w:p w14:paraId="47741E5F" w14:textId="77777777" w:rsidR="00446431" w:rsidRDefault="00EA3662">
            <w:pPr>
              <w:pBdr>
                <w:top w:val="nil"/>
                <w:left w:val="nil"/>
                <w:bottom w:val="nil"/>
                <w:right w:val="nil"/>
                <w:between w:val="nil"/>
              </w:pBdr>
              <w:spacing w:before="120"/>
              <w:jc w:val="both"/>
              <w:rPr>
                <w:rFonts w:ascii="Calibri" w:eastAsia="Calibri" w:hAnsi="Calibri" w:cs="Calibri"/>
              </w:rPr>
            </w:pPr>
            <w:r>
              <w:rPr>
                <w:rFonts w:ascii="Calibri" w:eastAsia="Calibri" w:hAnsi="Calibri" w:cs="Calibri"/>
              </w:rPr>
              <w:t xml:space="preserve">Diagram 1. below summarises the grievance process. This additionally highlights that if a concern does not warrant an investigation, but is of significant nature, the case will be referred to the Executive Board who will in turn handle the case and decide the outcome. </w:t>
            </w:r>
          </w:p>
          <w:p w14:paraId="4CBE0C16" w14:textId="77777777" w:rsidR="00446431" w:rsidRDefault="00446431">
            <w:pPr>
              <w:pBdr>
                <w:top w:val="nil"/>
                <w:left w:val="nil"/>
                <w:bottom w:val="nil"/>
                <w:right w:val="nil"/>
                <w:between w:val="nil"/>
              </w:pBdr>
              <w:spacing w:before="120"/>
              <w:jc w:val="both"/>
              <w:rPr>
                <w:rFonts w:ascii="Calibri" w:eastAsia="Calibri" w:hAnsi="Calibri" w:cs="Calibri"/>
              </w:rPr>
            </w:pPr>
          </w:p>
          <w:p w14:paraId="31E27F36" w14:textId="77777777" w:rsidR="00446431" w:rsidRDefault="00446431">
            <w:pPr>
              <w:pBdr>
                <w:top w:val="nil"/>
                <w:left w:val="nil"/>
                <w:bottom w:val="nil"/>
                <w:right w:val="nil"/>
                <w:between w:val="nil"/>
              </w:pBdr>
              <w:spacing w:before="120"/>
              <w:jc w:val="both"/>
              <w:rPr>
                <w:rFonts w:ascii="Calibri" w:eastAsia="Calibri" w:hAnsi="Calibri" w:cs="Calibri"/>
              </w:rPr>
            </w:pPr>
          </w:p>
          <w:p w14:paraId="5936FE93" w14:textId="77777777" w:rsidR="00446431" w:rsidRDefault="00446431">
            <w:pPr>
              <w:pBdr>
                <w:top w:val="nil"/>
                <w:left w:val="nil"/>
                <w:bottom w:val="nil"/>
                <w:right w:val="nil"/>
                <w:between w:val="nil"/>
              </w:pBdr>
              <w:spacing w:before="120"/>
              <w:jc w:val="both"/>
              <w:rPr>
                <w:rFonts w:ascii="Calibri" w:eastAsia="Calibri" w:hAnsi="Calibri" w:cs="Calibri"/>
              </w:rPr>
            </w:pPr>
          </w:p>
          <w:p w14:paraId="2DD143F1" w14:textId="77777777" w:rsidR="00446431" w:rsidRDefault="00446431">
            <w:pPr>
              <w:pBdr>
                <w:top w:val="nil"/>
                <w:left w:val="nil"/>
                <w:bottom w:val="nil"/>
                <w:right w:val="nil"/>
                <w:between w:val="nil"/>
              </w:pBdr>
              <w:spacing w:before="120"/>
              <w:jc w:val="both"/>
              <w:rPr>
                <w:rFonts w:ascii="Calibri" w:eastAsia="Calibri" w:hAnsi="Calibri" w:cs="Calibri"/>
              </w:rPr>
            </w:pPr>
          </w:p>
          <w:p w14:paraId="502835AA" w14:textId="77777777" w:rsidR="00446431" w:rsidRDefault="00446431">
            <w:pPr>
              <w:pBdr>
                <w:top w:val="nil"/>
                <w:left w:val="nil"/>
                <w:bottom w:val="nil"/>
                <w:right w:val="nil"/>
                <w:between w:val="nil"/>
              </w:pBdr>
              <w:spacing w:before="120"/>
              <w:jc w:val="both"/>
              <w:rPr>
                <w:rFonts w:ascii="Calibri" w:eastAsia="Calibri" w:hAnsi="Calibri" w:cs="Calibri"/>
              </w:rPr>
            </w:pPr>
          </w:p>
          <w:p w14:paraId="319F8EAE" w14:textId="77777777" w:rsidR="00446431" w:rsidRDefault="00446431">
            <w:pPr>
              <w:pBdr>
                <w:top w:val="nil"/>
                <w:left w:val="nil"/>
                <w:bottom w:val="nil"/>
                <w:right w:val="nil"/>
                <w:between w:val="nil"/>
              </w:pBdr>
              <w:spacing w:before="120"/>
              <w:jc w:val="both"/>
              <w:rPr>
                <w:rFonts w:ascii="Calibri" w:eastAsia="Calibri" w:hAnsi="Calibri" w:cs="Calibri"/>
              </w:rPr>
            </w:pPr>
          </w:p>
          <w:p w14:paraId="51316D78" w14:textId="77777777" w:rsidR="00446431" w:rsidRDefault="00EA3662">
            <w:pPr>
              <w:pBdr>
                <w:top w:val="nil"/>
                <w:left w:val="nil"/>
                <w:bottom w:val="nil"/>
                <w:right w:val="nil"/>
                <w:between w:val="nil"/>
              </w:pBdr>
              <w:spacing w:before="120"/>
              <w:rPr>
                <w:rFonts w:ascii="Calibri" w:eastAsia="Calibri" w:hAnsi="Calibri" w:cs="Calibri"/>
                <w:u w:val="single"/>
              </w:rPr>
            </w:pPr>
            <w:r>
              <w:rPr>
                <w:rFonts w:ascii="Calibri" w:eastAsia="Calibri" w:hAnsi="Calibri" w:cs="Calibri"/>
                <w:u w:val="single"/>
              </w:rPr>
              <w:t>Diagram 1.  IDH Speakup Policy Grievance Structure</w:t>
            </w:r>
          </w:p>
          <w:p w14:paraId="704180A3" w14:textId="77777777" w:rsidR="00446431" w:rsidRDefault="00EA3662">
            <w:pPr>
              <w:pBdr>
                <w:top w:val="nil"/>
                <w:left w:val="nil"/>
                <w:bottom w:val="nil"/>
                <w:right w:val="nil"/>
                <w:between w:val="nil"/>
              </w:pBdr>
              <w:spacing w:before="120"/>
              <w:jc w:val="both"/>
              <w:rPr>
                <w:rFonts w:ascii="Calibri" w:eastAsia="Calibri" w:hAnsi="Calibri" w:cs="Calibri"/>
              </w:rPr>
            </w:pPr>
            <w:r>
              <w:rPr>
                <w:rFonts w:ascii="Calibri" w:eastAsia="Calibri" w:hAnsi="Calibri" w:cs="Calibri"/>
              </w:rPr>
              <w:t xml:space="preserve">If one finds that their concern or one against themselves has not been dealt with appropriately or performed correctly or if one has not been informed by the Executive Board about the position of the organisation within the time mentioned previously, they are able to indicate this to the Executive Board or Supervisory Board. </w:t>
            </w:r>
            <w:r>
              <w:rPr>
                <w:noProof/>
              </w:rPr>
              <w:drawing>
                <wp:anchor distT="114300" distB="114300" distL="114300" distR="114300" simplePos="0" relativeHeight="251658240" behindDoc="0" locked="0" layoutInCell="1" hidden="0" allowOverlap="1" wp14:anchorId="34B4B168" wp14:editId="1306C11E">
                  <wp:simplePos x="0" y="0"/>
                  <wp:positionH relativeFrom="column">
                    <wp:posOffset>47627</wp:posOffset>
                  </wp:positionH>
                  <wp:positionV relativeFrom="paragraph">
                    <wp:posOffset>228600</wp:posOffset>
                  </wp:positionV>
                  <wp:extent cx="6076950" cy="3476625"/>
                  <wp:effectExtent l="0" t="0" r="0" b="0"/>
                  <wp:wrapTopAndBottom distT="114300" distB="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6076950" cy="3476625"/>
                          </a:xfrm>
                          <a:prstGeom prst="rect">
                            <a:avLst/>
                          </a:prstGeom>
                          <a:ln/>
                        </pic:spPr>
                      </pic:pic>
                    </a:graphicData>
                  </a:graphic>
                </wp:anchor>
              </w:drawing>
            </w:r>
          </w:p>
          <w:p w14:paraId="1BF0EA93" w14:textId="77777777" w:rsidR="00446431" w:rsidRDefault="00EA3662">
            <w:pPr>
              <w:pBdr>
                <w:top w:val="nil"/>
                <w:left w:val="nil"/>
                <w:bottom w:val="nil"/>
                <w:right w:val="nil"/>
                <w:between w:val="nil"/>
              </w:pBdr>
              <w:spacing w:before="120"/>
              <w:jc w:val="both"/>
              <w:rPr>
                <w:rFonts w:ascii="Calibri" w:eastAsia="Calibri" w:hAnsi="Calibri" w:cs="Calibri"/>
              </w:rPr>
            </w:pPr>
            <w:r>
              <w:rPr>
                <w:rFonts w:ascii="Calibri" w:eastAsia="Calibri" w:hAnsi="Calibri" w:cs="Calibri"/>
              </w:rPr>
              <w:t xml:space="preserve">Retaliation is not acceptable in this system. IDH prioritizes an open and transparent culture where all reporters feel safe. If a reporter notices retaliation or punishment against themselves or anyone else for raising a concern in good faith, the same reporting channels can be used and the report on retaliation will follow the same procedure as grievance reports. </w:t>
            </w:r>
            <w:r>
              <w:rPr>
                <w:rFonts w:ascii="Calibri" w:eastAsia="Calibri" w:hAnsi="Calibri" w:cs="Calibri"/>
                <w:highlight w:val="white"/>
              </w:rPr>
              <w:t xml:space="preserve">IDH ensures the translation of grievances received in Spanish for analysis and resolution where needed. </w:t>
            </w:r>
          </w:p>
          <w:p w14:paraId="0463B889" w14:textId="77777777" w:rsidR="00446431" w:rsidRDefault="00EA3662">
            <w:pPr>
              <w:spacing w:before="120"/>
              <w:jc w:val="both"/>
              <w:rPr>
                <w:rFonts w:ascii="Calibri" w:eastAsia="Calibri" w:hAnsi="Calibri" w:cs="Calibri"/>
                <w:i/>
              </w:rPr>
            </w:pPr>
            <w:r>
              <w:rPr>
                <w:rFonts w:ascii="Calibri" w:eastAsia="Calibri" w:hAnsi="Calibri" w:cs="Calibri"/>
                <w:i/>
              </w:rPr>
              <w:t xml:space="preserve">Please note that if the process does not result in the resolution of the grievance, or if the grievant prefers, s/he may choose to file a claim through CI’s EthicsPoint Hotline at </w:t>
            </w:r>
            <w:hyperlink r:id="rId20">
              <w:r>
                <w:rPr>
                  <w:rFonts w:ascii="Calibri" w:eastAsia="Calibri" w:hAnsi="Calibri" w:cs="Calibri"/>
                  <w:i/>
                  <w:color w:val="0000FF"/>
                  <w:u w:val="single"/>
                </w:rPr>
                <w:t>https://secure.ethicspoint.com</w:t>
              </w:r>
            </w:hyperlink>
            <w:r>
              <w:rPr>
                <w:rFonts w:ascii="Calibri" w:eastAsia="Calibri" w:hAnsi="Calibri" w:cs="Calibri"/>
                <w:i/>
              </w:rPr>
              <w:t xml:space="preserve">  Alternatively, the grievant may file a claim with the Director of Compliance (DOC) who is responsible for the CI Accountability and Grievance Mechanism and who can be reached at:  Director of Compliance, Conservation International 2011 Crystal Drive, Suite 600 Arlington, VA 22202, USA. This information must be contained in the AGM and disseminated to all project stakeholders.</w:t>
            </w:r>
          </w:p>
          <w:p w14:paraId="00AB1CEA" w14:textId="77777777" w:rsidR="00446431" w:rsidRDefault="00446431">
            <w:pPr>
              <w:spacing w:before="120"/>
              <w:rPr>
                <w:rFonts w:ascii="Calibri" w:eastAsia="Calibri" w:hAnsi="Calibri" w:cs="Calibri"/>
                <w:i/>
              </w:rPr>
            </w:pPr>
          </w:p>
          <w:p w14:paraId="3F80F8E0" w14:textId="77777777" w:rsidR="00446431" w:rsidRDefault="00EA3662">
            <w:pPr>
              <w:pBdr>
                <w:top w:val="nil"/>
                <w:left w:val="nil"/>
                <w:bottom w:val="nil"/>
                <w:right w:val="nil"/>
                <w:between w:val="nil"/>
              </w:pBdr>
              <w:rPr>
                <w:rFonts w:ascii="Calibri" w:eastAsia="Calibri" w:hAnsi="Calibri" w:cs="Calibri"/>
                <w:b/>
                <w:i/>
                <w:sz w:val="24"/>
                <w:szCs w:val="24"/>
              </w:rPr>
            </w:pPr>
            <w:r>
              <w:rPr>
                <w:rFonts w:ascii="Calibri" w:eastAsia="Calibri" w:hAnsi="Calibri" w:cs="Calibri"/>
                <w:color w:val="000000"/>
                <w:sz w:val="28"/>
                <w:szCs w:val="28"/>
              </w:rPr>
              <w:t>Documentation</w:t>
            </w:r>
            <w:r>
              <w:rPr>
                <w:rFonts w:ascii="Calibri" w:eastAsia="Calibri" w:hAnsi="Calibri" w:cs="Calibri"/>
                <w:i/>
                <w:color w:val="000000"/>
                <w:sz w:val="24"/>
                <w:szCs w:val="24"/>
              </w:rPr>
              <w:t xml:space="preserve"> </w:t>
            </w:r>
          </w:p>
          <w:p w14:paraId="51D8883C" w14:textId="77777777" w:rsidR="00446431" w:rsidRDefault="00446431">
            <w:pPr>
              <w:pBdr>
                <w:top w:val="nil"/>
                <w:left w:val="nil"/>
                <w:bottom w:val="nil"/>
                <w:right w:val="nil"/>
                <w:between w:val="nil"/>
              </w:pBdr>
              <w:rPr>
                <w:rFonts w:ascii="Calibri" w:eastAsia="Calibri" w:hAnsi="Calibri" w:cs="Calibri"/>
                <w:b/>
                <w:i/>
              </w:rPr>
            </w:pPr>
          </w:p>
          <w:p w14:paraId="7AEF4973" w14:textId="77777777" w:rsidR="00446431" w:rsidRDefault="00EA3662">
            <w:pPr>
              <w:jc w:val="both"/>
              <w:rPr>
                <w:rFonts w:ascii="Calibri" w:eastAsia="Calibri" w:hAnsi="Calibri" w:cs="Calibri"/>
              </w:rPr>
            </w:pPr>
            <w:r>
              <w:rPr>
                <w:rFonts w:ascii="Calibri" w:eastAsia="Calibri" w:hAnsi="Calibri" w:cs="Calibri"/>
              </w:rPr>
              <w:t xml:space="preserve">After reporting by phone or online, the reporter of the grievance will receive a personal referral number. This is the number of a personal access code to IDH’s Speak Up system and one’s report. With this referral number, an individual can track their report and add additional information. All reporting remains confidential. This means that information about your concern will only be shared with a limited number of people and on a strict need-to-know basis. The third party that hosts the SpeakUp system will never disclose voice-file, IP addresses or phone numbers unless one of the two situations below applies. In these situations, voice file, IP addresses </w:t>
            </w:r>
            <w:r>
              <w:rPr>
                <w:rFonts w:ascii="Calibri" w:eastAsia="Calibri" w:hAnsi="Calibri" w:cs="Calibri"/>
              </w:rPr>
              <w:lastRenderedPageBreak/>
              <w:t>or phone numbers might be handed over to the authorities, but never to IDH:</w:t>
            </w:r>
          </w:p>
          <w:p w14:paraId="48E1B0F2" w14:textId="77777777" w:rsidR="00446431" w:rsidRDefault="00446431">
            <w:pPr>
              <w:jc w:val="both"/>
              <w:rPr>
                <w:rFonts w:ascii="Calibri" w:eastAsia="Calibri" w:hAnsi="Calibri" w:cs="Calibri"/>
              </w:rPr>
            </w:pPr>
          </w:p>
          <w:p w14:paraId="154E0A9C" w14:textId="77777777" w:rsidR="00446431" w:rsidRDefault="00EA3662">
            <w:pPr>
              <w:numPr>
                <w:ilvl w:val="0"/>
                <w:numId w:val="1"/>
              </w:numPr>
              <w:jc w:val="both"/>
              <w:rPr>
                <w:rFonts w:ascii="Calibri" w:eastAsia="Calibri" w:hAnsi="Calibri" w:cs="Calibri"/>
              </w:rPr>
            </w:pPr>
            <w:r>
              <w:rPr>
                <w:rFonts w:ascii="Calibri" w:eastAsia="Calibri" w:hAnsi="Calibri" w:cs="Calibri"/>
              </w:rPr>
              <w:t>In cases where it is established that a report has been made in bad faith</w:t>
            </w:r>
          </w:p>
          <w:p w14:paraId="6DF9BC37" w14:textId="77777777" w:rsidR="00446431" w:rsidRDefault="00EA3662">
            <w:pPr>
              <w:numPr>
                <w:ilvl w:val="0"/>
                <w:numId w:val="1"/>
              </w:numPr>
              <w:jc w:val="both"/>
              <w:rPr>
                <w:rFonts w:ascii="Calibri" w:eastAsia="Calibri" w:hAnsi="Calibri" w:cs="Calibri"/>
              </w:rPr>
            </w:pPr>
            <w:r>
              <w:rPr>
                <w:rFonts w:ascii="Calibri" w:eastAsia="Calibri" w:hAnsi="Calibri" w:cs="Calibri"/>
              </w:rPr>
              <w:t>If the report itself is a criminal offence (e.g. a serious threat)</w:t>
            </w:r>
          </w:p>
          <w:p w14:paraId="20B67701" w14:textId="77777777" w:rsidR="00446431" w:rsidRDefault="00446431">
            <w:pPr>
              <w:rPr>
                <w:rFonts w:ascii="Calibri" w:eastAsia="Calibri" w:hAnsi="Calibri" w:cs="Calibri"/>
              </w:rPr>
            </w:pPr>
          </w:p>
          <w:p w14:paraId="13001FEE" w14:textId="77777777" w:rsidR="00446431" w:rsidRDefault="00EA3662">
            <w:pPr>
              <w:jc w:val="both"/>
              <w:rPr>
                <w:rFonts w:ascii="Calibri" w:eastAsia="Calibri" w:hAnsi="Calibri" w:cs="Calibri"/>
              </w:rPr>
            </w:pPr>
            <w:r>
              <w:rPr>
                <w:rFonts w:ascii="Calibri" w:eastAsia="Calibri" w:hAnsi="Calibri" w:cs="Calibri"/>
              </w:rPr>
              <w:t>IDH is committed to protecting the privacy of everyone involved. The SpeakUp policy relies on the processing of personal data, therefore, data protection laws are applicable. IDH complies with the applicable laws.</w:t>
            </w:r>
          </w:p>
          <w:p w14:paraId="06D5BAA4" w14:textId="77777777" w:rsidR="00446431" w:rsidRDefault="00446431">
            <w:pPr>
              <w:rPr>
                <w:rFonts w:ascii="Calibri" w:eastAsia="Calibri" w:hAnsi="Calibri" w:cs="Calibri"/>
              </w:rPr>
            </w:pPr>
          </w:p>
          <w:p w14:paraId="5065DC80" w14:textId="77777777" w:rsidR="00446431" w:rsidRDefault="00EA3662">
            <w:pPr>
              <w:rPr>
                <w:rFonts w:ascii="Calibri" w:eastAsia="Calibri" w:hAnsi="Calibri" w:cs="Calibri"/>
              </w:rPr>
            </w:pPr>
            <w:r>
              <w:rPr>
                <w:rFonts w:ascii="Calibri" w:eastAsia="Calibri" w:hAnsi="Calibri" w:cs="Calibri"/>
              </w:rPr>
              <w:t>More details on IDH’s Privacy Statement can be found here:</w:t>
            </w:r>
          </w:p>
          <w:p w14:paraId="6EC8F9CE" w14:textId="77777777" w:rsidR="00446431" w:rsidRDefault="00FA666D">
            <w:pPr>
              <w:rPr>
                <w:rFonts w:ascii="Calibri" w:eastAsia="Calibri" w:hAnsi="Calibri" w:cs="Calibri"/>
              </w:rPr>
            </w:pPr>
            <w:hyperlink r:id="rId21">
              <w:r w:rsidR="00EA3662">
                <w:rPr>
                  <w:rFonts w:ascii="Calibri" w:eastAsia="Calibri" w:hAnsi="Calibri" w:cs="Calibri"/>
                  <w:color w:val="1155CC"/>
                  <w:u w:val="single"/>
                </w:rPr>
                <w:t>https://www.idhsustainabletrade.com/privacy-statement/</w:t>
              </w:r>
            </w:hyperlink>
          </w:p>
          <w:p w14:paraId="2F2455D6" w14:textId="77777777" w:rsidR="00446431" w:rsidRDefault="00446431">
            <w:pPr>
              <w:rPr>
                <w:rFonts w:ascii="Calibri" w:eastAsia="Calibri" w:hAnsi="Calibri" w:cs="Calibri"/>
                <w:i/>
              </w:rPr>
            </w:pPr>
          </w:p>
        </w:tc>
      </w:tr>
    </w:tbl>
    <w:p w14:paraId="6778B7F8" w14:textId="77777777" w:rsidR="00446431" w:rsidRDefault="00446431">
      <w:pPr>
        <w:tabs>
          <w:tab w:val="left" w:pos="3000"/>
        </w:tabs>
        <w:rPr>
          <w:rFonts w:ascii="Calibri" w:eastAsia="Calibri" w:hAnsi="Calibri" w:cs="Calibri"/>
          <w:b/>
          <w:sz w:val="28"/>
          <w:szCs w:val="28"/>
        </w:rPr>
      </w:pPr>
    </w:p>
    <w:p w14:paraId="1D369E8E" w14:textId="77777777" w:rsidR="00446431" w:rsidRDefault="00446431">
      <w:pPr>
        <w:pBdr>
          <w:top w:val="nil"/>
          <w:left w:val="nil"/>
          <w:bottom w:val="nil"/>
          <w:right w:val="nil"/>
          <w:between w:val="nil"/>
        </w:pBdr>
        <w:rPr>
          <w:rFonts w:ascii="Calibri" w:eastAsia="Calibri" w:hAnsi="Calibri" w:cs="Calibri"/>
          <w:color w:val="000000"/>
          <w:sz w:val="24"/>
          <w:szCs w:val="24"/>
        </w:rPr>
      </w:pPr>
    </w:p>
    <w:p w14:paraId="536D71EB" w14:textId="77777777" w:rsidR="00446431" w:rsidRDefault="00EA3662">
      <w:pPr>
        <w:pBdr>
          <w:top w:val="nil"/>
          <w:left w:val="nil"/>
          <w:bottom w:val="single" w:sz="4" w:space="1" w:color="000000"/>
          <w:right w:val="nil"/>
          <w:between w:val="nil"/>
        </w:pBdr>
        <w:rPr>
          <w:rFonts w:ascii="Calibri" w:eastAsia="Calibri" w:hAnsi="Calibri" w:cs="Calibri"/>
          <w:i/>
          <w:sz w:val="24"/>
          <w:szCs w:val="24"/>
          <w:highlight w:val="yellow"/>
        </w:rPr>
      </w:pPr>
      <w:r>
        <w:rPr>
          <w:rFonts w:ascii="Calibri" w:eastAsia="Calibri" w:hAnsi="Calibri" w:cs="Calibri"/>
          <w:color w:val="000000"/>
          <w:sz w:val="28"/>
          <w:szCs w:val="28"/>
        </w:rPr>
        <w:t>SECTION VI: Monitoring and Reporting</w:t>
      </w:r>
    </w:p>
    <w:p w14:paraId="28B83763" w14:textId="77777777" w:rsidR="00446431" w:rsidRDefault="00446431">
      <w:pPr>
        <w:pBdr>
          <w:top w:val="nil"/>
          <w:left w:val="nil"/>
          <w:bottom w:val="nil"/>
          <w:right w:val="nil"/>
          <w:between w:val="nil"/>
        </w:pBdr>
        <w:jc w:val="both"/>
        <w:rPr>
          <w:rFonts w:ascii="Calibri" w:eastAsia="Calibri" w:hAnsi="Calibri" w:cs="Calibri"/>
        </w:rPr>
      </w:pPr>
    </w:p>
    <w:p w14:paraId="3E31A3D6" w14:textId="77777777" w:rsidR="00446431" w:rsidRDefault="00EA3662">
      <w:pPr>
        <w:pBdr>
          <w:top w:val="nil"/>
          <w:left w:val="nil"/>
          <w:bottom w:val="nil"/>
          <w:right w:val="nil"/>
          <w:between w:val="nil"/>
        </w:pBdr>
        <w:jc w:val="both"/>
        <w:rPr>
          <w:rFonts w:ascii="Calibri" w:eastAsia="Calibri" w:hAnsi="Calibri" w:cs="Calibri"/>
        </w:rPr>
      </w:pPr>
      <w:r>
        <w:rPr>
          <w:rFonts w:ascii="Calibri" w:eastAsia="Calibri" w:hAnsi="Calibri" w:cs="Calibri"/>
        </w:rPr>
        <w:t>All reported grievances will be tracked and assessed on the extent to which progress has been made to resolve reports. In the possibility that grievances are found to not be fairly resolved, in addition to the opportunity for reporting persons to take follow-up reports, the mechanism will be evaluated for adaptation. If no grievances have been identified, stakeholders will have the opportunity to evaluate and assess how their engagement and activities are progressing. If negative feedback in relation to any possible grievances is found, then the mechanism will be assessed to determine why the mechanism was not utilised to meet expectations. Following assessments of the mechanism, changes to the mechanism may occur to minimise similar future grievances.</w:t>
      </w:r>
    </w:p>
    <w:p w14:paraId="11671E8A" w14:textId="77777777" w:rsidR="00446431" w:rsidRDefault="00446431">
      <w:pPr>
        <w:pBdr>
          <w:top w:val="nil"/>
          <w:left w:val="nil"/>
          <w:bottom w:val="nil"/>
          <w:right w:val="nil"/>
          <w:between w:val="nil"/>
        </w:pBdr>
        <w:jc w:val="both"/>
        <w:rPr>
          <w:rFonts w:ascii="Calibri" w:eastAsia="Calibri" w:hAnsi="Calibri" w:cs="Calibri"/>
          <w:b/>
          <w:i/>
        </w:rPr>
      </w:pPr>
    </w:p>
    <w:p w14:paraId="3C0B46C9" w14:textId="77777777" w:rsidR="00446431" w:rsidRDefault="00EA3662">
      <w:pPr>
        <w:pBdr>
          <w:top w:val="nil"/>
          <w:left w:val="nil"/>
          <w:bottom w:val="nil"/>
          <w:right w:val="nil"/>
          <w:between w:val="nil"/>
        </w:pBdr>
        <w:jc w:val="both"/>
        <w:rPr>
          <w:rFonts w:ascii="Calibri" w:eastAsia="Calibri" w:hAnsi="Calibri" w:cs="Calibri"/>
          <w:b/>
        </w:rPr>
      </w:pPr>
      <w:r>
        <w:rPr>
          <w:rFonts w:ascii="Calibri" w:eastAsia="Calibri" w:hAnsi="Calibri" w:cs="Calibri"/>
        </w:rPr>
        <w:t xml:space="preserve">The project is expected to report on a quarterly basis (using the CI-GEF Quarterly Reporting template), progress made towards the implementation of the grievance mechanism, including the number of grievances received and the outcome of the grievance process, if any. </w:t>
      </w:r>
    </w:p>
    <w:p w14:paraId="17A75EC5" w14:textId="77777777" w:rsidR="00446431" w:rsidRDefault="00446431">
      <w:pPr>
        <w:pBdr>
          <w:top w:val="nil"/>
          <w:left w:val="nil"/>
          <w:bottom w:val="nil"/>
          <w:right w:val="nil"/>
          <w:between w:val="nil"/>
        </w:pBdr>
        <w:jc w:val="both"/>
        <w:rPr>
          <w:rFonts w:ascii="Calibri" w:eastAsia="Calibri" w:hAnsi="Calibri" w:cs="Calibri"/>
          <w:b/>
        </w:rPr>
      </w:pPr>
    </w:p>
    <w:p w14:paraId="0AEB6591" w14:textId="77777777" w:rsidR="00446431" w:rsidRDefault="00EA3662">
      <w:pPr>
        <w:pBdr>
          <w:top w:val="nil"/>
          <w:left w:val="nil"/>
          <w:bottom w:val="nil"/>
          <w:right w:val="nil"/>
          <w:between w:val="nil"/>
        </w:pBdr>
        <w:jc w:val="both"/>
        <w:rPr>
          <w:rFonts w:ascii="Calibri" w:eastAsia="Calibri" w:hAnsi="Calibri" w:cs="Calibri"/>
          <w:b/>
        </w:rPr>
      </w:pPr>
      <w:r>
        <w:rPr>
          <w:rFonts w:ascii="Calibri" w:eastAsia="Calibri" w:hAnsi="Calibri" w:cs="Calibri"/>
        </w:rPr>
        <w:t>On an annual basis and using the CI-GEF Project Implementation Report (PIR) template, the following CI-GEF’s minimum indicators are to be reported. The project can include other appropriate accountability and grievance indicators in addition to the CI-GEF/GCF’s indicators.</w:t>
      </w:r>
    </w:p>
    <w:p w14:paraId="03A40F6C" w14:textId="77777777" w:rsidR="00446431" w:rsidRDefault="00446431">
      <w:pPr>
        <w:pBdr>
          <w:top w:val="nil"/>
          <w:left w:val="nil"/>
          <w:bottom w:val="nil"/>
          <w:right w:val="nil"/>
          <w:between w:val="nil"/>
        </w:pBdr>
        <w:rPr>
          <w:rFonts w:ascii="Calibri" w:eastAsia="Calibri" w:hAnsi="Calibri" w:cs="Calibri"/>
          <w:color w:val="000000"/>
          <w:sz w:val="24"/>
          <w:szCs w:val="24"/>
        </w:rPr>
      </w:pPr>
    </w:p>
    <w:tbl>
      <w:tblPr>
        <w:tblStyle w:val="ab"/>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0"/>
        <w:gridCol w:w="1080"/>
        <w:gridCol w:w="1080"/>
      </w:tblGrid>
      <w:tr w:rsidR="00446431" w14:paraId="5249C30C" w14:textId="77777777">
        <w:tc>
          <w:tcPr>
            <w:tcW w:w="7200" w:type="dxa"/>
          </w:tcPr>
          <w:p w14:paraId="47F04800" w14:textId="77777777" w:rsidR="00446431" w:rsidRDefault="00EA3662">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color w:val="000000"/>
                <w:sz w:val="20"/>
                <w:szCs w:val="20"/>
              </w:rPr>
              <w:t>Indicator</w:t>
            </w:r>
          </w:p>
        </w:tc>
        <w:tc>
          <w:tcPr>
            <w:tcW w:w="1080" w:type="dxa"/>
          </w:tcPr>
          <w:p w14:paraId="6806F074" w14:textId="77777777" w:rsidR="00446431" w:rsidRDefault="00EA3662">
            <w:pPr>
              <w:pBdr>
                <w:top w:val="nil"/>
                <w:left w:val="nil"/>
                <w:bottom w:val="nil"/>
                <w:right w:val="nil"/>
                <w:between w:val="nil"/>
              </w:pBdr>
              <w:jc w:val="center"/>
              <w:rPr>
                <w:rFonts w:ascii="Calibri" w:eastAsia="Calibri" w:hAnsi="Calibri" w:cs="Calibri"/>
                <w:i/>
                <w:color w:val="000000"/>
                <w:sz w:val="20"/>
                <w:szCs w:val="20"/>
              </w:rPr>
            </w:pPr>
            <w:r>
              <w:rPr>
                <w:rFonts w:ascii="Calibri" w:eastAsia="Calibri" w:hAnsi="Calibri" w:cs="Calibri"/>
                <w:color w:val="000000"/>
                <w:sz w:val="20"/>
                <w:szCs w:val="20"/>
              </w:rPr>
              <w:t>Baseline</w:t>
            </w:r>
          </w:p>
        </w:tc>
        <w:tc>
          <w:tcPr>
            <w:tcW w:w="1080" w:type="dxa"/>
          </w:tcPr>
          <w:p w14:paraId="6D4384C7" w14:textId="77777777" w:rsidR="00446431" w:rsidRDefault="00EA3662">
            <w:pPr>
              <w:pBdr>
                <w:top w:val="nil"/>
                <w:left w:val="nil"/>
                <w:bottom w:val="nil"/>
                <w:right w:val="nil"/>
                <w:between w:val="nil"/>
              </w:pBdr>
              <w:jc w:val="center"/>
              <w:rPr>
                <w:rFonts w:ascii="Calibri" w:eastAsia="Calibri" w:hAnsi="Calibri" w:cs="Calibri"/>
                <w:i/>
                <w:color w:val="000000"/>
                <w:sz w:val="20"/>
                <w:szCs w:val="20"/>
              </w:rPr>
            </w:pPr>
            <w:r>
              <w:rPr>
                <w:rFonts w:ascii="Calibri" w:eastAsia="Calibri" w:hAnsi="Calibri" w:cs="Calibri"/>
                <w:color w:val="000000"/>
                <w:sz w:val="20"/>
                <w:szCs w:val="20"/>
              </w:rPr>
              <w:t>Target</w:t>
            </w:r>
          </w:p>
        </w:tc>
      </w:tr>
      <w:tr w:rsidR="00446431" w14:paraId="4732129C" w14:textId="77777777">
        <w:tc>
          <w:tcPr>
            <w:tcW w:w="7200" w:type="dxa"/>
          </w:tcPr>
          <w:p w14:paraId="72CC8DD4" w14:textId="77777777" w:rsidR="00446431" w:rsidRDefault="00EA3662">
            <w:pPr>
              <w:numPr>
                <w:ilvl w:val="0"/>
                <w:numId w:val="7"/>
              </w:numPr>
              <w:pBdr>
                <w:top w:val="nil"/>
                <w:left w:val="nil"/>
                <w:bottom w:val="nil"/>
                <w:right w:val="nil"/>
                <w:between w:val="nil"/>
              </w:pBdr>
              <w:spacing w:before="120"/>
              <w:ind w:left="345"/>
              <w:rPr>
                <w:rFonts w:ascii="Calibri" w:eastAsia="Calibri" w:hAnsi="Calibri" w:cs="Calibri"/>
                <w:color w:val="000000"/>
                <w:sz w:val="20"/>
                <w:szCs w:val="20"/>
              </w:rPr>
            </w:pPr>
            <w:r>
              <w:rPr>
                <w:rFonts w:ascii="Calibri" w:eastAsia="Calibri" w:hAnsi="Calibri" w:cs="Calibri"/>
                <w:color w:val="000000"/>
                <w:sz w:val="20"/>
                <w:szCs w:val="20"/>
              </w:rPr>
              <w:t>Number of times the Accountability and Grievance Mechanism is communicated/disseminated to stakeholders</w:t>
            </w:r>
          </w:p>
        </w:tc>
        <w:tc>
          <w:tcPr>
            <w:tcW w:w="1080" w:type="dxa"/>
          </w:tcPr>
          <w:p w14:paraId="2C6A027E" w14:textId="77777777" w:rsidR="00446431" w:rsidRDefault="00EA366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0</w:t>
            </w:r>
          </w:p>
        </w:tc>
        <w:tc>
          <w:tcPr>
            <w:tcW w:w="1080" w:type="dxa"/>
          </w:tcPr>
          <w:p w14:paraId="79EE54A4" w14:textId="77777777" w:rsidR="00446431" w:rsidRDefault="00EA366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12</w:t>
            </w:r>
          </w:p>
        </w:tc>
      </w:tr>
      <w:tr w:rsidR="00446431" w14:paraId="4209C4ED" w14:textId="77777777">
        <w:tc>
          <w:tcPr>
            <w:tcW w:w="7200" w:type="dxa"/>
          </w:tcPr>
          <w:p w14:paraId="6700CE66" w14:textId="77777777" w:rsidR="00446431" w:rsidRDefault="00EA3662">
            <w:pPr>
              <w:numPr>
                <w:ilvl w:val="0"/>
                <w:numId w:val="7"/>
              </w:numPr>
              <w:pBdr>
                <w:top w:val="nil"/>
                <w:left w:val="nil"/>
                <w:bottom w:val="nil"/>
                <w:right w:val="nil"/>
                <w:between w:val="nil"/>
              </w:pBdr>
              <w:spacing w:before="120"/>
              <w:ind w:left="345"/>
              <w:rPr>
                <w:rFonts w:ascii="Calibri" w:eastAsia="Calibri" w:hAnsi="Calibri" w:cs="Calibri"/>
                <w:color w:val="000000"/>
                <w:sz w:val="20"/>
                <w:szCs w:val="20"/>
              </w:rPr>
            </w:pPr>
            <w:r>
              <w:rPr>
                <w:rFonts w:ascii="Calibri" w:eastAsia="Calibri" w:hAnsi="Calibri" w:cs="Calibri"/>
                <w:color w:val="000000"/>
                <w:sz w:val="20"/>
                <w:szCs w:val="20"/>
              </w:rPr>
              <w:t>Percentage of conflict and complaint cases reported to the project’s Accountability and Grievance Mechanism that have been resolved </w:t>
            </w:r>
          </w:p>
        </w:tc>
        <w:tc>
          <w:tcPr>
            <w:tcW w:w="1080" w:type="dxa"/>
          </w:tcPr>
          <w:p w14:paraId="24FB1631" w14:textId="77777777" w:rsidR="00446431" w:rsidRDefault="00EA366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N/A</w:t>
            </w:r>
          </w:p>
        </w:tc>
        <w:tc>
          <w:tcPr>
            <w:tcW w:w="1080" w:type="dxa"/>
          </w:tcPr>
          <w:p w14:paraId="4F8F284C" w14:textId="77777777" w:rsidR="00446431" w:rsidRDefault="00EA366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100%</w:t>
            </w:r>
          </w:p>
        </w:tc>
      </w:tr>
    </w:tbl>
    <w:p w14:paraId="0BD47F5C" w14:textId="77777777" w:rsidR="00446431" w:rsidRDefault="00446431">
      <w:pPr>
        <w:pBdr>
          <w:top w:val="nil"/>
          <w:left w:val="nil"/>
          <w:bottom w:val="nil"/>
          <w:right w:val="nil"/>
          <w:between w:val="nil"/>
        </w:pBdr>
        <w:rPr>
          <w:rFonts w:ascii="Calibri" w:eastAsia="Calibri" w:hAnsi="Calibri" w:cs="Calibri"/>
          <w:color w:val="000000"/>
          <w:sz w:val="24"/>
          <w:szCs w:val="24"/>
        </w:rPr>
      </w:pPr>
    </w:p>
    <w:tbl>
      <w:tblPr>
        <w:tblStyle w:val="a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5555"/>
      </w:tblGrid>
      <w:tr w:rsidR="00446431" w14:paraId="7A39E313" w14:textId="77777777">
        <w:trPr>
          <w:trHeight w:val="817"/>
        </w:trPr>
        <w:tc>
          <w:tcPr>
            <w:tcW w:w="3795" w:type="dxa"/>
            <w:shd w:val="clear" w:color="auto" w:fill="C6D9F1"/>
            <w:vAlign w:val="center"/>
          </w:tcPr>
          <w:p w14:paraId="722695EE" w14:textId="77777777" w:rsidR="00446431" w:rsidRDefault="00EA3662">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color w:val="000000"/>
                <w:sz w:val="20"/>
                <w:szCs w:val="20"/>
              </w:rPr>
              <w:t>Person responsible for implementing and monitoring the AGM:</w:t>
            </w:r>
          </w:p>
        </w:tc>
        <w:tc>
          <w:tcPr>
            <w:tcW w:w="5555" w:type="dxa"/>
            <w:vAlign w:val="center"/>
          </w:tcPr>
          <w:p w14:paraId="4D52BD6D" w14:textId="77777777" w:rsidR="00446431" w:rsidRDefault="00EA3662">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sz w:val="20"/>
                <w:szCs w:val="20"/>
              </w:rPr>
              <w:t xml:space="preserve">TA Hub Project Manager in Colombia (name TBD) </w:t>
            </w:r>
          </w:p>
        </w:tc>
      </w:tr>
      <w:tr w:rsidR="00446431" w14:paraId="630A7294" w14:textId="77777777">
        <w:tc>
          <w:tcPr>
            <w:tcW w:w="3795" w:type="dxa"/>
            <w:shd w:val="clear" w:color="auto" w:fill="C6D9F1"/>
            <w:vAlign w:val="center"/>
          </w:tcPr>
          <w:p w14:paraId="19C93FFF" w14:textId="77777777" w:rsidR="00446431" w:rsidRDefault="00EA3662">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color w:val="000000"/>
                <w:sz w:val="20"/>
                <w:szCs w:val="20"/>
              </w:rPr>
              <w:t>Budget Summary</w:t>
            </w:r>
          </w:p>
        </w:tc>
        <w:tc>
          <w:tcPr>
            <w:tcW w:w="5555" w:type="dxa"/>
            <w:vAlign w:val="center"/>
          </w:tcPr>
          <w:p w14:paraId="58A8E949" w14:textId="77777777" w:rsidR="00446431" w:rsidRDefault="00EA3662">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sz w:val="20"/>
                <w:szCs w:val="20"/>
              </w:rPr>
              <w:t xml:space="preserve">No additional budget is allocated to the activity as these activities are mainstreamed into existing roles and organisational structures within IDH. </w:t>
            </w:r>
          </w:p>
        </w:tc>
      </w:tr>
    </w:tbl>
    <w:p w14:paraId="22DA8889" w14:textId="77777777" w:rsidR="00446431" w:rsidRDefault="00446431">
      <w:pPr>
        <w:pBdr>
          <w:top w:val="nil"/>
          <w:left w:val="nil"/>
          <w:bottom w:val="nil"/>
          <w:right w:val="nil"/>
          <w:between w:val="nil"/>
        </w:pBdr>
        <w:rPr>
          <w:rFonts w:ascii="Calibri" w:eastAsia="Calibri" w:hAnsi="Calibri" w:cs="Calibri"/>
          <w:color w:val="000000"/>
          <w:sz w:val="24"/>
          <w:szCs w:val="24"/>
        </w:rPr>
      </w:pPr>
    </w:p>
    <w:sectPr w:rsidR="00446431">
      <w:headerReference w:type="even" r:id="rId22"/>
      <w:headerReference w:type="default" r:id="rId23"/>
      <w:footerReference w:type="even" r:id="rId24"/>
      <w:footerReference w:type="default" r:id="rId25"/>
      <w:headerReference w:type="first" r:id="rId26"/>
      <w:footerReference w:type="first" r:id="rId27"/>
      <w:pgSz w:w="11910" w:h="16840"/>
      <w:pgMar w:top="280" w:right="1020" w:bottom="1580" w:left="85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70696" w14:textId="77777777" w:rsidR="007E38DB" w:rsidRDefault="00EA3662">
      <w:r>
        <w:separator/>
      </w:r>
    </w:p>
  </w:endnote>
  <w:endnote w:type="continuationSeparator" w:id="0">
    <w:p w14:paraId="5BDF3EE9" w14:textId="77777777" w:rsidR="007E38DB" w:rsidRDefault="00EA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6445" w14:textId="77777777" w:rsidR="00446431" w:rsidRDefault="00446431">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B212C" w14:textId="77777777" w:rsidR="00446431" w:rsidRDefault="00446431">
    <w:pPr>
      <w:pBdr>
        <w:top w:val="nil"/>
        <w:left w:val="nil"/>
        <w:bottom w:val="nil"/>
        <w:right w:val="nil"/>
        <w:between w:val="nil"/>
      </w:pBdr>
      <w:tabs>
        <w:tab w:val="center" w:pos="4513"/>
        <w:tab w:val="right" w:pos="9026"/>
      </w:tabs>
      <w:rPr>
        <w:color w:val="000000"/>
      </w:rPr>
    </w:pPr>
  </w:p>
  <w:p w14:paraId="0BD48FCC" w14:textId="77777777" w:rsidR="00446431" w:rsidRDefault="00446431">
    <w:pPr>
      <w:pBdr>
        <w:top w:val="single" w:sz="4" w:space="1" w:color="000000"/>
        <w:left w:val="nil"/>
        <w:bottom w:val="nil"/>
        <w:right w:val="nil"/>
        <w:between w:val="nil"/>
      </w:pBdr>
      <w:tabs>
        <w:tab w:val="center" w:pos="4513"/>
        <w:tab w:val="right" w:pos="9026"/>
      </w:tabs>
      <w:rPr>
        <w:i/>
        <w:color w:val="000000"/>
        <w:sz w:val="8"/>
        <w:szCs w:val="8"/>
      </w:rPr>
    </w:pPr>
  </w:p>
  <w:p w14:paraId="749D2D6B" w14:textId="77777777" w:rsidR="00446431" w:rsidRDefault="00EA3662">
    <w:pPr>
      <w:pBdr>
        <w:top w:val="single" w:sz="4" w:space="1" w:color="000000"/>
        <w:left w:val="nil"/>
        <w:bottom w:val="nil"/>
        <w:right w:val="nil"/>
        <w:between w:val="nil"/>
      </w:pBdr>
      <w:tabs>
        <w:tab w:val="center" w:pos="4513"/>
        <w:tab w:val="right" w:pos="9026"/>
      </w:tabs>
      <w:rPr>
        <w:b/>
        <w:i/>
        <w:color w:val="000000"/>
        <w:sz w:val="20"/>
        <w:szCs w:val="20"/>
      </w:rPr>
    </w:pPr>
    <w:r>
      <w:rPr>
        <w:i/>
        <w:sz w:val="20"/>
        <w:szCs w:val="20"/>
      </w:rPr>
      <w:t xml:space="preserve">Building the next generation LDN investment pipeline through national Technical Assistance Hubs: </w:t>
    </w:r>
    <w:r>
      <w:rPr>
        <w:b/>
        <w:i/>
        <w:color w:val="000000"/>
        <w:sz w:val="20"/>
        <w:szCs w:val="20"/>
      </w:rPr>
      <w:t>Accountability and Grievance Mechanism</w:t>
    </w:r>
    <w:r>
      <w:rPr>
        <w:b/>
        <w:i/>
        <w:color w:val="000000"/>
        <w:sz w:val="20"/>
        <w:szCs w:val="20"/>
      </w:rPr>
      <w:tab/>
    </w:r>
    <w:r>
      <w:rPr>
        <w:b/>
        <w:i/>
        <w:color w:val="000000"/>
        <w:sz w:val="20"/>
        <w:szCs w:val="20"/>
      </w:rPr>
      <w:tab/>
    </w:r>
    <w:r>
      <w:rPr>
        <w:b/>
        <w:i/>
        <w:color w:val="000000"/>
        <w:sz w:val="20"/>
        <w:szCs w:val="20"/>
      </w:rPr>
      <w:fldChar w:fldCharType="begin"/>
    </w:r>
    <w:r>
      <w:rPr>
        <w:b/>
        <w:i/>
        <w:color w:val="000000"/>
        <w:sz w:val="20"/>
        <w:szCs w:val="20"/>
      </w:rPr>
      <w:instrText>PAGE</w:instrText>
    </w:r>
    <w:r>
      <w:rPr>
        <w:b/>
        <w:i/>
        <w:color w:val="000000"/>
        <w:sz w:val="20"/>
        <w:szCs w:val="20"/>
      </w:rPr>
      <w:fldChar w:fldCharType="separate"/>
    </w:r>
    <w:r>
      <w:rPr>
        <w:b/>
        <w:i/>
        <w:noProof/>
        <w:color w:val="000000"/>
        <w:sz w:val="20"/>
        <w:szCs w:val="20"/>
      </w:rPr>
      <w:t>1</w:t>
    </w:r>
    <w:r>
      <w:rPr>
        <w:b/>
        <w:i/>
        <w:color w:val="000000"/>
        <w:sz w:val="20"/>
        <w:szCs w:val="20"/>
      </w:rPr>
      <w:fldChar w:fldCharType="end"/>
    </w:r>
  </w:p>
  <w:p w14:paraId="4CE4576F" w14:textId="77777777" w:rsidR="00446431" w:rsidRDefault="0044643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DF04" w14:textId="77777777" w:rsidR="00446431" w:rsidRDefault="00446431">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B69AE" w14:textId="77777777" w:rsidR="007E38DB" w:rsidRDefault="00EA3662">
      <w:r>
        <w:separator/>
      </w:r>
    </w:p>
  </w:footnote>
  <w:footnote w:type="continuationSeparator" w:id="0">
    <w:p w14:paraId="299AEEE0" w14:textId="77777777" w:rsidR="007E38DB" w:rsidRDefault="00EA3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2CBA" w14:textId="77777777" w:rsidR="00446431" w:rsidRDefault="00446431">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D9BD" w14:textId="77777777" w:rsidR="00446431" w:rsidRDefault="00EA3662">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14:anchorId="0FD2EB0B" wp14:editId="298FB002">
          <wp:simplePos x="0" y="0"/>
          <wp:positionH relativeFrom="column">
            <wp:posOffset>1837372</wp:posOffset>
          </wp:positionH>
          <wp:positionV relativeFrom="paragraph">
            <wp:posOffset>9525</wp:posOffset>
          </wp:positionV>
          <wp:extent cx="1619250" cy="668655"/>
          <wp:effectExtent l="0" t="0" r="0" b="0"/>
          <wp:wrapSquare wrapText="bothSides" distT="0" distB="0" distL="114300" distR="114300"/>
          <wp:docPr id="11" name="image1.png" descr="A close up of a logo&#10;&#10;Description generated with very high confidence"/>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generated with very high confidence"/>
                  <pic:cNvPicPr preferRelativeResize="0"/>
                </pic:nvPicPr>
                <pic:blipFill>
                  <a:blip r:embed="rId1"/>
                  <a:srcRect l="67223" t="1847" r="4582" b="89147"/>
                  <a:stretch>
                    <a:fillRect/>
                  </a:stretch>
                </pic:blipFill>
                <pic:spPr>
                  <a:xfrm>
                    <a:off x="0" y="0"/>
                    <a:ext cx="1619250" cy="668655"/>
                  </a:xfrm>
                  <a:prstGeom prst="rect">
                    <a:avLst/>
                  </a:prstGeom>
                  <a:ln/>
                </pic:spPr>
              </pic:pic>
            </a:graphicData>
          </a:graphic>
        </wp:anchor>
      </w:drawing>
    </w:r>
  </w:p>
  <w:p w14:paraId="4D9BED7E" w14:textId="77777777" w:rsidR="00446431" w:rsidRDefault="00446431">
    <w:pPr>
      <w:pBdr>
        <w:top w:val="nil"/>
        <w:left w:val="nil"/>
        <w:bottom w:val="nil"/>
        <w:right w:val="nil"/>
        <w:between w:val="nil"/>
      </w:pBdr>
      <w:tabs>
        <w:tab w:val="center" w:pos="4513"/>
        <w:tab w:val="right" w:pos="9026"/>
      </w:tabs>
      <w:rPr>
        <w:color w:val="000000"/>
      </w:rPr>
    </w:pPr>
  </w:p>
  <w:p w14:paraId="71F2DFB3" w14:textId="77777777" w:rsidR="00446431" w:rsidRDefault="00446431">
    <w:pPr>
      <w:pBdr>
        <w:top w:val="nil"/>
        <w:left w:val="nil"/>
        <w:bottom w:val="nil"/>
        <w:right w:val="nil"/>
        <w:between w:val="nil"/>
      </w:pBdr>
      <w:tabs>
        <w:tab w:val="center" w:pos="4513"/>
        <w:tab w:val="right" w:pos="9026"/>
      </w:tabs>
      <w:rPr>
        <w:color w:val="000000"/>
      </w:rPr>
    </w:pPr>
  </w:p>
  <w:p w14:paraId="0D7CC992" w14:textId="77777777" w:rsidR="00446431" w:rsidRDefault="00446431">
    <w:pPr>
      <w:pBdr>
        <w:top w:val="nil"/>
        <w:left w:val="nil"/>
        <w:bottom w:val="nil"/>
        <w:right w:val="nil"/>
        <w:between w:val="nil"/>
      </w:pBdr>
      <w:tabs>
        <w:tab w:val="center" w:pos="4513"/>
        <w:tab w:val="right" w:pos="9026"/>
      </w:tabs>
      <w:rPr>
        <w:color w:val="000000"/>
      </w:rPr>
    </w:pPr>
  </w:p>
  <w:p w14:paraId="074D9D1D" w14:textId="77777777" w:rsidR="00446431" w:rsidRDefault="00446431">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B831" w14:textId="77777777" w:rsidR="00446431" w:rsidRDefault="00446431">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A470E"/>
    <w:multiLevelType w:val="multilevel"/>
    <w:tmpl w:val="5E6CB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684881"/>
    <w:multiLevelType w:val="multilevel"/>
    <w:tmpl w:val="6C9C29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7CB1E6A"/>
    <w:multiLevelType w:val="multilevel"/>
    <w:tmpl w:val="EDD0D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E4491A"/>
    <w:multiLevelType w:val="multilevel"/>
    <w:tmpl w:val="418E4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D045A7"/>
    <w:multiLevelType w:val="multilevel"/>
    <w:tmpl w:val="A3E07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E34388"/>
    <w:multiLevelType w:val="multilevel"/>
    <w:tmpl w:val="127C81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A3E2891"/>
    <w:multiLevelType w:val="multilevel"/>
    <w:tmpl w:val="ED129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6C10ABF"/>
    <w:multiLevelType w:val="multilevel"/>
    <w:tmpl w:val="EDB28B8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173841123">
    <w:abstractNumId w:val="1"/>
  </w:num>
  <w:num w:numId="2" w16cid:durableId="1661809755">
    <w:abstractNumId w:val="5"/>
  </w:num>
  <w:num w:numId="3" w16cid:durableId="1391228234">
    <w:abstractNumId w:val="0"/>
  </w:num>
  <w:num w:numId="4" w16cid:durableId="1201935228">
    <w:abstractNumId w:val="3"/>
  </w:num>
  <w:num w:numId="5" w16cid:durableId="604584055">
    <w:abstractNumId w:val="6"/>
  </w:num>
  <w:num w:numId="6" w16cid:durableId="639188569">
    <w:abstractNumId w:val="2"/>
  </w:num>
  <w:num w:numId="7" w16cid:durableId="1640841003">
    <w:abstractNumId w:val="4"/>
  </w:num>
  <w:num w:numId="8" w16cid:durableId="21267328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431"/>
    <w:rsid w:val="00446431"/>
    <w:rsid w:val="007E38DB"/>
    <w:rsid w:val="00BF5B64"/>
    <w:rsid w:val="00EA3662"/>
    <w:rsid w:val="00FA66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FFB3B"/>
  <w15:docId w15:val="{7EF8B0FB-BBFF-41CA-BE2A-9410E206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numPr>
        <w:numId w:val="8"/>
      </w:numPr>
      <w:outlineLvl w:val="0"/>
    </w:pPr>
    <w:rPr>
      <w:b/>
      <w:bCs/>
      <w:sz w:val="48"/>
      <w:szCs w:val="48"/>
    </w:rPr>
  </w:style>
  <w:style w:type="paragraph" w:styleId="Heading2">
    <w:name w:val="heading 2"/>
    <w:basedOn w:val="Normal"/>
    <w:uiPriority w:val="9"/>
    <w:semiHidden/>
    <w:unhideWhenUsed/>
    <w:qFormat/>
    <w:pPr>
      <w:numPr>
        <w:ilvl w:val="1"/>
        <w:numId w:val="8"/>
      </w:numPr>
      <w:outlineLvl w:val="1"/>
    </w:pPr>
    <w:rPr>
      <w:b/>
      <w:bCs/>
      <w:sz w:val="40"/>
      <w:szCs w:val="40"/>
    </w:rPr>
  </w:style>
  <w:style w:type="paragraph" w:styleId="Heading3">
    <w:name w:val="heading 3"/>
    <w:basedOn w:val="Normal"/>
    <w:uiPriority w:val="9"/>
    <w:semiHidden/>
    <w:unhideWhenUsed/>
    <w:qFormat/>
    <w:pPr>
      <w:numPr>
        <w:ilvl w:val="2"/>
        <w:numId w:val="8"/>
      </w:numPr>
      <w:outlineLvl w:val="2"/>
    </w:pPr>
    <w:rPr>
      <w:b/>
      <w:bCs/>
      <w:sz w:val="30"/>
      <w:szCs w:val="30"/>
    </w:rPr>
  </w:style>
  <w:style w:type="paragraph" w:styleId="Heading4">
    <w:name w:val="heading 4"/>
    <w:basedOn w:val="Normal"/>
    <w:uiPriority w:val="9"/>
    <w:semiHidden/>
    <w:unhideWhenUsed/>
    <w:qFormat/>
    <w:pPr>
      <w:numPr>
        <w:ilvl w:val="3"/>
        <w:numId w:val="8"/>
      </w:numPr>
      <w:spacing w:before="42"/>
      <w:ind w:right="713"/>
      <w:jc w:val="both"/>
      <w:outlineLvl w:val="3"/>
    </w:pPr>
  </w:style>
  <w:style w:type="paragraph" w:styleId="Heading5">
    <w:name w:val="heading 5"/>
    <w:basedOn w:val="Normal"/>
    <w:uiPriority w:val="9"/>
    <w:semiHidden/>
    <w:unhideWhenUsed/>
    <w:qFormat/>
    <w:pPr>
      <w:numPr>
        <w:ilvl w:val="4"/>
        <w:numId w:val="8"/>
      </w:numPr>
      <w:outlineLvl w:val="4"/>
    </w:pPr>
    <w:rPr>
      <w:b/>
      <w:bCs/>
      <w:sz w:val="20"/>
      <w:szCs w:val="20"/>
    </w:rPr>
  </w:style>
  <w:style w:type="paragraph" w:styleId="Heading6">
    <w:name w:val="heading 6"/>
    <w:basedOn w:val="Normal"/>
    <w:next w:val="Normal"/>
    <w:link w:val="Heading6Char"/>
    <w:uiPriority w:val="9"/>
    <w:semiHidden/>
    <w:unhideWhenUsed/>
    <w:qFormat/>
    <w:rsid w:val="00973394"/>
    <w:pPr>
      <w:keepNext/>
      <w:keepLines/>
      <w:numPr>
        <w:ilvl w:val="5"/>
        <w:numId w:val="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73394"/>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73394"/>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3394"/>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uiPriority w:val="1"/>
    <w:qFormat/>
    <w:pPr>
      <w:spacing w:before="470"/>
      <w:ind w:left="112"/>
    </w:pPr>
    <w:rPr>
      <w:b/>
      <w:bCs/>
      <w:sz w:val="30"/>
      <w:szCs w:val="30"/>
    </w:rPr>
  </w:style>
  <w:style w:type="paragraph" w:styleId="TOC2">
    <w:name w:val="toc 2"/>
    <w:basedOn w:val="Normal"/>
    <w:uiPriority w:val="1"/>
    <w:qFormat/>
    <w:pPr>
      <w:spacing w:before="118"/>
      <w:ind w:left="792" w:hanging="680"/>
    </w:pPr>
    <w:rPr>
      <w:b/>
      <w:bCs/>
      <w:sz w:val="20"/>
      <w:szCs w:val="20"/>
    </w:rPr>
  </w:style>
  <w:style w:type="paragraph" w:styleId="TOC3">
    <w:name w:val="toc 3"/>
    <w:basedOn w:val="Normal"/>
    <w:uiPriority w:val="1"/>
    <w:qFormat/>
    <w:pPr>
      <w:spacing w:before="120"/>
      <w:ind w:left="792" w:hanging="680"/>
    </w:pPr>
    <w:rPr>
      <w:sz w:val="20"/>
      <w:szCs w:val="20"/>
    </w:rPr>
  </w:style>
  <w:style w:type="paragraph" w:styleId="TOC4">
    <w:name w:val="toc 4"/>
    <w:basedOn w:val="Normal"/>
    <w:uiPriority w:val="1"/>
    <w:qFormat/>
    <w:pPr>
      <w:spacing w:before="45"/>
      <w:ind w:left="112"/>
    </w:pPr>
    <w:rPr>
      <w:sz w:val="18"/>
      <w:szCs w:val="18"/>
    </w:rPr>
  </w:style>
  <w:style w:type="paragraph" w:styleId="BodyText">
    <w:name w:val="Body Text"/>
    <w:basedOn w:val="Normal"/>
    <w:link w:val="BodyTextChar"/>
    <w:qFormat/>
    <w:rPr>
      <w:sz w:val="20"/>
      <w:szCs w:val="20"/>
    </w:rPr>
  </w:style>
  <w:style w:type="paragraph" w:styleId="ListParagraph">
    <w:name w:val="List Paragraph"/>
    <w:aliases w:val="List Paragraph-ExecSummary,Bullets,List Paragraph (numbered (a)),Medium Grid 1 Accent 2,List Paragraph1,WB Para,Párrafo de lista1,Paragraphe de liste1,List Paragraph11,Numbered List Paragraph,ADB paragraph numbering,List bullet,References"/>
    <w:basedOn w:val="Normal"/>
    <w:link w:val="ListParagraphChar"/>
    <w:uiPriority w:val="1"/>
    <w:qFormat/>
    <w:pPr>
      <w:spacing w:before="120"/>
      <w:ind w:left="1769" w:hanging="360"/>
    </w:pPr>
  </w:style>
  <w:style w:type="paragraph" w:customStyle="1" w:styleId="TableParagraph">
    <w:name w:val="Table Paragraph"/>
    <w:basedOn w:val="Normal"/>
    <w:uiPriority w:val="1"/>
    <w:qFormat/>
    <w:pPr>
      <w:ind w:left="55"/>
    </w:pPr>
  </w:style>
  <w:style w:type="paragraph" w:styleId="Header">
    <w:name w:val="header"/>
    <w:basedOn w:val="Normal"/>
    <w:link w:val="HeaderChar"/>
    <w:uiPriority w:val="99"/>
    <w:unhideWhenUsed/>
    <w:rsid w:val="004820FA"/>
    <w:pPr>
      <w:tabs>
        <w:tab w:val="center" w:pos="4513"/>
        <w:tab w:val="right" w:pos="9026"/>
      </w:tabs>
    </w:pPr>
  </w:style>
  <w:style w:type="character" w:customStyle="1" w:styleId="HeaderChar">
    <w:name w:val="Header Char"/>
    <w:basedOn w:val="DefaultParagraphFont"/>
    <w:link w:val="Header"/>
    <w:uiPriority w:val="99"/>
    <w:rsid w:val="004820FA"/>
    <w:rPr>
      <w:rFonts w:ascii="Arial" w:eastAsia="Arial" w:hAnsi="Arial" w:cs="Arial"/>
    </w:rPr>
  </w:style>
  <w:style w:type="paragraph" w:styleId="Footer">
    <w:name w:val="footer"/>
    <w:basedOn w:val="Normal"/>
    <w:link w:val="FooterChar"/>
    <w:uiPriority w:val="99"/>
    <w:unhideWhenUsed/>
    <w:rsid w:val="004820FA"/>
    <w:pPr>
      <w:tabs>
        <w:tab w:val="center" w:pos="4513"/>
        <w:tab w:val="right" w:pos="9026"/>
      </w:tabs>
    </w:pPr>
  </w:style>
  <w:style w:type="character" w:customStyle="1" w:styleId="FooterChar">
    <w:name w:val="Footer Char"/>
    <w:basedOn w:val="DefaultParagraphFont"/>
    <w:link w:val="Footer"/>
    <w:uiPriority w:val="99"/>
    <w:rsid w:val="004820FA"/>
    <w:rPr>
      <w:rFonts w:ascii="Arial" w:eastAsia="Arial" w:hAnsi="Arial" w:cs="Arial"/>
    </w:rPr>
  </w:style>
  <w:style w:type="character" w:customStyle="1" w:styleId="Heading6Char">
    <w:name w:val="Heading 6 Char"/>
    <w:basedOn w:val="DefaultParagraphFont"/>
    <w:link w:val="Heading6"/>
    <w:uiPriority w:val="9"/>
    <w:semiHidden/>
    <w:rsid w:val="0097339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7339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733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73394"/>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A36EA4"/>
    <w:rPr>
      <w:sz w:val="16"/>
      <w:szCs w:val="16"/>
    </w:rPr>
  </w:style>
  <w:style w:type="paragraph" w:styleId="CommentText">
    <w:name w:val="annotation text"/>
    <w:basedOn w:val="Normal"/>
    <w:link w:val="CommentTextChar"/>
    <w:uiPriority w:val="99"/>
    <w:unhideWhenUsed/>
    <w:rsid w:val="00A36EA4"/>
    <w:rPr>
      <w:sz w:val="20"/>
      <w:szCs w:val="20"/>
    </w:rPr>
  </w:style>
  <w:style w:type="character" w:customStyle="1" w:styleId="CommentTextChar">
    <w:name w:val="Comment Text Char"/>
    <w:basedOn w:val="DefaultParagraphFont"/>
    <w:link w:val="CommentText"/>
    <w:uiPriority w:val="99"/>
    <w:rsid w:val="00A36EA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36EA4"/>
    <w:rPr>
      <w:b/>
      <w:bCs/>
    </w:rPr>
  </w:style>
  <w:style w:type="character" w:customStyle="1" w:styleId="CommentSubjectChar">
    <w:name w:val="Comment Subject Char"/>
    <w:basedOn w:val="CommentTextChar"/>
    <w:link w:val="CommentSubject"/>
    <w:uiPriority w:val="99"/>
    <w:semiHidden/>
    <w:rsid w:val="00A36EA4"/>
    <w:rPr>
      <w:rFonts w:ascii="Arial" w:eastAsia="Arial" w:hAnsi="Arial" w:cs="Arial"/>
      <w:b/>
      <w:bCs/>
      <w:sz w:val="20"/>
      <w:szCs w:val="20"/>
    </w:rPr>
  </w:style>
  <w:style w:type="paragraph" w:styleId="BalloonText">
    <w:name w:val="Balloon Text"/>
    <w:basedOn w:val="Normal"/>
    <w:link w:val="BalloonTextChar"/>
    <w:uiPriority w:val="99"/>
    <w:semiHidden/>
    <w:unhideWhenUsed/>
    <w:rsid w:val="00A36E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EA4"/>
    <w:rPr>
      <w:rFonts w:ascii="Segoe UI" w:eastAsia="Arial" w:hAnsi="Segoe UI" w:cs="Segoe UI"/>
      <w:sz w:val="18"/>
      <w:szCs w:val="18"/>
    </w:rPr>
  </w:style>
  <w:style w:type="table" w:styleId="TableGrid">
    <w:name w:val="Table Grid"/>
    <w:basedOn w:val="TableNormal"/>
    <w:uiPriority w:val="39"/>
    <w:rsid w:val="00B05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Geneva 9,Font: Geneva 9,Boston 10,f,Voetnoottekst Char,Voetnoottekst Char1 Char,Voetnoottekst Char Char1 Char,Voetnoottekst Char1 Char Char Char,Voetnoottekst Char Char1 Char Char Char,Voetnoottekst Char1 Char Char Char Char Char,Geneva,fn"/>
    <w:basedOn w:val="Normal"/>
    <w:link w:val="FootnoteTextChar"/>
    <w:uiPriority w:val="99"/>
    <w:unhideWhenUsed/>
    <w:qFormat/>
    <w:rsid w:val="00B7384D"/>
    <w:rPr>
      <w:sz w:val="20"/>
      <w:szCs w:val="20"/>
    </w:rPr>
  </w:style>
  <w:style w:type="character" w:customStyle="1" w:styleId="FootnoteTextChar">
    <w:name w:val="Footnote Text Char"/>
    <w:aliases w:val="Geneva 9 Char,Font: Geneva 9 Char,Boston 10 Char,f Char,Voetnoottekst Char Char,Voetnoottekst Char1 Char Char,Voetnoottekst Char Char1 Char Char,Voetnoottekst Char1 Char Char Char Char,Voetnoottekst Char Char1 Char Char Char Char"/>
    <w:basedOn w:val="DefaultParagraphFont"/>
    <w:link w:val="FootnoteText"/>
    <w:uiPriority w:val="99"/>
    <w:rsid w:val="00B7384D"/>
    <w:rPr>
      <w:rFonts w:ascii="Arial" w:eastAsia="Arial" w:hAnsi="Arial" w:cs="Arial"/>
      <w:sz w:val="20"/>
      <w:szCs w:val="20"/>
    </w:rPr>
  </w:style>
  <w:style w:type="character" w:styleId="FootnoteReference">
    <w:name w:val="footnote reference"/>
    <w:aliases w:val="16 Point,Superscript 6 Point,number,SUPERS,Footnote Reference Superscript,Footnote number,-E Fußnotenzeichen,(Footnote Reference),Footnote,Footnote symbol,Char1 Char Char Char Char,stylish,ftref,4_G,Carattere Char1,fr,BVI fnr, BVI fnr"/>
    <w:basedOn w:val="DefaultParagraphFont"/>
    <w:link w:val="ftrefChar"/>
    <w:uiPriority w:val="99"/>
    <w:unhideWhenUsed/>
    <w:qFormat/>
    <w:rsid w:val="00B7384D"/>
    <w:rPr>
      <w:vertAlign w:val="superscript"/>
    </w:rPr>
  </w:style>
  <w:style w:type="character" w:styleId="Hyperlink">
    <w:name w:val="Hyperlink"/>
    <w:basedOn w:val="DefaultParagraphFont"/>
    <w:uiPriority w:val="99"/>
    <w:unhideWhenUsed/>
    <w:rsid w:val="008D690C"/>
    <w:rPr>
      <w:color w:val="0000FF" w:themeColor="hyperlink"/>
      <w:u w:val="single"/>
    </w:rPr>
  </w:style>
  <w:style w:type="character" w:styleId="UnresolvedMention">
    <w:name w:val="Unresolved Mention"/>
    <w:basedOn w:val="DefaultParagraphFont"/>
    <w:uiPriority w:val="99"/>
    <w:semiHidden/>
    <w:unhideWhenUsed/>
    <w:rsid w:val="008D690C"/>
    <w:rPr>
      <w:color w:val="605E5C"/>
      <w:shd w:val="clear" w:color="auto" w:fill="E1DFDD"/>
    </w:rPr>
  </w:style>
  <w:style w:type="character" w:customStyle="1" w:styleId="ListParagraphChar">
    <w:name w:val="List Paragraph Char"/>
    <w:aliases w:val="List Paragraph-ExecSummary Char,Bullets Char,List Paragraph (numbered (a)) Char,Medium Grid 1 Accent 2 Char,List Paragraph1 Char,WB Para Char,Párrafo de lista1 Char,Paragraphe de liste1 Char,List Paragraph11 Char,List bullet Char"/>
    <w:basedOn w:val="DefaultParagraphFont"/>
    <w:link w:val="ListParagraph"/>
    <w:uiPriority w:val="1"/>
    <w:qFormat/>
    <w:locked/>
    <w:rsid w:val="004106B7"/>
    <w:rPr>
      <w:rFonts w:ascii="Arial" w:eastAsia="Arial" w:hAnsi="Arial" w:cs="Arial"/>
    </w:rPr>
  </w:style>
  <w:style w:type="paragraph" w:customStyle="1" w:styleId="ftrefChar">
    <w:name w:val="ftref Char"/>
    <w:aliases w:val="4_G Char,-E Fußnotenzeichen Char,16 Point Char,Superscript 6 Point Char,Carattere Char1 Char,Carattere Char Char Carattere Carattere Char Char Char,fr Char,(NECG) Footnote Reference"/>
    <w:basedOn w:val="Normal"/>
    <w:link w:val="FootnoteReference"/>
    <w:uiPriority w:val="99"/>
    <w:rsid w:val="004106B7"/>
    <w:pPr>
      <w:widowControl/>
      <w:spacing w:line="240" w:lineRule="exact"/>
    </w:pPr>
    <w:rPr>
      <w:rFonts w:asciiTheme="minorHAnsi" w:eastAsiaTheme="minorHAnsi" w:hAnsiTheme="minorHAnsi" w:cstheme="minorBidi"/>
      <w:vertAlign w:val="superscript"/>
    </w:rPr>
  </w:style>
  <w:style w:type="character" w:customStyle="1" w:styleId="BodyTextChar">
    <w:name w:val="Body Text Char"/>
    <w:basedOn w:val="DefaultParagraphFont"/>
    <w:link w:val="BodyText"/>
    <w:locked/>
    <w:rsid w:val="00946CB3"/>
    <w:rPr>
      <w:rFonts w:ascii="Arial" w:eastAsia="Arial" w:hAnsi="Arial" w:cs="Arial"/>
      <w:sz w:val="20"/>
      <w:szCs w:val="20"/>
    </w:rPr>
  </w:style>
  <w:style w:type="paragraph" w:styleId="Revision">
    <w:name w:val="Revision"/>
    <w:hidden/>
    <w:uiPriority w:val="99"/>
    <w:semiHidden/>
    <w:rsid w:val="00320862"/>
    <w:pPr>
      <w:widowControl/>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dhsustainabletrade.com/uploaded/2021/11/SpeakUp-policy_20211115.pdf" TargetMode="External"/><Relationship Id="rId13" Type="http://schemas.openxmlformats.org/officeDocument/2006/relationships/hyperlink" Target="https://www.speakupfeedback.eu/web/idh/co/enter_access_code/766" TargetMode="External"/><Relationship Id="rId18" Type="http://schemas.openxmlformats.org/officeDocument/2006/relationships/hyperlink" Target="https://secure.ethicspoint.co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idhsustainabletrade.com/privacy-statement/" TargetMode="External"/><Relationship Id="rId7" Type="http://schemas.openxmlformats.org/officeDocument/2006/relationships/endnotes" Target="endnotes.xml"/><Relationship Id="rId12" Type="http://schemas.openxmlformats.org/officeDocument/2006/relationships/hyperlink" Target="https://www.speakupfeedback.eu/web/idhcommunityline/" TargetMode="External"/><Relationship Id="rId17" Type="http://schemas.openxmlformats.org/officeDocument/2006/relationships/hyperlink" Target="https://www.speakupfeedback.eu/web/idh/co/enter_access_code/b1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peakupfeedback.eu/web/idh/co/enter_access_code/766" TargetMode="External"/><Relationship Id="rId20" Type="http://schemas.openxmlformats.org/officeDocument/2006/relationships/hyperlink" Target="https://secure.ethicspoin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dhsustainabletrade.com/uploaded/2021/05/IDH-General-terms-and-conditions-for-SERVICES.pdf" TargetMode="External"/><Relationship Id="rId24" Type="http://schemas.openxmlformats.org/officeDocument/2006/relationships/footer" Target="footer1.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speakupfeedback.eu/web/idhcommunitylin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idhsustainabletrade.com/policies/" TargetMode="External"/><Relationship Id="rId19" Type="http://schemas.openxmlformats.org/officeDocument/2006/relationships/image" Target="media/image1.pn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idhsustainabletrade.com/policies/" TargetMode="External"/><Relationship Id="rId14" Type="http://schemas.openxmlformats.org/officeDocument/2006/relationships/hyperlink" Target="https://www.speakupfeedback.eu/web/idh/co/enter_access_code/b19"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IZSODfTJ2f/Pq+BkZQvqMh+suQ==">AMUW2mWIwXMdzIbLj5gC1PTsqv8rOuUE2hJZoxKEtDVCbKS7Yukt93Zzl0Ps8jNePcLBasR+vC8CL0Nxv8vZDPBg5mGPNtsFck1D+LdEUmkZkRmnO3Sn3SF/pxJzNMkg8sw1yMLuE7gz+pVXDltCfsAxJe1g1lXa1XwR0gNCbKlbAet3uupTWzSDgfL8+0ALzeHRs32XuGZk4dHkL+FA4AjphxvkE7xWarJ/IxXLxPAJJx5cYb1aV6YCQYcFerywxL0eGJYL+8A5vCLgA+Nmo3HITkxFVv7GG8Q2FwXmRdOtRDZOkzaFc/9SDIDsrzY/VF5cYIoxkJYgJscxL84So9WA4dgDqAqRTt00e75UFTEA3acVJ+YEbYdbRybDw1OH34tKYJd578WL</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6C26EEF8760DA4FAAF8F18ADE3FC85C" ma:contentTypeVersion="22" ma:contentTypeDescription="Create a new document." ma:contentTypeScope="" ma:versionID="163c1a9522cf939202095a856a196920">
  <xsd:schema xmlns:xsd="http://www.w3.org/2001/XMLSchema" xmlns:xs="http://www.w3.org/2001/XMLSchema" xmlns:p="http://schemas.microsoft.com/office/2006/metadata/properties" xmlns:ns1="http://schemas.microsoft.com/sharepoint/v3" xmlns:ns2="fd35fde0-7421-4a34-a774-f438bb92962e" xmlns:ns3="6d32a6d6-1a42-4ee3-96ac-b6b2542cab14" xmlns:ns4="f57df1ab-6810-4fa8-9caa-de92a9b262c5" targetNamespace="http://schemas.microsoft.com/office/2006/metadata/properties" ma:root="true" ma:fieldsID="4f9d1c4e36b4cbdddce70cb0a765bf2a" ns1:_="" ns2:_="" ns3:_="" ns4:_="">
    <xsd:import namespace="http://schemas.microsoft.com/sharepoint/v3"/>
    <xsd:import namespace="fd35fde0-7421-4a34-a774-f438bb92962e"/>
    <xsd:import namespace="6d32a6d6-1a42-4ee3-96ac-b6b2542cab14"/>
    <xsd:import namespace="f57df1ab-6810-4fa8-9caa-de92a9b262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SubmittedtotheProgram_x003f_Yes_x002f_No" minOccurs="0"/>
                <xsd:element ref="ns3:wjad"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LengthInSecond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DocType" ma:index="30" nillable="true" ma:displayName="DocType" ma:default="" ma:format="Dropdown" ma:internalName="DocType">
      <xsd:simpleType>
        <xsd:restriction base="dms:Choice">
          <xsd:enumeration value="Templates"/>
          <xsd:enumeration value="Tax"/>
          <xsd:enumeration value="Governing Documents"/>
          <xsd:enumeration value="Registration and Annual Compliance"/>
          <xsd:enumeration value="Key Documents"/>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6d32a6d6-1a42-4ee3-96ac-b6b2542cab1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SubmittedtotheProgram_x003f_Yes_x002f_No" ma:index="21" nillable="true" ma:displayName="Submitted to the Program? Yes/No" ma:default="1" ma:format="Dropdown" ma:internalName="SubmittedtotheProgram_x003f_Yes_x002f_No">
      <xsd:simpleType>
        <xsd:restriction base="dms:Boolean"/>
      </xsd:simpleType>
    </xsd:element>
    <xsd:element name="wjad" ma:index="22" nillable="true" ma:displayName="Notes/Actions" ma:internalName="wjad">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8962ef5-89ac-4c9d-82cd-a58d59d578ad}" ma:internalName="TaxCatchAll" ma:showField="CatchAllData" ma:web="fd35fde0-7421-4a34-a774-f438bb929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mittedtotheProgram_x003f_Yes_x002f_No xmlns="6d32a6d6-1a42-4ee3-96ac-b6b2542cab14">true</SubmittedtotheProgram_x003f_Yes_x002f_No>
    <_ip_UnifiedCompliancePolicyUIAction xmlns="http://schemas.microsoft.com/sharepoint/v3" xsi:nil="true"/>
    <lcf76f155ced4ddcb4097134ff3c332f xmlns="6d32a6d6-1a42-4ee3-96ac-b6b2542cab14">
      <Terms xmlns="http://schemas.microsoft.com/office/infopath/2007/PartnerControls"/>
    </lcf76f155ced4ddcb4097134ff3c332f>
    <TaxCatchAll xmlns="f57df1ab-6810-4fa8-9caa-de92a9b262c5" xsi:nil="true"/>
    <wjad xmlns="6d32a6d6-1a42-4ee3-96ac-b6b2542cab14" xsi:nil="true"/>
    <_ip_UnifiedCompliancePolicyProperties xmlns="http://schemas.microsoft.com/sharepoint/v3" xsi:nil="true"/>
    <DocType xmlns="fd35fde0-7421-4a34-a774-f438bb92962e"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352C9F1-9907-49F7-80C5-A477EF7A26E1}"/>
</file>

<file path=customXml/itemProps3.xml><?xml version="1.0" encoding="utf-8"?>
<ds:datastoreItem xmlns:ds="http://schemas.openxmlformats.org/officeDocument/2006/customXml" ds:itemID="{044227ED-8A2A-496D-89AC-B55D6664A1A4}"/>
</file>

<file path=customXml/itemProps4.xml><?xml version="1.0" encoding="utf-8"?>
<ds:datastoreItem xmlns:ds="http://schemas.openxmlformats.org/officeDocument/2006/customXml" ds:itemID="{69899175-2631-4D11-A6EE-4771966355D4}"/>
</file>

<file path=docProps/app.xml><?xml version="1.0" encoding="utf-8"?>
<Properties xmlns="http://schemas.openxmlformats.org/officeDocument/2006/extended-properties" xmlns:vt="http://schemas.openxmlformats.org/officeDocument/2006/docPropsVTypes">
  <Template>Normal</Template>
  <TotalTime>2</TotalTime>
  <Pages>8</Pages>
  <Words>3714</Words>
  <Characters>20427</Characters>
  <Application>Microsoft Office Word</Application>
  <DocSecurity>4</DocSecurity>
  <Lines>170</Lines>
  <Paragraphs>48</Paragraphs>
  <ScaleCrop>false</ScaleCrop>
  <Company/>
  <LinksUpToDate>false</LinksUpToDate>
  <CharactersWithSpaces>24093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joash.obare@climatecare.org</dc:creator>
  <cp:lastModifiedBy>Juliana Rios</cp:lastModifiedBy>
  <cp:revision>2</cp:revision>
  <dcterms:created xsi:type="dcterms:W3CDTF">2023-02-14T19:31:00Z</dcterms:created>
  <dcterms:modified xsi:type="dcterms:W3CDTF">2023-02-14T19:31:00Z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2014-04-25T00:00:00Z</vt:filetime>
  </property>
  <property fmtid="{D5CDD505-2E9C-101B-9397-08002B2CF9AE}" pid="3" name="Creator">
    <vt:lpwstr>Microsoft® Word 2010</vt:lpwstr>
  </property>
  <property fmtid="{D5CDD505-2E9C-101B-9397-08002B2CF9AE}" pid="4" name="LastSaved">
    <vt:filetime>2017-05-17T00:00:00Z</vt:filetime>
  </property>
  <property fmtid="{D5CDD505-2E9C-101B-9397-08002B2CF9AE}" pid="5" name="ContentTypeId">
    <vt:lpwstr>0x01010066C26EEF8760DA4FAAF8F18ADE3FC85C</vt:lpwstr>
  </property>
</Properties>
</file>