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AC2A5E" w:rsidRDefault="009549BA">
      <w:pPr>
        <w:pBdr>
          <w:top w:val="nil"/>
          <w:left w:val="nil"/>
          <w:bottom w:val="nil"/>
          <w:right w:val="nil"/>
          <w:between w:val="nil"/>
        </w:pBdr>
        <w:tabs>
          <w:tab w:val="center" w:pos="4513"/>
          <w:tab w:val="right" w:pos="9026"/>
        </w:tabs>
        <w:jc w:val="center"/>
        <w:rPr>
          <w:rFonts w:ascii="Calibri" w:eastAsia="Calibri" w:hAnsi="Calibri" w:cs="Calibri"/>
          <w:b/>
          <w:color w:val="000000"/>
          <w:sz w:val="32"/>
          <w:szCs w:val="32"/>
        </w:rPr>
      </w:pPr>
      <w:r>
        <w:rPr>
          <w:rFonts w:ascii="Calibri" w:eastAsia="Calibri" w:hAnsi="Calibri" w:cs="Calibri"/>
          <w:b/>
          <w:color w:val="000000"/>
          <w:sz w:val="32"/>
          <w:szCs w:val="32"/>
        </w:rPr>
        <w:t>CI-GEF/GCF PROJECT AGENCY</w:t>
      </w:r>
    </w:p>
    <w:p w14:paraId="00000002" w14:textId="77777777" w:rsidR="00AC2A5E" w:rsidRDefault="009549BA">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STAKEHOLDER ENGAGEMENT PLAN (SEP)</w:t>
      </w:r>
    </w:p>
    <w:p w14:paraId="00000003" w14:textId="77777777" w:rsidR="00AC2A5E" w:rsidRDefault="00AC2A5E">
      <w:pPr>
        <w:pBdr>
          <w:top w:val="nil"/>
          <w:left w:val="nil"/>
          <w:bottom w:val="single" w:sz="4" w:space="1" w:color="000000"/>
          <w:right w:val="nil"/>
          <w:between w:val="nil"/>
        </w:pBdr>
        <w:rPr>
          <w:rFonts w:ascii="Calibri" w:eastAsia="Calibri" w:hAnsi="Calibri" w:cs="Calibri"/>
          <w:color w:val="000000"/>
          <w:sz w:val="24"/>
          <w:szCs w:val="24"/>
        </w:rPr>
      </w:pPr>
    </w:p>
    <w:p w14:paraId="00000004" w14:textId="77777777" w:rsidR="00AC2A5E" w:rsidRDefault="009549BA">
      <w:pPr>
        <w:pBdr>
          <w:top w:val="nil"/>
          <w:left w:val="nil"/>
          <w:bottom w:val="single" w:sz="4" w:space="1" w:color="000000"/>
          <w:right w:val="nil"/>
          <w:between w:val="nil"/>
        </w:pBdr>
        <w:jc w:val="both"/>
        <w:rPr>
          <w:rFonts w:ascii="Calibri" w:eastAsia="Calibri" w:hAnsi="Calibri" w:cs="Calibri"/>
          <w:b/>
          <w:color w:val="000000"/>
          <w:sz w:val="24"/>
          <w:szCs w:val="24"/>
        </w:rPr>
      </w:pPr>
      <w:r>
        <w:rPr>
          <w:rFonts w:ascii="Calibri" w:eastAsia="Calibri" w:hAnsi="Calibri" w:cs="Calibri"/>
          <w:color w:val="000000"/>
          <w:sz w:val="24"/>
          <w:szCs w:val="24"/>
        </w:rPr>
        <w:t xml:space="preserve">The Stakeholder Engagement Plan (SEP) outlines the differentiated measures that the Executing Agency/Entity will implement to ensure the effective participation of key project stakeholders, including both men and women and those identified as disadvantaged or vulnerable stakeholders. The level of detail in the SEP will vary; it must be scaled to the scope of the project, numbers of stakeholders involved, and potential risks and impacts present. </w:t>
      </w:r>
    </w:p>
    <w:p w14:paraId="00000005" w14:textId="77777777" w:rsidR="00AC2A5E" w:rsidRDefault="00AC2A5E">
      <w:pPr>
        <w:pBdr>
          <w:top w:val="nil"/>
          <w:left w:val="nil"/>
          <w:bottom w:val="single" w:sz="4" w:space="1" w:color="000000"/>
          <w:right w:val="nil"/>
          <w:between w:val="nil"/>
        </w:pBdr>
        <w:jc w:val="both"/>
        <w:rPr>
          <w:rFonts w:ascii="Calibri" w:eastAsia="Calibri" w:hAnsi="Calibri" w:cs="Calibri"/>
          <w:b/>
          <w:color w:val="000000"/>
          <w:sz w:val="24"/>
          <w:szCs w:val="24"/>
        </w:rPr>
      </w:pPr>
    </w:p>
    <w:p w14:paraId="00000006" w14:textId="77777777" w:rsidR="00AC2A5E" w:rsidRDefault="009549BA">
      <w:pPr>
        <w:pBdr>
          <w:top w:val="nil"/>
          <w:left w:val="nil"/>
          <w:bottom w:val="single" w:sz="4" w:space="1" w:color="000000"/>
          <w:right w:val="nil"/>
          <w:between w:val="nil"/>
        </w:pBdr>
        <w:jc w:val="both"/>
        <w:rPr>
          <w:rFonts w:ascii="Calibri" w:eastAsia="Calibri" w:hAnsi="Calibri" w:cs="Calibri"/>
          <w:b/>
          <w:color w:val="000000"/>
          <w:sz w:val="24"/>
          <w:szCs w:val="24"/>
        </w:rPr>
      </w:pPr>
      <w:r>
        <w:rPr>
          <w:rFonts w:ascii="Calibri" w:eastAsia="Calibri" w:hAnsi="Calibri" w:cs="Calibri"/>
          <w:color w:val="000000"/>
          <w:sz w:val="24"/>
          <w:szCs w:val="24"/>
        </w:rPr>
        <w:t xml:space="preserve">The SEP includes a </w:t>
      </w:r>
      <w:r>
        <w:rPr>
          <w:rFonts w:ascii="Calibri" w:eastAsia="Calibri" w:hAnsi="Calibri" w:cs="Calibri"/>
          <w:b/>
          <w:color w:val="000000"/>
          <w:sz w:val="24"/>
          <w:szCs w:val="24"/>
        </w:rPr>
        <w:t>Stakeholder Analysis</w:t>
      </w:r>
      <w:r>
        <w:rPr>
          <w:rFonts w:ascii="Calibri" w:eastAsia="Calibri" w:hAnsi="Calibri" w:cs="Calibri"/>
          <w:color w:val="000000"/>
          <w:sz w:val="24"/>
          <w:szCs w:val="24"/>
        </w:rPr>
        <w:t xml:space="preserve"> (Section III) to identify all actors who directly or indirectly may affect or be affected by a project and their varying interests. The SEP also outlines stakeholder engagement throughout the project lifecycle, including: </w:t>
      </w:r>
      <w:r>
        <w:rPr>
          <w:rFonts w:ascii="Calibri" w:eastAsia="Calibri" w:hAnsi="Calibri" w:cs="Calibri"/>
          <w:b/>
          <w:color w:val="000000"/>
          <w:sz w:val="24"/>
          <w:szCs w:val="24"/>
        </w:rPr>
        <w:t>Stakeholder Engagement in PPG/PPF Phase</w:t>
      </w:r>
      <w:r>
        <w:rPr>
          <w:rFonts w:ascii="Calibri" w:eastAsia="Calibri" w:hAnsi="Calibri" w:cs="Calibri"/>
          <w:color w:val="000000"/>
          <w:sz w:val="24"/>
          <w:szCs w:val="24"/>
        </w:rPr>
        <w:t xml:space="preserve"> (Section IV), </w:t>
      </w:r>
      <w:r>
        <w:rPr>
          <w:rFonts w:ascii="Calibri" w:eastAsia="Calibri" w:hAnsi="Calibri" w:cs="Calibri"/>
          <w:b/>
          <w:color w:val="000000"/>
          <w:sz w:val="24"/>
          <w:szCs w:val="24"/>
        </w:rPr>
        <w:t>Stakeholder Engagement in Implementation Phase</w:t>
      </w:r>
      <w:r>
        <w:rPr>
          <w:rFonts w:ascii="Calibri" w:eastAsia="Calibri" w:hAnsi="Calibri" w:cs="Calibri"/>
          <w:color w:val="000000"/>
          <w:sz w:val="24"/>
          <w:szCs w:val="24"/>
        </w:rPr>
        <w:t xml:space="preserve"> (Section V), and </w:t>
      </w:r>
      <w:r>
        <w:rPr>
          <w:rFonts w:ascii="Calibri" w:eastAsia="Calibri" w:hAnsi="Calibri" w:cs="Calibri"/>
          <w:b/>
          <w:color w:val="000000"/>
          <w:sz w:val="24"/>
          <w:szCs w:val="24"/>
        </w:rPr>
        <w:t>Monitoring and Reporting</w:t>
      </w:r>
      <w:r>
        <w:rPr>
          <w:rFonts w:ascii="Calibri" w:eastAsia="Calibri" w:hAnsi="Calibri" w:cs="Calibri"/>
          <w:color w:val="000000"/>
          <w:sz w:val="24"/>
          <w:szCs w:val="24"/>
        </w:rPr>
        <w:t xml:space="preserve"> (Section VI). These sections outline the appropriate methods for engagement, including through neutral/third party facilitators, when necessary. They also detail required public disclosure of information on project scope and impacts, a grievance redress mechanism, the budget to complete stakeholder engagement, indicators, and learning throughout the project cycle. </w:t>
      </w:r>
    </w:p>
    <w:p w14:paraId="00000007" w14:textId="77777777" w:rsidR="00AC2A5E" w:rsidRDefault="00AC2A5E">
      <w:pPr>
        <w:pBdr>
          <w:top w:val="nil"/>
          <w:left w:val="nil"/>
          <w:bottom w:val="single" w:sz="4" w:space="1" w:color="000000"/>
          <w:right w:val="nil"/>
          <w:between w:val="nil"/>
        </w:pBdr>
        <w:rPr>
          <w:rFonts w:ascii="Calibri" w:eastAsia="Calibri" w:hAnsi="Calibri" w:cs="Calibri"/>
          <w:b/>
          <w:color w:val="000000"/>
          <w:sz w:val="24"/>
          <w:szCs w:val="24"/>
        </w:rPr>
      </w:pPr>
    </w:p>
    <w:p w14:paraId="00000008" w14:textId="77777777" w:rsidR="00AC2A5E" w:rsidRDefault="009549BA">
      <w:pPr>
        <w:pBdr>
          <w:top w:val="nil"/>
          <w:left w:val="nil"/>
          <w:bottom w:val="single" w:sz="4" w:space="1" w:color="000000"/>
          <w:right w:val="nil"/>
          <w:between w:val="nil"/>
        </w:pBdr>
        <w:rPr>
          <w:rFonts w:ascii="Calibri" w:eastAsia="Calibri" w:hAnsi="Calibri" w:cs="Calibri"/>
          <w:b/>
          <w:color w:val="000000"/>
          <w:sz w:val="24"/>
          <w:szCs w:val="24"/>
        </w:rPr>
      </w:pPr>
      <w:r>
        <w:rPr>
          <w:rFonts w:ascii="Calibri" w:eastAsia="Calibri" w:hAnsi="Calibri" w:cs="Calibri"/>
          <w:color w:val="000000"/>
          <w:sz w:val="24"/>
          <w:szCs w:val="24"/>
        </w:rPr>
        <w:t>Each revision of the plan requires further disclosure to stakeholders.</w:t>
      </w:r>
    </w:p>
    <w:p w14:paraId="00000009" w14:textId="77777777" w:rsidR="00AC2A5E" w:rsidRDefault="00AC2A5E">
      <w:pPr>
        <w:pBdr>
          <w:top w:val="nil"/>
          <w:left w:val="nil"/>
          <w:bottom w:val="single" w:sz="4" w:space="1" w:color="000000"/>
          <w:right w:val="nil"/>
          <w:between w:val="nil"/>
        </w:pBdr>
        <w:rPr>
          <w:rFonts w:ascii="Calibri" w:eastAsia="Calibri" w:hAnsi="Calibri" w:cs="Calibri"/>
          <w:color w:val="000000"/>
          <w:sz w:val="24"/>
          <w:szCs w:val="24"/>
        </w:rPr>
      </w:pPr>
    </w:p>
    <w:p w14:paraId="0000000A" w14:textId="77777777" w:rsidR="00AC2A5E" w:rsidRDefault="009549BA">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b/>
          <w:color w:val="000000"/>
          <w:sz w:val="28"/>
          <w:szCs w:val="28"/>
        </w:rPr>
        <w:t>SECTION I: Project Information</w:t>
      </w:r>
    </w:p>
    <w:p w14:paraId="0000000B" w14:textId="77777777" w:rsidR="00AC2A5E" w:rsidRDefault="00AC2A5E">
      <w:pPr>
        <w:pBdr>
          <w:top w:val="nil"/>
          <w:left w:val="nil"/>
          <w:bottom w:val="nil"/>
          <w:right w:val="nil"/>
          <w:between w:val="nil"/>
        </w:pBdr>
        <w:rPr>
          <w:rFonts w:ascii="Calibri" w:eastAsia="Calibri" w:hAnsi="Calibri" w:cs="Calibri"/>
          <w:color w:val="000000"/>
          <w:sz w:val="24"/>
          <w:szCs w:val="24"/>
        </w:rPr>
      </w:pPr>
    </w:p>
    <w:tbl>
      <w:tblPr>
        <w:tblStyle w:val="aff"/>
        <w:tblW w:w="10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1670"/>
        <w:gridCol w:w="850"/>
        <w:gridCol w:w="2250"/>
        <w:gridCol w:w="2562"/>
      </w:tblGrid>
      <w:tr w:rsidR="00AC2A5E" w14:paraId="01F80CCD" w14:textId="77777777">
        <w:trPr>
          <w:trHeight w:val="488"/>
        </w:trPr>
        <w:tc>
          <w:tcPr>
            <w:tcW w:w="2695" w:type="dxa"/>
            <w:shd w:val="clear" w:color="auto" w:fill="C6D9F1"/>
            <w:vAlign w:val="center"/>
          </w:tcPr>
          <w:p w14:paraId="0000000C" w14:textId="77777777" w:rsidR="00AC2A5E" w:rsidRDefault="009549BA">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PROJECT TITLE:</w:t>
            </w:r>
          </w:p>
        </w:tc>
        <w:tc>
          <w:tcPr>
            <w:tcW w:w="7332" w:type="dxa"/>
            <w:gridSpan w:val="4"/>
            <w:vAlign w:val="center"/>
          </w:tcPr>
          <w:p w14:paraId="0000000D" w14:textId="77777777" w:rsidR="00AC2A5E" w:rsidRDefault="009549BA">
            <w:pPr>
              <w:widowControl/>
              <w:pBdr>
                <w:top w:val="nil"/>
                <w:left w:val="nil"/>
                <w:bottom w:val="nil"/>
                <w:right w:val="nil"/>
                <w:between w:val="nil"/>
              </w:pBdr>
              <w:shd w:val="clear" w:color="auto" w:fill="FFFFFF"/>
              <w:ind w:right="180"/>
              <w:rPr>
                <w:rFonts w:ascii="Calibri" w:eastAsia="Calibri" w:hAnsi="Calibri" w:cs="Calibri"/>
                <w:color w:val="000000"/>
                <w:sz w:val="20"/>
                <w:szCs w:val="20"/>
              </w:rPr>
            </w:pPr>
            <w:r>
              <w:rPr>
                <w:rFonts w:ascii="Calibri" w:eastAsia="Calibri" w:hAnsi="Calibri" w:cs="Calibri"/>
                <w:b/>
                <w:color w:val="000000"/>
                <w:sz w:val="20"/>
                <w:szCs w:val="20"/>
              </w:rPr>
              <w:t>Restaura Biomas</w:t>
            </w:r>
            <w:r>
              <w:rPr>
                <w:rFonts w:ascii="Calibri" w:eastAsia="Calibri" w:hAnsi="Calibri" w:cs="Calibri"/>
                <w:color w:val="000000"/>
                <w:sz w:val="20"/>
                <w:szCs w:val="20"/>
              </w:rPr>
              <w:t xml:space="preserve"> - Enabling large-scale restoration through the National Policy for the Recovery of Native Vegetation in Brazil </w:t>
            </w:r>
          </w:p>
        </w:tc>
      </w:tr>
      <w:tr w:rsidR="00AC2A5E" w14:paraId="240FC9D3" w14:textId="77777777">
        <w:trPr>
          <w:trHeight w:val="488"/>
        </w:trPr>
        <w:tc>
          <w:tcPr>
            <w:tcW w:w="2695" w:type="dxa"/>
            <w:shd w:val="clear" w:color="auto" w:fill="C6D9F1"/>
            <w:vAlign w:val="center"/>
          </w:tcPr>
          <w:p w14:paraId="00000011" w14:textId="77777777" w:rsidR="00AC2A5E" w:rsidRDefault="009549BA">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GEF/GCF PROJECT ID:</w:t>
            </w:r>
          </w:p>
        </w:tc>
        <w:tc>
          <w:tcPr>
            <w:tcW w:w="2520" w:type="dxa"/>
            <w:gridSpan w:val="2"/>
            <w:vAlign w:val="center"/>
          </w:tcPr>
          <w:p w14:paraId="00000012" w14:textId="77777777" w:rsidR="00AC2A5E" w:rsidRDefault="009549B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11124</w:t>
            </w:r>
          </w:p>
        </w:tc>
        <w:tc>
          <w:tcPr>
            <w:tcW w:w="2250" w:type="dxa"/>
            <w:shd w:val="clear" w:color="auto" w:fill="C6D9F1"/>
            <w:vAlign w:val="center"/>
          </w:tcPr>
          <w:p w14:paraId="00000014" w14:textId="77777777" w:rsidR="00AC2A5E" w:rsidRDefault="009549B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PROJECT DURATION:</w:t>
            </w:r>
          </w:p>
        </w:tc>
        <w:tc>
          <w:tcPr>
            <w:tcW w:w="2562" w:type="dxa"/>
            <w:vAlign w:val="center"/>
          </w:tcPr>
          <w:p w14:paraId="00000015" w14:textId="77777777" w:rsidR="00AC2A5E" w:rsidRDefault="009549B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60 months</w:t>
            </w:r>
          </w:p>
        </w:tc>
      </w:tr>
      <w:tr w:rsidR="00AC2A5E" w14:paraId="0CBE63B9" w14:textId="77777777">
        <w:trPr>
          <w:trHeight w:val="488"/>
        </w:trPr>
        <w:tc>
          <w:tcPr>
            <w:tcW w:w="2695" w:type="dxa"/>
            <w:shd w:val="clear" w:color="auto" w:fill="C6D9F1"/>
            <w:vAlign w:val="center"/>
          </w:tcPr>
          <w:p w14:paraId="00000016" w14:textId="77777777" w:rsidR="00AC2A5E" w:rsidRDefault="009549BA">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EXECUTING AGENCY/ENTITY:</w:t>
            </w:r>
          </w:p>
        </w:tc>
        <w:tc>
          <w:tcPr>
            <w:tcW w:w="7332" w:type="dxa"/>
            <w:gridSpan w:val="4"/>
            <w:vAlign w:val="center"/>
          </w:tcPr>
          <w:p w14:paraId="00000017" w14:textId="77777777" w:rsidR="00AC2A5E" w:rsidRDefault="009549B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World Resources Institute (WRI-</w:t>
            </w:r>
            <w:proofErr w:type="spellStart"/>
            <w:r>
              <w:rPr>
                <w:rFonts w:ascii="Calibri" w:eastAsia="Calibri" w:hAnsi="Calibri" w:cs="Calibri"/>
                <w:color w:val="000000"/>
                <w:sz w:val="20"/>
                <w:szCs w:val="20"/>
              </w:rPr>
              <w:t>Brasil</w:t>
            </w:r>
            <w:proofErr w:type="spellEnd"/>
            <w:r>
              <w:rPr>
                <w:rFonts w:ascii="Calibri" w:eastAsia="Calibri" w:hAnsi="Calibri" w:cs="Calibri"/>
                <w:color w:val="000000"/>
                <w:sz w:val="20"/>
                <w:szCs w:val="20"/>
              </w:rPr>
              <w:t>)</w:t>
            </w:r>
          </w:p>
        </w:tc>
      </w:tr>
      <w:tr w:rsidR="00AC2A5E" w14:paraId="7F045FEF" w14:textId="77777777">
        <w:trPr>
          <w:trHeight w:val="488"/>
        </w:trPr>
        <w:tc>
          <w:tcPr>
            <w:tcW w:w="2695" w:type="dxa"/>
            <w:shd w:val="clear" w:color="auto" w:fill="C6D9F1"/>
            <w:vAlign w:val="center"/>
          </w:tcPr>
          <w:p w14:paraId="0000001B" w14:textId="77777777" w:rsidR="00AC2A5E" w:rsidRDefault="009549BA">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PROJECT START DATE</w:t>
            </w:r>
            <w:r>
              <w:rPr>
                <w:rFonts w:ascii="Calibri" w:eastAsia="Calibri" w:hAnsi="Calibri" w:cs="Calibri"/>
                <w:i/>
                <w:color w:val="000000"/>
                <w:sz w:val="20"/>
                <w:szCs w:val="20"/>
              </w:rPr>
              <w:t>:</w:t>
            </w:r>
          </w:p>
        </w:tc>
        <w:tc>
          <w:tcPr>
            <w:tcW w:w="2520" w:type="dxa"/>
            <w:gridSpan w:val="2"/>
            <w:vAlign w:val="center"/>
          </w:tcPr>
          <w:p w14:paraId="0000001C" w14:textId="77777777" w:rsidR="00AC2A5E" w:rsidRDefault="009549B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i/>
                <w:color w:val="000000"/>
                <w:sz w:val="20"/>
                <w:szCs w:val="20"/>
              </w:rPr>
              <w:t>(01/2025)</w:t>
            </w:r>
          </w:p>
        </w:tc>
        <w:tc>
          <w:tcPr>
            <w:tcW w:w="2250" w:type="dxa"/>
            <w:shd w:val="clear" w:color="auto" w:fill="C6D9F1"/>
            <w:vAlign w:val="center"/>
          </w:tcPr>
          <w:p w14:paraId="0000001E" w14:textId="77777777" w:rsidR="00AC2A5E" w:rsidRDefault="009549BA">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PROJECT END DATE</w:t>
            </w:r>
            <w:r>
              <w:rPr>
                <w:rFonts w:ascii="Calibri" w:eastAsia="Calibri" w:hAnsi="Calibri" w:cs="Calibri"/>
                <w:i/>
                <w:color w:val="000000"/>
                <w:sz w:val="20"/>
                <w:szCs w:val="20"/>
              </w:rPr>
              <w:t>:</w:t>
            </w:r>
          </w:p>
        </w:tc>
        <w:tc>
          <w:tcPr>
            <w:tcW w:w="2562" w:type="dxa"/>
            <w:vAlign w:val="center"/>
          </w:tcPr>
          <w:p w14:paraId="0000001F" w14:textId="77777777" w:rsidR="00AC2A5E" w:rsidRDefault="009549B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i/>
                <w:color w:val="000000"/>
                <w:sz w:val="20"/>
                <w:szCs w:val="20"/>
              </w:rPr>
              <w:t>(12/2029)</w:t>
            </w:r>
          </w:p>
        </w:tc>
      </w:tr>
      <w:tr w:rsidR="00AC2A5E" w14:paraId="65E148B6" w14:textId="77777777">
        <w:trPr>
          <w:trHeight w:val="488"/>
        </w:trPr>
        <w:tc>
          <w:tcPr>
            <w:tcW w:w="4365" w:type="dxa"/>
            <w:gridSpan w:val="2"/>
            <w:shd w:val="clear" w:color="auto" w:fill="C6D9F1"/>
            <w:vAlign w:val="center"/>
          </w:tcPr>
          <w:p w14:paraId="00000020" w14:textId="77777777" w:rsidR="00AC2A5E" w:rsidRDefault="009549BA">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SEP PREPARED BY:</w:t>
            </w:r>
          </w:p>
        </w:tc>
        <w:tc>
          <w:tcPr>
            <w:tcW w:w="5662" w:type="dxa"/>
            <w:gridSpan w:val="3"/>
            <w:vAlign w:val="center"/>
          </w:tcPr>
          <w:p w14:paraId="00000022" w14:textId="77777777" w:rsidR="00AC2A5E" w:rsidRDefault="009549B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Lauren Steensma and Tom Chellew (</w:t>
            </w:r>
            <w:proofErr w:type="spellStart"/>
            <w:r>
              <w:rPr>
                <w:rFonts w:ascii="Calibri" w:eastAsia="Calibri" w:hAnsi="Calibri" w:cs="Calibri"/>
                <w:color w:val="000000"/>
                <w:sz w:val="20"/>
                <w:szCs w:val="20"/>
              </w:rPr>
              <w:t>Terranomics</w:t>
            </w:r>
            <w:proofErr w:type="spellEnd"/>
            <w:r>
              <w:rPr>
                <w:rFonts w:ascii="Calibri" w:eastAsia="Calibri" w:hAnsi="Calibri" w:cs="Calibri"/>
                <w:color w:val="000000"/>
                <w:sz w:val="20"/>
                <w:szCs w:val="20"/>
              </w:rPr>
              <w:t>) and Ricardo Woldmar (independent consultant)</w:t>
            </w:r>
          </w:p>
        </w:tc>
      </w:tr>
      <w:tr w:rsidR="00AC2A5E" w14:paraId="0EAF55BF" w14:textId="77777777">
        <w:trPr>
          <w:trHeight w:val="488"/>
        </w:trPr>
        <w:tc>
          <w:tcPr>
            <w:tcW w:w="4365" w:type="dxa"/>
            <w:gridSpan w:val="2"/>
            <w:shd w:val="clear" w:color="auto" w:fill="C6D9F1"/>
            <w:vAlign w:val="center"/>
          </w:tcPr>
          <w:p w14:paraId="00000025" w14:textId="77777777" w:rsidR="00AC2A5E" w:rsidRDefault="009549BA">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DATE OF (RE)SUBMISSION TO CI-GEF/GCF:</w:t>
            </w:r>
          </w:p>
        </w:tc>
        <w:tc>
          <w:tcPr>
            <w:tcW w:w="5662" w:type="dxa"/>
            <w:gridSpan w:val="3"/>
            <w:vAlign w:val="center"/>
          </w:tcPr>
          <w:p w14:paraId="00000027" w14:textId="77777777" w:rsidR="00AC2A5E" w:rsidRDefault="009549B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9 May 2024, 7 June 2024, 13 June 2024</w:t>
            </w:r>
          </w:p>
        </w:tc>
      </w:tr>
      <w:tr w:rsidR="00AC2A5E" w14:paraId="77793BE0" w14:textId="77777777">
        <w:trPr>
          <w:trHeight w:val="488"/>
        </w:trPr>
        <w:tc>
          <w:tcPr>
            <w:tcW w:w="4365" w:type="dxa"/>
            <w:gridSpan w:val="2"/>
            <w:shd w:val="clear" w:color="auto" w:fill="C6D9F1"/>
            <w:vAlign w:val="center"/>
          </w:tcPr>
          <w:p w14:paraId="0000002A" w14:textId="77777777" w:rsidR="00AC2A5E" w:rsidRDefault="009549BA">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SEP APPROVED BY:</w:t>
            </w:r>
          </w:p>
        </w:tc>
        <w:tc>
          <w:tcPr>
            <w:tcW w:w="5662" w:type="dxa"/>
            <w:gridSpan w:val="3"/>
            <w:vAlign w:val="center"/>
          </w:tcPr>
          <w:p w14:paraId="0000002C" w14:textId="16CE55BD" w:rsidR="00AC2A5E" w:rsidRDefault="008B7D06">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Cs/>
                <w:color w:val="000000"/>
              </w:rPr>
              <w:t>Ian Kissoon, Senior Director, ESMF, CI-GEF Agency</w:t>
            </w:r>
          </w:p>
        </w:tc>
      </w:tr>
      <w:tr w:rsidR="00F9729E" w14:paraId="740FCA0A" w14:textId="77777777">
        <w:trPr>
          <w:trHeight w:val="488"/>
        </w:trPr>
        <w:tc>
          <w:tcPr>
            <w:tcW w:w="4365" w:type="dxa"/>
            <w:gridSpan w:val="2"/>
            <w:shd w:val="clear" w:color="auto" w:fill="C6D9F1"/>
            <w:vAlign w:val="center"/>
          </w:tcPr>
          <w:p w14:paraId="5F5DE47D" w14:textId="314A8E90" w:rsidR="00F9729E" w:rsidRDefault="00F9729E" w:rsidP="00F9729E">
            <w:pPr>
              <w:pBdr>
                <w:top w:val="nil"/>
                <w:left w:val="nil"/>
                <w:bottom w:val="nil"/>
                <w:right w:val="nil"/>
                <w:between w:val="nil"/>
              </w:pBdr>
              <w:jc w:val="center"/>
              <w:rPr>
                <w:rFonts w:ascii="Calibri" w:eastAsia="Calibri" w:hAnsi="Calibri" w:cs="Calibri"/>
                <w:b/>
                <w:color w:val="000000"/>
                <w:sz w:val="20"/>
                <w:szCs w:val="20"/>
              </w:rPr>
            </w:pPr>
            <w:r w:rsidRPr="004B5776">
              <w:rPr>
                <w:rFonts w:ascii="Calibri" w:eastAsia="Calibri" w:hAnsi="Calibri" w:cs="Calibri"/>
                <w:b/>
                <w:color w:val="000000"/>
                <w:lang w:val="en-US"/>
              </w:rPr>
              <w:t>CONDITIONS: </w:t>
            </w:r>
          </w:p>
        </w:tc>
        <w:tc>
          <w:tcPr>
            <w:tcW w:w="5662" w:type="dxa"/>
            <w:gridSpan w:val="3"/>
            <w:vAlign w:val="center"/>
          </w:tcPr>
          <w:p w14:paraId="30136B80" w14:textId="2E710A71" w:rsidR="00F9729E" w:rsidRDefault="00F9729E" w:rsidP="00F9729E">
            <w:pPr>
              <w:pBdr>
                <w:top w:val="nil"/>
                <w:left w:val="nil"/>
                <w:bottom w:val="nil"/>
                <w:right w:val="nil"/>
                <w:between w:val="nil"/>
              </w:pBdr>
              <w:rPr>
                <w:rFonts w:ascii="Calibri" w:eastAsia="Calibri" w:hAnsi="Calibri" w:cs="Calibri"/>
                <w:iCs/>
                <w:color w:val="000000"/>
              </w:rPr>
            </w:pPr>
            <w:r w:rsidRPr="004B5776">
              <w:rPr>
                <w:rFonts w:ascii="Calibri" w:eastAsia="Calibri" w:hAnsi="Calibri" w:cs="Calibri"/>
                <w:iCs/>
                <w:color w:val="000000"/>
              </w:rPr>
              <w:t xml:space="preserve">This </w:t>
            </w:r>
            <w:r>
              <w:rPr>
                <w:rFonts w:ascii="Calibri" w:eastAsia="Calibri" w:hAnsi="Calibri" w:cs="Calibri"/>
                <w:iCs/>
                <w:color w:val="000000"/>
              </w:rPr>
              <w:t>SEP</w:t>
            </w:r>
            <w:r w:rsidRPr="004B5776">
              <w:rPr>
                <w:rFonts w:ascii="Calibri" w:eastAsia="Calibri" w:hAnsi="Calibri" w:cs="Calibri"/>
                <w:iCs/>
                <w:color w:val="000000"/>
              </w:rPr>
              <w:t xml:space="preserve"> is to be </w:t>
            </w:r>
            <w:r w:rsidR="00CD547C">
              <w:rPr>
                <w:rFonts w:ascii="Calibri" w:eastAsia="Calibri" w:hAnsi="Calibri" w:cs="Calibri"/>
                <w:iCs/>
                <w:color w:val="000000"/>
              </w:rPr>
              <w:t>updated</w:t>
            </w:r>
            <w:r w:rsidRPr="004B5776">
              <w:rPr>
                <w:rFonts w:ascii="Calibri" w:eastAsia="Calibri" w:hAnsi="Calibri" w:cs="Calibri"/>
                <w:iCs/>
                <w:color w:val="000000"/>
              </w:rPr>
              <w:t xml:space="preserve"> during the first 6 months</w:t>
            </w:r>
            <w:r>
              <w:rPr>
                <w:rFonts w:ascii="Calibri" w:eastAsia="Calibri" w:hAnsi="Calibri" w:cs="Calibri"/>
                <w:iCs/>
                <w:color w:val="000000"/>
              </w:rPr>
              <w:t xml:space="preserve"> of project </w:t>
            </w:r>
            <w:r w:rsidR="00407089">
              <w:rPr>
                <w:rFonts w:ascii="Calibri" w:eastAsia="Calibri" w:hAnsi="Calibri" w:cs="Calibri"/>
                <w:iCs/>
                <w:color w:val="000000"/>
              </w:rPr>
              <w:t>implementation once</w:t>
            </w:r>
            <w:r>
              <w:rPr>
                <w:rFonts w:ascii="Calibri" w:eastAsia="Calibri" w:hAnsi="Calibri" w:cs="Calibri"/>
                <w:iCs/>
                <w:color w:val="000000"/>
              </w:rPr>
              <w:t xml:space="preserve"> the specific demonstration sites are identified</w:t>
            </w:r>
            <w:r w:rsidRPr="004B5776">
              <w:rPr>
                <w:rFonts w:ascii="Calibri" w:eastAsia="Calibri" w:hAnsi="Calibri" w:cs="Calibri"/>
                <w:iCs/>
                <w:color w:val="000000"/>
              </w:rPr>
              <w:t>.</w:t>
            </w:r>
            <w:r w:rsidR="00CC0747">
              <w:rPr>
                <w:rFonts w:ascii="Calibri" w:eastAsia="Calibri" w:hAnsi="Calibri" w:cs="Calibri"/>
                <w:iCs/>
                <w:color w:val="000000"/>
              </w:rPr>
              <w:t xml:space="preserve"> Consultations with specific </w:t>
            </w:r>
            <w:r w:rsidR="00AB04E2">
              <w:rPr>
                <w:rFonts w:ascii="Calibri" w:eastAsia="Calibri" w:hAnsi="Calibri" w:cs="Calibri"/>
                <w:iCs/>
                <w:color w:val="000000"/>
              </w:rPr>
              <w:t>stakeholders in the demonstration sites should inform this update.</w:t>
            </w:r>
            <w:r w:rsidRPr="004B5776">
              <w:rPr>
                <w:rFonts w:ascii="Calibri" w:eastAsia="Calibri" w:hAnsi="Calibri" w:cs="Calibri"/>
                <w:iCs/>
                <w:color w:val="000000"/>
                <w:lang w:val="en-US"/>
              </w:rPr>
              <w:t> </w:t>
            </w:r>
          </w:p>
        </w:tc>
      </w:tr>
      <w:tr w:rsidR="00AC2A5E" w14:paraId="00FB0920" w14:textId="77777777">
        <w:trPr>
          <w:trHeight w:val="488"/>
        </w:trPr>
        <w:tc>
          <w:tcPr>
            <w:tcW w:w="4365" w:type="dxa"/>
            <w:gridSpan w:val="2"/>
            <w:shd w:val="clear" w:color="auto" w:fill="C6D9F1"/>
            <w:vAlign w:val="center"/>
          </w:tcPr>
          <w:p w14:paraId="0000002F" w14:textId="77777777" w:rsidR="00AC2A5E" w:rsidRDefault="009549BA">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DATE OF CI-GEF/GCF APPROVAL:</w:t>
            </w:r>
          </w:p>
        </w:tc>
        <w:tc>
          <w:tcPr>
            <w:tcW w:w="5662" w:type="dxa"/>
            <w:gridSpan w:val="3"/>
            <w:vAlign w:val="center"/>
          </w:tcPr>
          <w:p w14:paraId="00000031" w14:textId="4AF73A22" w:rsidR="008B7D06" w:rsidRPr="008B7D06" w:rsidRDefault="008B7D06">
            <w:pPr>
              <w:pBdr>
                <w:top w:val="nil"/>
                <w:left w:val="nil"/>
                <w:bottom w:val="nil"/>
                <w:right w:val="nil"/>
                <w:between w:val="nil"/>
              </w:pBdr>
              <w:rPr>
                <w:rFonts w:ascii="Calibri" w:eastAsia="Calibri" w:hAnsi="Calibri" w:cs="Calibri"/>
                <w:iCs/>
                <w:color w:val="000000"/>
                <w:sz w:val="20"/>
                <w:szCs w:val="20"/>
              </w:rPr>
            </w:pPr>
            <w:r w:rsidRPr="008B7D06">
              <w:rPr>
                <w:rFonts w:ascii="Calibri" w:eastAsia="Calibri" w:hAnsi="Calibri" w:cs="Calibri"/>
                <w:iCs/>
                <w:color w:val="000000"/>
                <w:sz w:val="20"/>
                <w:szCs w:val="20"/>
              </w:rPr>
              <w:t>June 19, 2024</w:t>
            </w:r>
          </w:p>
        </w:tc>
      </w:tr>
    </w:tbl>
    <w:p w14:paraId="00000034" w14:textId="77777777" w:rsidR="00AC2A5E" w:rsidRDefault="00AC2A5E">
      <w:pPr>
        <w:pBdr>
          <w:top w:val="nil"/>
          <w:left w:val="nil"/>
          <w:bottom w:val="nil"/>
          <w:right w:val="nil"/>
          <w:between w:val="nil"/>
        </w:pBdr>
        <w:rPr>
          <w:rFonts w:ascii="Calibri" w:eastAsia="Calibri" w:hAnsi="Calibri" w:cs="Calibri"/>
          <w:color w:val="000000"/>
          <w:sz w:val="24"/>
          <w:szCs w:val="24"/>
        </w:rPr>
      </w:pPr>
    </w:p>
    <w:p w14:paraId="00000035" w14:textId="77777777" w:rsidR="00AC2A5E" w:rsidRDefault="00AC2A5E">
      <w:pPr>
        <w:pBdr>
          <w:top w:val="nil"/>
          <w:left w:val="nil"/>
          <w:bottom w:val="nil"/>
          <w:right w:val="nil"/>
          <w:between w:val="nil"/>
        </w:pBdr>
        <w:rPr>
          <w:rFonts w:ascii="Calibri" w:eastAsia="Calibri" w:hAnsi="Calibri" w:cs="Calibri"/>
          <w:color w:val="000000"/>
          <w:sz w:val="24"/>
          <w:szCs w:val="24"/>
        </w:rPr>
      </w:pPr>
    </w:p>
    <w:p w14:paraId="00000036" w14:textId="77777777" w:rsidR="00AC2A5E" w:rsidRDefault="009549BA">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b/>
          <w:color w:val="000000"/>
          <w:sz w:val="28"/>
          <w:szCs w:val="28"/>
        </w:rPr>
        <w:t xml:space="preserve">SECTION II: Introduction </w:t>
      </w:r>
      <w:r>
        <w:rPr>
          <w:rFonts w:ascii="Calibri" w:eastAsia="Calibri" w:hAnsi="Calibri" w:cs="Calibri"/>
          <w:i/>
          <w:color w:val="000000"/>
          <w:sz w:val="28"/>
          <w:szCs w:val="28"/>
        </w:rPr>
        <w:t>(1 page)</w:t>
      </w:r>
    </w:p>
    <w:p w14:paraId="00000037" w14:textId="77777777" w:rsidR="00AC2A5E" w:rsidRDefault="00AC2A5E">
      <w:pPr>
        <w:pBdr>
          <w:top w:val="nil"/>
          <w:left w:val="nil"/>
          <w:bottom w:val="nil"/>
          <w:right w:val="nil"/>
          <w:between w:val="nil"/>
        </w:pBdr>
        <w:rPr>
          <w:rFonts w:ascii="Calibri" w:eastAsia="Calibri" w:hAnsi="Calibri" w:cs="Calibri"/>
          <w:color w:val="000000"/>
          <w:sz w:val="24"/>
          <w:szCs w:val="24"/>
        </w:rPr>
      </w:pPr>
    </w:p>
    <w:p w14:paraId="00000038" w14:textId="77777777" w:rsidR="00AC2A5E" w:rsidRDefault="009549BA">
      <w:pPr>
        <w:pBdr>
          <w:top w:val="nil"/>
          <w:left w:val="nil"/>
          <w:bottom w:val="nil"/>
          <w:right w:val="nil"/>
          <w:between w:val="nil"/>
        </w:pBdr>
        <w:rPr>
          <w:rFonts w:ascii="Calibri" w:eastAsia="Calibri" w:hAnsi="Calibri" w:cs="Calibri"/>
          <w:i/>
          <w:color w:val="000000"/>
          <w:sz w:val="24"/>
          <w:szCs w:val="24"/>
        </w:rPr>
      </w:pPr>
      <w:r>
        <w:rPr>
          <w:rFonts w:ascii="Calibri" w:eastAsia="Calibri" w:hAnsi="Calibri" w:cs="Calibri"/>
          <w:i/>
          <w:color w:val="000000"/>
          <w:sz w:val="24"/>
          <w:szCs w:val="24"/>
        </w:rPr>
        <w:t>Introduce your Stakeholder Engagement Plan (SEP) by providing a brief context of your project and its stakeholders</w:t>
      </w:r>
      <w:r>
        <w:rPr>
          <w:rFonts w:ascii="Calibri" w:eastAsia="Calibri" w:hAnsi="Calibri" w:cs="Calibri"/>
          <w:i/>
          <w:color w:val="000000"/>
          <w:sz w:val="24"/>
          <w:szCs w:val="24"/>
          <w:vertAlign w:val="superscript"/>
        </w:rPr>
        <w:footnoteReference w:id="1"/>
      </w:r>
      <w:r>
        <w:rPr>
          <w:rFonts w:ascii="Calibri" w:eastAsia="Calibri" w:hAnsi="Calibri" w:cs="Calibri"/>
          <w:i/>
          <w:color w:val="000000"/>
          <w:sz w:val="24"/>
          <w:szCs w:val="24"/>
        </w:rPr>
        <w:t xml:space="preserve">, and an overview of your SEP. Include a brief description of circumstances that may </w:t>
      </w:r>
      <w:r>
        <w:rPr>
          <w:rFonts w:ascii="Calibri" w:eastAsia="Calibri" w:hAnsi="Calibri" w:cs="Calibri"/>
          <w:i/>
          <w:color w:val="000000"/>
          <w:sz w:val="24"/>
          <w:szCs w:val="24"/>
        </w:rPr>
        <w:lastRenderedPageBreak/>
        <w:t>impact your stakeholders or their decision making (e.g. conflict, land tenure, etc.). Limit yourself to one page as this section is a summary and provide the details in the body of the SEP.</w:t>
      </w:r>
    </w:p>
    <w:p w14:paraId="00000039" w14:textId="77777777" w:rsidR="00AC2A5E" w:rsidRDefault="009549BA">
      <w:pPr>
        <w:pBdr>
          <w:top w:val="nil"/>
          <w:left w:val="nil"/>
          <w:bottom w:val="nil"/>
          <w:right w:val="nil"/>
          <w:between w:val="nil"/>
        </w:pBdr>
        <w:spacing w:before="120" w:after="120" w:line="276" w:lineRule="auto"/>
        <w:jc w:val="both"/>
        <w:rPr>
          <w:rFonts w:ascii="Calibri" w:eastAsia="Calibri" w:hAnsi="Calibri" w:cs="Calibri"/>
          <w:color w:val="000000"/>
        </w:rPr>
      </w:pPr>
      <w:r>
        <w:rPr>
          <w:rFonts w:ascii="Calibri" w:eastAsia="Calibri" w:hAnsi="Calibri" w:cs="Calibri"/>
          <w:color w:val="000000"/>
        </w:rPr>
        <w:t>The Biome Restoration - Promoting large-scale restoration through the National Policy for Native Vegetation Recovery Policy (Restaura Biomas) project aims to support Brazil’s restoration policies and commitments. The project will directly support activities aligned with the recovery of native vegetation such as PROVEG and PLANAVEG across all biomes of Brazil. The main objectives are to mitigate greenhouse gas emissions, conserve biodiversity, enhance ecosystem resilience and climate adaptation, and improve the socio-economic well-being of local people and communities.</w:t>
      </w:r>
    </w:p>
    <w:p w14:paraId="0000003A" w14:textId="77777777" w:rsidR="00AC2A5E" w:rsidRDefault="009549BA">
      <w:pPr>
        <w:pBdr>
          <w:top w:val="nil"/>
          <w:left w:val="nil"/>
          <w:bottom w:val="nil"/>
          <w:right w:val="nil"/>
          <w:between w:val="nil"/>
        </w:pBdr>
        <w:spacing w:before="120" w:after="120" w:line="276" w:lineRule="auto"/>
        <w:jc w:val="both"/>
        <w:rPr>
          <w:rFonts w:ascii="Calibri" w:eastAsia="Calibri" w:hAnsi="Calibri" w:cs="Calibri"/>
          <w:color w:val="000000"/>
        </w:rPr>
      </w:pPr>
      <w:r>
        <w:rPr>
          <w:rFonts w:ascii="Calibri" w:eastAsia="Calibri" w:hAnsi="Calibri" w:cs="Calibri"/>
          <w:color w:val="000000"/>
        </w:rPr>
        <w:t xml:space="preserve">The project will be implemented across all biomes in Brazil, including the Amazon, Mata </w:t>
      </w:r>
      <w:proofErr w:type="spellStart"/>
      <w:r>
        <w:rPr>
          <w:rFonts w:ascii="Calibri" w:eastAsia="Calibri" w:hAnsi="Calibri" w:cs="Calibri"/>
          <w:color w:val="000000"/>
        </w:rPr>
        <w:t>Atlântica</w:t>
      </w:r>
      <w:proofErr w:type="spellEnd"/>
      <w:r>
        <w:rPr>
          <w:rFonts w:ascii="Calibri" w:eastAsia="Calibri" w:hAnsi="Calibri" w:cs="Calibri"/>
          <w:color w:val="000000"/>
        </w:rPr>
        <w:t xml:space="preserve"> (Atlantic Forest), </w:t>
      </w:r>
      <w:proofErr w:type="spellStart"/>
      <w:r>
        <w:rPr>
          <w:rFonts w:ascii="Calibri" w:eastAsia="Calibri" w:hAnsi="Calibri" w:cs="Calibri"/>
          <w:color w:val="000000"/>
        </w:rPr>
        <w:t>Cerrado</w:t>
      </w:r>
      <w:proofErr w:type="spellEnd"/>
      <w:r>
        <w:rPr>
          <w:rFonts w:ascii="Calibri" w:eastAsia="Calibri" w:hAnsi="Calibri" w:cs="Calibri"/>
          <w:color w:val="000000"/>
        </w:rPr>
        <w:t>, Caatinga, Pampa, and Pantanal. The exact intervention areas will be defined during project implementation within these biomes. It will include multiple sectors, including forestry, agriculture, environmental conservation, and community development.</w:t>
      </w:r>
    </w:p>
    <w:p w14:paraId="0000003B" w14:textId="77777777" w:rsidR="00AC2A5E" w:rsidRDefault="009549BA">
      <w:pPr>
        <w:pBdr>
          <w:top w:val="nil"/>
          <w:left w:val="nil"/>
          <w:bottom w:val="nil"/>
          <w:right w:val="nil"/>
          <w:between w:val="nil"/>
        </w:pBdr>
        <w:spacing w:before="120" w:after="120" w:line="276" w:lineRule="auto"/>
        <w:jc w:val="both"/>
        <w:rPr>
          <w:rFonts w:ascii="Calibri" w:eastAsia="Calibri" w:hAnsi="Calibri" w:cs="Calibri"/>
          <w:color w:val="000000"/>
        </w:rPr>
      </w:pPr>
      <w:r>
        <w:rPr>
          <w:rFonts w:ascii="Calibri" w:eastAsia="Calibri" w:hAnsi="Calibri" w:cs="Calibri"/>
          <w:color w:val="000000"/>
        </w:rPr>
        <w:t xml:space="preserve">Government bodies (Ministry of the Environment and Climate Change and other government agencies involved in enforcing the Forest Code), civil society organizations (environmental NGOs and biome-wide restoration networks), and the private sector (impact investors, restoration companies, and NTFP </w:t>
      </w:r>
      <w:proofErr w:type="spellStart"/>
      <w:r>
        <w:rPr>
          <w:rFonts w:ascii="Calibri" w:eastAsia="Calibri" w:hAnsi="Calibri" w:cs="Calibri"/>
          <w:color w:val="000000"/>
        </w:rPr>
        <w:t>offtakers</w:t>
      </w:r>
      <w:proofErr w:type="spellEnd"/>
      <w:r>
        <w:rPr>
          <w:rFonts w:ascii="Calibri" w:eastAsia="Calibri" w:hAnsi="Calibri" w:cs="Calibri"/>
          <w:color w:val="000000"/>
        </w:rPr>
        <w:t xml:space="preserve">) are among the key stakeholders participating in this project. </w:t>
      </w:r>
    </w:p>
    <w:p w14:paraId="0000003C" w14:textId="77777777" w:rsidR="00AC2A5E" w:rsidRDefault="009549BA">
      <w:pPr>
        <w:pBdr>
          <w:top w:val="nil"/>
          <w:left w:val="nil"/>
          <w:bottom w:val="nil"/>
          <w:right w:val="nil"/>
          <w:between w:val="nil"/>
        </w:pBdr>
        <w:spacing w:before="120" w:after="120" w:line="276" w:lineRule="auto"/>
        <w:jc w:val="both"/>
        <w:rPr>
          <w:rFonts w:ascii="Calibri" w:eastAsia="Calibri" w:hAnsi="Calibri" w:cs="Calibri"/>
          <w:color w:val="000000"/>
        </w:rPr>
      </w:pPr>
      <w:r>
        <w:rPr>
          <w:rFonts w:ascii="Calibri" w:eastAsia="Calibri" w:hAnsi="Calibri" w:cs="Calibri"/>
          <w:color w:val="000000"/>
        </w:rPr>
        <w:t xml:space="preserve">The project development team engaged stakeholders from these groups to gain insights into the key barriers and opportunities to increase the scale of restoration and improved practices in Brazil. The stakeholders engaged highlighted the need to increase access to finance and markets for non-timber forest products, invest in research and development (R&amp;D) to enhance ecosystem resilience, improve the cost-benefits of restoration, and integrate restoration with conventional agricultural systems (especially cattle grazing). The most significant challenge is the creation of financial incentives and mechanisms to make ecosystem restoration and sustainable agriculture more financially viable to landowners and companies than traditional agricultural practices and production systems. By addressing operational risks, regulating the carbon market, and strengthening policy coherence, Restaura Biomas can play an important part in creating an enabling environment to accelerate and increase the scale of restoration and improved practices. </w:t>
      </w:r>
    </w:p>
    <w:p w14:paraId="0000003D" w14:textId="77777777" w:rsidR="00AC2A5E" w:rsidRDefault="00AC2A5E">
      <w:pPr>
        <w:pBdr>
          <w:top w:val="nil"/>
          <w:left w:val="nil"/>
          <w:bottom w:val="nil"/>
          <w:right w:val="nil"/>
          <w:between w:val="nil"/>
        </w:pBdr>
        <w:rPr>
          <w:rFonts w:ascii="Calibri" w:eastAsia="Calibri" w:hAnsi="Calibri" w:cs="Calibri"/>
          <w:color w:val="000000"/>
          <w:sz w:val="24"/>
          <w:szCs w:val="24"/>
        </w:rPr>
      </w:pPr>
    </w:p>
    <w:p w14:paraId="0000003E" w14:textId="77777777" w:rsidR="00AC2A5E" w:rsidRDefault="009549BA">
      <w:pPr>
        <w:pBdr>
          <w:top w:val="nil"/>
          <w:left w:val="nil"/>
          <w:bottom w:val="nil"/>
          <w:right w:val="nil"/>
          <w:between w:val="nil"/>
        </w:pBdr>
        <w:rPr>
          <w:rFonts w:ascii="Calibri" w:eastAsia="Calibri" w:hAnsi="Calibri" w:cs="Calibri"/>
          <w:i/>
          <w:color w:val="000000"/>
          <w:sz w:val="24"/>
          <w:szCs w:val="24"/>
        </w:rPr>
      </w:pPr>
      <w:r>
        <w:br w:type="page"/>
      </w:r>
    </w:p>
    <w:p w14:paraId="0000003F" w14:textId="77777777" w:rsidR="00AC2A5E" w:rsidRDefault="009549BA">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b/>
          <w:color w:val="000000"/>
          <w:sz w:val="28"/>
          <w:szCs w:val="28"/>
        </w:rPr>
        <w:lastRenderedPageBreak/>
        <w:t>SECTION III: Stakeholder Analysis</w:t>
      </w:r>
    </w:p>
    <w:p w14:paraId="00000040" w14:textId="77777777" w:rsidR="00AC2A5E" w:rsidRDefault="00AC2A5E">
      <w:pPr>
        <w:pBdr>
          <w:top w:val="nil"/>
          <w:left w:val="nil"/>
          <w:bottom w:val="nil"/>
          <w:right w:val="nil"/>
          <w:between w:val="nil"/>
        </w:pBdr>
        <w:rPr>
          <w:rFonts w:ascii="Calibri" w:eastAsia="Calibri" w:hAnsi="Calibri" w:cs="Calibri"/>
          <w:color w:val="000000"/>
          <w:sz w:val="24"/>
          <w:szCs w:val="24"/>
        </w:rPr>
      </w:pPr>
    </w:p>
    <w:tbl>
      <w:tblPr>
        <w:tblStyle w:val="aff0"/>
        <w:tblW w:w="10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6"/>
        <w:gridCol w:w="1880"/>
        <w:gridCol w:w="2219"/>
        <w:gridCol w:w="2019"/>
        <w:gridCol w:w="1713"/>
      </w:tblGrid>
      <w:tr w:rsidR="00AC2A5E" w14:paraId="43C60AF6" w14:textId="77777777">
        <w:trPr>
          <w:trHeight w:val="924"/>
        </w:trPr>
        <w:tc>
          <w:tcPr>
            <w:tcW w:w="2196" w:type="dxa"/>
            <w:shd w:val="clear" w:color="auto" w:fill="C6D9F1"/>
            <w:vAlign w:val="center"/>
          </w:tcPr>
          <w:p w14:paraId="00000041"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color w:val="000000"/>
                <w:sz w:val="24"/>
                <w:szCs w:val="24"/>
              </w:rPr>
              <w:t xml:space="preserve">Stakeholder </w:t>
            </w:r>
          </w:p>
          <w:p w14:paraId="00000042"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color w:val="000000"/>
                <w:sz w:val="24"/>
                <w:szCs w:val="24"/>
              </w:rPr>
              <w:t>Name and Function</w:t>
            </w:r>
          </w:p>
          <w:p w14:paraId="00000043" w14:textId="77777777" w:rsidR="00AC2A5E" w:rsidRDefault="009549BA">
            <w:pPr>
              <w:pBdr>
                <w:top w:val="nil"/>
                <w:left w:val="nil"/>
                <w:bottom w:val="nil"/>
                <w:right w:val="nil"/>
                <w:between w:val="nil"/>
              </w:pBdr>
              <w:jc w:val="center"/>
              <w:rPr>
                <w:rFonts w:ascii="Calibri" w:eastAsia="Calibri" w:hAnsi="Calibri" w:cs="Calibri"/>
                <w:i/>
                <w:color w:val="000000"/>
                <w:sz w:val="20"/>
                <w:szCs w:val="20"/>
              </w:rPr>
            </w:pPr>
            <w:r>
              <w:rPr>
                <w:rFonts w:ascii="Calibri" w:eastAsia="Calibri" w:hAnsi="Calibri" w:cs="Calibri"/>
                <w:i/>
                <w:color w:val="000000"/>
                <w:sz w:val="20"/>
                <w:szCs w:val="20"/>
              </w:rPr>
              <w:t>Name of the key stakeholder, and their main purpose/function</w:t>
            </w:r>
          </w:p>
        </w:tc>
        <w:tc>
          <w:tcPr>
            <w:tcW w:w="1880" w:type="dxa"/>
            <w:shd w:val="clear" w:color="auto" w:fill="C6D9F1"/>
            <w:vAlign w:val="center"/>
          </w:tcPr>
          <w:p w14:paraId="00000044"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color w:val="000000"/>
                <w:sz w:val="24"/>
                <w:szCs w:val="24"/>
              </w:rPr>
              <w:t>Stakeholder’s Interest</w:t>
            </w:r>
          </w:p>
          <w:p w14:paraId="00000045"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i/>
                <w:color w:val="000000"/>
                <w:sz w:val="20"/>
                <w:szCs w:val="20"/>
              </w:rPr>
              <w:t>What are the stakeholder’s main interests in and concerns about the project?</w:t>
            </w:r>
          </w:p>
        </w:tc>
        <w:tc>
          <w:tcPr>
            <w:tcW w:w="2219" w:type="dxa"/>
            <w:shd w:val="clear" w:color="auto" w:fill="C6D9F1"/>
            <w:vAlign w:val="center"/>
          </w:tcPr>
          <w:p w14:paraId="00000046"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color w:val="000000"/>
                <w:sz w:val="24"/>
                <w:szCs w:val="24"/>
              </w:rPr>
              <w:t xml:space="preserve">Impact of Project on Stakeholder </w:t>
            </w:r>
          </w:p>
          <w:p w14:paraId="00000047" w14:textId="77777777" w:rsidR="00AC2A5E" w:rsidRDefault="009549BA">
            <w:pPr>
              <w:pBdr>
                <w:top w:val="nil"/>
                <w:left w:val="nil"/>
                <w:bottom w:val="nil"/>
                <w:right w:val="nil"/>
                <w:between w:val="nil"/>
              </w:pBdr>
              <w:jc w:val="center"/>
              <w:rPr>
                <w:rFonts w:ascii="Calibri" w:eastAsia="Calibri" w:hAnsi="Calibri" w:cs="Calibri"/>
                <w:i/>
                <w:color w:val="000000"/>
                <w:sz w:val="20"/>
                <w:szCs w:val="20"/>
              </w:rPr>
            </w:pPr>
            <w:r>
              <w:rPr>
                <w:rFonts w:ascii="Calibri" w:eastAsia="Calibri" w:hAnsi="Calibri" w:cs="Calibri"/>
                <w:i/>
                <w:color w:val="000000"/>
                <w:sz w:val="20"/>
                <w:szCs w:val="20"/>
              </w:rPr>
              <w:t xml:space="preserve">How will the stakeholder be affected (both positively and negatively) by the project? </w:t>
            </w:r>
          </w:p>
          <w:p w14:paraId="00000048" w14:textId="77777777" w:rsidR="00AC2A5E" w:rsidRDefault="00AC2A5E">
            <w:pPr>
              <w:pBdr>
                <w:top w:val="nil"/>
                <w:left w:val="nil"/>
                <w:bottom w:val="nil"/>
                <w:right w:val="nil"/>
                <w:between w:val="nil"/>
              </w:pBdr>
              <w:jc w:val="center"/>
              <w:rPr>
                <w:rFonts w:ascii="Calibri" w:eastAsia="Calibri" w:hAnsi="Calibri" w:cs="Calibri"/>
                <w:i/>
                <w:color w:val="000000"/>
                <w:sz w:val="20"/>
                <w:szCs w:val="20"/>
              </w:rPr>
            </w:pPr>
          </w:p>
        </w:tc>
        <w:tc>
          <w:tcPr>
            <w:tcW w:w="2019" w:type="dxa"/>
            <w:shd w:val="clear" w:color="auto" w:fill="C6D9F1"/>
            <w:vAlign w:val="center"/>
          </w:tcPr>
          <w:p w14:paraId="00000049" w14:textId="77777777" w:rsidR="00AC2A5E" w:rsidRDefault="009549BA">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4"/>
                <w:szCs w:val="24"/>
              </w:rPr>
              <w:t xml:space="preserve">Influence of Stakeholder </w:t>
            </w:r>
          </w:p>
          <w:p w14:paraId="0000004A" w14:textId="77777777" w:rsidR="00AC2A5E" w:rsidRDefault="009549BA">
            <w:pPr>
              <w:pBdr>
                <w:top w:val="nil"/>
                <w:left w:val="nil"/>
                <w:bottom w:val="nil"/>
                <w:right w:val="nil"/>
                <w:between w:val="nil"/>
              </w:pBdr>
              <w:jc w:val="center"/>
              <w:rPr>
                <w:rFonts w:ascii="Calibri" w:eastAsia="Calibri" w:hAnsi="Calibri" w:cs="Calibri"/>
                <w:i/>
                <w:color w:val="000000"/>
                <w:sz w:val="20"/>
                <w:szCs w:val="20"/>
              </w:rPr>
            </w:pPr>
            <w:r>
              <w:rPr>
                <w:rFonts w:ascii="Calibri" w:eastAsia="Calibri" w:hAnsi="Calibri" w:cs="Calibri"/>
                <w:i/>
                <w:color w:val="000000"/>
                <w:sz w:val="20"/>
                <w:szCs w:val="20"/>
              </w:rPr>
              <w:t>How can the stakeholder affect the project? Can they hinder or contribute to the success of the project?</w:t>
            </w:r>
          </w:p>
        </w:tc>
        <w:tc>
          <w:tcPr>
            <w:tcW w:w="1713" w:type="dxa"/>
            <w:shd w:val="clear" w:color="auto" w:fill="C6D9F1"/>
          </w:tcPr>
          <w:p w14:paraId="0000004B"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color w:val="000000"/>
                <w:sz w:val="24"/>
                <w:szCs w:val="24"/>
              </w:rPr>
              <w:t>Risk Management</w:t>
            </w:r>
          </w:p>
          <w:p w14:paraId="0000004C"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i/>
                <w:color w:val="000000"/>
                <w:sz w:val="20"/>
                <w:szCs w:val="20"/>
              </w:rPr>
              <w:t>(Is this a low, medium or high-risk stakeholder? And how would you manage medium/high risk stakeholders)</w:t>
            </w:r>
          </w:p>
        </w:tc>
      </w:tr>
      <w:tr w:rsidR="00AC2A5E" w14:paraId="1F9F5802" w14:textId="77777777">
        <w:trPr>
          <w:trHeight w:val="318"/>
        </w:trPr>
        <w:tc>
          <w:tcPr>
            <w:tcW w:w="10027" w:type="dxa"/>
            <w:gridSpan w:val="5"/>
            <w:shd w:val="clear" w:color="auto" w:fill="B8CCE4"/>
            <w:vAlign w:val="center"/>
          </w:tcPr>
          <w:p w14:paraId="0000004D" w14:textId="77777777" w:rsidR="00AC2A5E" w:rsidRDefault="009549BA">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Government</w:t>
            </w:r>
            <w:r>
              <w:rPr>
                <w:rFonts w:ascii="Calibri" w:eastAsia="Calibri" w:hAnsi="Calibri" w:cs="Calibri"/>
                <w:color w:val="000000"/>
                <w:sz w:val="20"/>
                <w:szCs w:val="20"/>
              </w:rPr>
              <w:t xml:space="preserve"> </w:t>
            </w:r>
            <w:r>
              <w:rPr>
                <w:rFonts w:ascii="Calibri" w:eastAsia="Calibri" w:hAnsi="Calibri" w:cs="Calibri"/>
                <w:b/>
                <w:color w:val="000000"/>
                <w:sz w:val="20"/>
                <w:szCs w:val="20"/>
              </w:rPr>
              <w:t>and Local Authorities</w:t>
            </w:r>
            <w:r>
              <w:rPr>
                <w:rFonts w:ascii="Calibri" w:eastAsia="Calibri" w:hAnsi="Calibri" w:cs="Calibri"/>
                <w:color w:val="000000"/>
                <w:sz w:val="20"/>
                <w:szCs w:val="20"/>
              </w:rPr>
              <w:t xml:space="preserve"> (</w:t>
            </w:r>
            <w:r>
              <w:rPr>
                <w:rFonts w:ascii="Calibri" w:eastAsia="Calibri" w:hAnsi="Calibri" w:cs="Calibri"/>
                <w:i/>
                <w:color w:val="000000"/>
                <w:sz w:val="20"/>
                <w:szCs w:val="20"/>
              </w:rPr>
              <w:t>Add rows as necessary)</w:t>
            </w:r>
          </w:p>
        </w:tc>
      </w:tr>
      <w:tr w:rsidR="00AC2A5E" w14:paraId="3F0019FF" w14:textId="77777777">
        <w:trPr>
          <w:trHeight w:val="291"/>
        </w:trPr>
        <w:tc>
          <w:tcPr>
            <w:tcW w:w="2196" w:type="dxa"/>
            <w:vAlign w:val="center"/>
          </w:tcPr>
          <w:p w14:paraId="00000052"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Ministry of the Environment and Climate Change (MMA)</w:t>
            </w:r>
          </w:p>
          <w:p w14:paraId="00000053" w14:textId="77777777" w:rsidR="00AC2A5E" w:rsidRDefault="00AC2A5E">
            <w:pPr>
              <w:pBdr>
                <w:top w:val="nil"/>
                <w:left w:val="nil"/>
                <w:bottom w:val="nil"/>
                <w:right w:val="nil"/>
                <w:between w:val="nil"/>
              </w:pBdr>
              <w:spacing w:before="120" w:after="120"/>
              <w:rPr>
                <w:rFonts w:ascii="Calibri" w:eastAsia="Calibri" w:hAnsi="Calibri" w:cs="Calibri"/>
                <w:color w:val="000000"/>
                <w:sz w:val="20"/>
                <w:szCs w:val="20"/>
              </w:rPr>
            </w:pPr>
          </w:p>
          <w:p w14:paraId="00000054"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i/>
                <w:color w:val="000000"/>
                <w:sz w:val="18"/>
                <w:szCs w:val="18"/>
              </w:rPr>
              <w:t>Governing institution for environmental matters in the country.</w:t>
            </w:r>
          </w:p>
        </w:tc>
        <w:tc>
          <w:tcPr>
            <w:tcW w:w="1880" w:type="dxa"/>
            <w:vAlign w:val="center"/>
          </w:tcPr>
          <w:p w14:paraId="00000055"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Restaura Biomas will support MMA in reaching Brazil’s environmental commitments and the goals of PROVEG and PLANAVEG. MMA is responsible for the project</w:t>
            </w:r>
            <w:r>
              <w:rPr>
                <w:rFonts w:ascii="Calibri" w:eastAsia="Calibri" w:hAnsi="Calibri" w:cs="Calibri"/>
                <w:sz w:val="20"/>
                <w:szCs w:val="20"/>
              </w:rPr>
              <w:t>’s</w:t>
            </w:r>
            <w:r>
              <w:rPr>
                <w:rFonts w:ascii="Calibri" w:eastAsia="Calibri" w:hAnsi="Calibri" w:cs="Calibri"/>
                <w:color w:val="000000"/>
                <w:sz w:val="20"/>
                <w:szCs w:val="20"/>
              </w:rPr>
              <w:t xml:space="preserve"> overall coordination.</w:t>
            </w:r>
          </w:p>
        </w:tc>
        <w:tc>
          <w:tcPr>
            <w:tcW w:w="2219" w:type="dxa"/>
            <w:vAlign w:val="center"/>
          </w:tcPr>
          <w:p w14:paraId="00000056"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MMA will be positively affected since the project aims to support the implementation of environmental policies and MMA’s institutional goals.</w:t>
            </w:r>
          </w:p>
          <w:p w14:paraId="00000057"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If MMA’s institutional priorities shift, then MMA may no longer be aligned with Restaura Biomas’ goals. Additionally, since MMA is co-financing the project, MMA will be negatively affected if Restaura Biomas does not reach its goals.</w:t>
            </w:r>
          </w:p>
        </w:tc>
        <w:tc>
          <w:tcPr>
            <w:tcW w:w="2019" w:type="dxa"/>
            <w:vAlign w:val="center"/>
          </w:tcPr>
          <w:p w14:paraId="00000058"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MMA has a high level of influence over the project through co-financing it will provide at the federal and subnational levels as well as its influence on environmental governance and policy implementation in the country and its role as project coordinator.</w:t>
            </w:r>
          </w:p>
        </w:tc>
        <w:tc>
          <w:tcPr>
            <w:tcW w:w="1713" w:type="dxa"/>
          </w:tcPr>
          <w:p w14:paraId="00000059" w14:textId="77777777" w:rsidR="00AC2A5E" w:rsidRDefault="009549BA">
            <w:pPr>
              <w:pBdr>
                <w:top w:val="nil"/>
                <w:left w:val="nil"/>
                <w:bottom w:val="nil"/>
                <w:right w:val="nil"/>
                <w:between w:val="nil"/>
              </w:pBdr>
              <w:spacing w:before="120" w:after="120"/>
              <w:rPr>
                <w:rFonts w:ascii="Calibri" w:eastAsia="Calibri" w:hAnsi="Calibri" w:cs="Calibri"/>
                <w:b/>
                <w:color w:val="000000"/>
                <w:sz w:val="20"/>
                <w:szCs w:val="20"/>
              </w:rPr>
            </w:pPr>
            <w:r>
              <w:rPr>
                <w:rFonts w:ascii="Calibri" w:eastAsia="Calibri" w:hAnsi="Calibri" w:cs="Calibri"/>
                <w:b/>
                <w:color w:val="000000"/>
                <w:sz w:val="20"/>
                <w:szCs w:val="20"/>
              </w:rPr>
              <w:t>Medium</w:t>
            </w:r>
          </w:p>
          <w:p w14:paraId="0000005A"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The risk will be mitigated through the collaborative work of the executing entity with the Ministry of the Environment, an advisory board to define priorities, monitor results, and redefine actions to maintain the project's course at full execution pace to meet the objectives</w:t>
            </w:r>
            <w:r>
              <w:rPr>
                <w:rFonts w:ascii="Calibri" w:eastAsia="Calibri" w:hAnsi="Calibri" w:cs="Calibri"/>
                <w:sz w:val="20"/>
                <w:szCs w:val="20"/>
              </w:rPr>
              <w:t xml:space="preserve">. </w:t>
            </w:r>
            <w:r>
              <w:rPr>
                <w:rFonts w:ascii="Calibri" w:eastAsia="Calibri" w:hAnsi="Calibri" w:cs="Calibri"/>
                <w:color w:val="000000"/>
                <w:sz w:val="20"/>
                <w:szCs w:val="20"/>
              </w:rPr>
              <w:t>Risks are also being mitigated by actively involving MMA in project design.</w:t>
            </w:r>
          </w:p>
        </w:tc>
      </w:tr>
      <w:tr w:rsidR="00AC2A5E" w14:paraId="01F21A3E" w14:textId="77777777">
        <w:trPr>
          <w:trHeight w:val="291"/>
        </w:trPr>
        <w:tc>
          <w:tcPr>
            <w:tcW w:w="2196" w:type="dxa"/>
            <w:vAlign w:val="center"/>
          </w:tcPr>
          <w:p w14:paraId="0000005B"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Chico Mendes Institute for Biodiversity Conservation (ICMBio)</w:t>
            </w:r>
          </w:p>
          <w:p w14:paraId="0000005C" w14:textId="77777777" w:rsidR="00AC2A5E" w:rsidRDefault="00AC2A5E">
            <w:pPr>
              <w:pBdr>
                <w:top w:val="nil"/>
                <w:left w:val="nil"/>
                <w:bottom w:val="nil"/>
                <w:right w:val="nil"/>
                <w:between w:val="nil"/>
              </w:pBdr>
              <w:spacing w:before="120" w:after="120"/>
              <w:rPr>
                <w:rFonts w:ascii="Calibri" w:eastAsia="Calibri" w:hAnsi="Calibri" w:cs="Calibri"/>
                <w:color w:val="000000"/>
                <w:sz w:val="20"/>
                <w:szCs w:val="20"/>
              </w:rPr>
            </w:pPr>
          </w:p>
          <w:p w14:paraId="0000005D" w14:textId="77777777" w:rsidR="00AC2A5E" w:rsidRDefault="009549BA">
            <w:pPr>
              <w:pBdr>
                <w:top w:val="nil"/>
                <w:left w:val="nil"/>
                <w:bottom w:val="nil"/>
                <w:right w:val="nil"/>
                <w:between w:val="nil"/>
              </w:pBdr>
              <w:spacing w:before="120" w:after="120"/>
              <w:rPr>
                <w:rFonts w:ascii="Calibri" w:eastAsia="Calibri" w:hAnsi="Calibri" w:cs="Calibri"/>
                <w:i/>
                <w:color w:val="000000"/>
                <w:sz w:val="18"/>
                <w:szCs w:val="18"/>
              </w:rPr>
            </w:pPr>
            <w:r>
              <w:rPr>
                <w:rFonts w:ascii="Calibri" w:eastAsia="Calibri" w:hAnsi="Calibri" w:cs="Calibri"/>
                <w:i/>
                <w:color w:val="000000"/>
                <w:sz w:val="18"/>
                <w:szCs w:val="18"/>
              </w:rPr>
              <w:t>Institution responsible for the management of federal Protected Areas in Brazil, as well as the implementation of policies and programs for biodiversity conservation.</w:t>
            </w:r>
          </w:p>
        </w:tc>
        <w:tc>
          <w:tcPr>
            <w:tcW w:w="1880" w:type="dxa"/>
            <w:vAlign w:val="center"/>
          </w:tcPr>
          <w:p w14:paraId="0000005E"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Restaura Biomas will help ICMBio recover native vegetation inside its Protected Areas (PAs).  </w:t>
            </w:r>
          </w:p>
        </w:tc>
        <w:tc>
          <w:tcPr>
            <w:tcW w:w="2219" w:type="dxa"/>
            <w:vAlign w:val="center"/>
          </w:tcPr>
          <w:p w14:paraId="0000005F"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highlight w:val="white"/>
              </w:rPr>
            </w:pPr>
            <w:r>
              <w:rPr>
                <w:rFonts w:ascii="Calibri" w:eastAsia="Calibri" w:hAnsi="Calibri" w:cs="Calibri"/>
                <w:color w:val="000000"/>
                <w:sz w:val="20"/>
                <w:szCs w:val="20"/>
              </w:rPr>
              <w:t xml:space="preserve">ICMBio will be positively affected through </w:t>
            </w:r>
            <w:r>
              <w:rPr>
                <w:rFonts w:ascii="Calibri" w:eastAsia="Calibri" w:hAnsi="Calibri" w:cs="Calibri"/>
                <w:color w:val="000000"/>
                <w:sz w:val="20"/>
                <w:szCs w:val="20"/>
                <w:highlight w:val="white"/>
              </w:rPr>
              <w:t>training of local communities and PA managers, definition of the areas to be recovered in the PAs, research, and increased funding for recovery in PAs.</w:t>
            </w:r>
          </w:p>
          <w:p w14:paraId="00000060"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 xml:space="preserve">ICMBio could be negatively affected if Restaura Biomas implements activities in federal Protected Areas that are not aligned with </w:t>
            </w:r>
            <w:proofErr w:type="spellStart"/>
            <w:r>
              <w:rPr>
                <w:rFonts w:ascii="Calibri" w:eastAsia="Calibri" w:hAnsi="Calibri" w:cs="Calibri"/>
                <w:color w:val="000000"/>
                <w:sz w:val="20"/>
                <w:szCs w:val="20"/>
                <w:highlight w:val="white"/>
              </w:rPr>
              <w:t>ICMBio’s</w:t>
            </w:r>
            <w:proofErr w:type="spellEnd"/>
            <w:r>
              <w:rPr>
                <w:rFonts w:ascii="Calibri" w:eastAsia="Calibri" w:hAnsi="Calibri" w:cs="Calibri"/>
                <w:color w:val="000000"/>
                <w:sz w:val="20"/>
                <w:szCs w:val="20"/>
                <w:highlight w:val="white"/>
              </w:rPr>
              <w:t xml:space="preserve"> goals.</w:t>
            </w:r>
          </w:p>
        </w:tc>
        <w:tc>
          <w:tcPr>
            <w:tcW w:w="2019" w:type="dxa"/>
            <w:vAlign w:val="center"/>
          </w:tcPr>
          <w:p w14:paraId="00000061"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ICMBio is the governmental entity responsible for managing all the federal Protected Areas. ICMBio can contribute to the success of the project by supporting restoration activities in Protected Areas.</w:t>
            </w:r>
          </w:p>
        </w:tc>
        <w:tc>
          <w:tcPr>
            <w:tcW w:w="1713" w:type="dxa"/>
          </w:tcPr>
          <w:p w14:paraId="00000062"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b/>
                <w:color w:val="000000"/>
                <w:sz w:val="20"/>
                <w:szCs w:val="20"/>
              </w:rPr>
              <w:t>Medium</w:t>
            </w:r>
            <w:r>
              <w:rPr>
                <w:rFonts w:ascii="Calibri" w:eastAsia="Calibri" w:hAnsi="Calibri" w:cs="Calibri"/>
                <w:color w:val="000000"/>
                <w:sz w:val="20"/>
                <w:szCs w:val="20"/>
              </w:rPr>
              <w:t xml:space="preserve"> </w:t>
            </w:r>
          </w:p>
          <w:p w14:paraId="00000063"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Risk will be mitigated through the Executing Agency which could implement restoration activities in areas where ICMBio has limited capacity and/or with stakeholders that ICMBio has limited influence over.</w:t>
            </w:r>
          </w:p>
        </w:tc>
      </w:tr>
      <w:tr w:rsidR="00AC2A5E" w14:paraId="3FE55E64" w14:textId="77777777">
        <w:trPr>
          <w:trHeight w:val="291"/>
        </w:trPr>
        <w:tc>
          <w:tcPr>
            <w:tcW w:w="2196" w:type="dxa"/>
            <w:vAlign w:val="center"/>
          </w:tcPr>
          <w:p w14:paraId="00000064"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Subnational Governments (States Governments)</w:t>
            </w:r>
          </w:p>
          <w:p w14:paraId="00000065"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Are responsible for responsible for the implementing activities that are linked to the project under their jurisdiction</w:t>
            </w:r>
          </w:p>
          <w:p w14:paraId="00000066" w14:textId="77777777" w:rsidR="00AC2A5E" w:rsidRDefault="00AC2A5E">
            <w:pPr>
              <w:pBdr>
                <w:top w:val="nil"/>
                <w:left w:val="nil"/>
                <w:bottom w:val="nil"/>
                <w:right w:val="nil"/>
                <w:between w:val="nil"/>
              </w:pBdr>
              <w:spacing w:before="120" w:after="120"/>
              <w:rPr>
                <w:rFonts w:ascii="Calibri" w:eastAsia="Calibri" w:hAnsi="Calibri" w:cs="Calibri"/>
                <w:color w:val="000000"/>
                <w:sz w:val="20"/>
                <w:szCs w:val="20"/>
              </w:rPr>
            </w:pPr>
          </w:p>
        </w:tc>
        <w:tc>
          <w:tcPr>
            <w:tcW w:w="1880" w:type="dxa"/>
            <w:vAlign w:val="center"/>
          </w:tcPr>
          <w:p w14:paraId="00000067"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The interest of the states is to make areas available for restoration and guarantee the necessary resources for this.</w:t>
            </w:r>
          </w:p>
          <w:p w14:paraId="00000068" w14:textId="77777777" w:rsidR="00AC2A5E" w:rsidRDefault="00AC2A5E">
            <w:pPr>
              <w:pBdr>
                <w:top w:val="nil"/>
                <w:left w:val="nil"/>
                <w:bottom w:val="nil"/>
                <w:right w:val="nil"/>
                <w:between w:val="nil"/>
              </w:pBdr>
              <w:spacing w:before="120" w:after="120"/>
              <w:rPr>
                <w:rFonts w:ascii="Calibri" w:eastAsia="Calibri" w:hAnsi="Calibri" w:cs="Calibri"/>
                <w:color w:val="000000"/>
                <w:sz w:val="20"/>
                <w:szCs w:val="20"/>
              </w:rPr>
            </w:pPr>
          </w:p>
          <w:p w14:paraId="00000069" w14:textId="77777777" w:rsidR="00AC2A5E" w:rsidRDefault="009549BA">
            <w:pPr>
              <w:pBdr>
                <w:top w:val="nil"/>
                <w:left w:val="nil"/>
                <w:bottom w:val="nil"/>
                <w:right w:val="nil"/>
                <w:between w:val="nil"/>
              </w:pBdr>
              <w:spacing w:before="120" w:after="120"/>
              <w:rPr>
                <w:rFonts w:ascii="Calibri" w:eastAsia="Calibri" w:hAnsi="Calibri" w:cs="Calibri"/>
                <w:sz w:val="20"/>
                <w:szCs w:val="20"/>
              </w:rPr>
            </w:pPr>
            <w:r>
              <w:rPr>
                <w:rFonts w:ascii="Calibri" w:eastAsia="Calibri" w:hAnsi="Calibri" w:cs="Calibri"/>
                <w:color w:val="000000"/>
                <w:sz w:val="20"/>
                <w:szCs w:val="20"/>
              </w:rPr>
              <w:t>The project will support the States in the implementation of the Forest Code and their existing initiatives that support restoration and improved practices.</w:t>
            </w:r>
          </w:p>
        </w:tc>
        <w:tc>
          <w:tcPr>
            <w:tcW w:w="2219" w:type="dxa"/>
            <w:vAlign w:val="center"/>
          </w:tcPr>
          <w:p w14:paraId="0000006A"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States can be positively impacted as degraded areas are recovered, producers are trained and act with improved production practices and carbon is mitigated</w:t>
            </w:r>
          </w:p>
        </w:tc>
        <w:tc>
          <w:tcPr>
            <w:tcW w:w="2019" w:type="dxa"/>
            <w:vAlign w:val="center"/>
          </w:tcPr>
          <w:p w14:paraId="0000006B"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States can contribute supporting, coordinating, and implementing native vegetation recovery as well as the implementation and execution of the PRA</w:t>
            </w:r>
          </w:p>
        </w:tc>
        <w:tc>
          <w:tcPr>
            <w:tcW w:w="1713" w:type="dxa"/>
          </w:tcPr>
          <w:p w14:paraId="0000006C" w14:textId="77777777" w:rsidR="00AC2A5E" w:rsidRDefault="00AC2A5E">
            <w:pPr>
              <w:pBdr>
                <w:top w:val="nil"/>
                <w:left w:val="nil"/>
                <w:bottom w:val="nil"/>
                <w:right w:val="nil"/>
                <w:between w:val="nil"/>
              </w:pBdr>
              <w:spacing w:before="120" w:after="120"/>
              <w:rPr>
                <w:rFonts w:ascii="Calibri" w:eastAsia="Calibri" w:hAnsi="Calibri" w:cs="Calibri"/>
                <w:b/>
                <w:color w:val="000000"/>
                <w:sz w:val="20"/>
                <w:szCs w:val="20"/>
              </w:rPr>
            </w:pPr>
          </w:p>
          <w:p w14:paraId="0000006D" w14:textId="77777777" w:rsidR="00AC2A5E" w:rsidRDefault="009549BA">
            <w:pPr>
              <w:pBdr>
                <w:top w:val="nil"/>
                <w:left w:val="nil"/>
                <w:bottom w:val="nil"/>
                <w:right w:val="nil"/>
                <w:between w:val="nil"/>
              </w:pBdr>
              <w:spacing w:before="120" w:after="120"/>
              <w:rPr>
                <w:rFonts w:ascii="Calibri" w:eastAsia="Calibri" w:hAnsi="Calibri" w:cs="Calibri"/>
                <w:b/>
                <w:color w:val="000000"/>
                <w:sz w:val="20"/>
                <w:szCs w:val="20"/>
              </w:rPr>
            </w:pPr>
            <w:r>
              <w:rPr>
                <w:rFonts w:ascii="Calibri" w:eastAsia="Calibri" w:hAnsi="Calibri" w:cs="Calibri"/>
                <w:b/>
                <w:color w:val="000000"/>
                <w:sz w:val="20"/>
                <w:szCs w:val="20"/>
              </w:rPr>
              <w:t>Medium</w:t>
            </w:r>
          </w:p>
          <w:p w14:paraId="0000006E"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The risk will be mitigated through the collaboration support and guidance of the executing entity and the Forest Service for the implementation of state environmental regularization programs and for the development and implementation of state programs for the recovery of native vegetation</w:t>
            </w:r>
          </w:p>
        </w:tc>
      </w:tr>
      <w:tr w:rsidR="00AC2A5E" w14:paraId="5D630010" w14:textId="77777777">
        <w:trPr>
          <w:trHeight w:val="291"/>
        </w:trPr>
        <w:tc>
          <w:tcPr>
            <w:tcW w:w="2196" w:type="dxa"/>
            <w:vAlign w:val="center"/>
          </w:tcPr>
          <w:p w14:paraId="0000006F"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Executive Commission for Control of Illegal Deforestation and Recovery of Native Vegetation (CONAVEG). </w:t>
            </w:r>
          </w:p>
          <w:p w14:paraId="00000070" w14:textId="77777777" w:rsidR="00AC2A5E" w:rsidRDefault="00AC2A5E">
            <w:pPr>
              <w:pBdr>
                <w:top w:val="nil"/>
                <w:left w:val="nil"/>
                <w:bottom w:val="nil"/>
                <w:right w:val="nil"/>
                <w:between w:val="nil"/>
              </w:pBdr>
              <w:spacing w:before="120" w:after="120"/>
              <w:rPr>
                <w:rFonts w:ascii="Calibri" w:eastAsia="Calibri" w:hAnsi="Calibri" w:cs="Calibri"/>
                <w:color w:val="000000"/>
                <w:sz w:val="20"/>
                <w:szCs w:val="20"/>
              </w:rPr>
            </w:pPr>
          </w:p>
          <w:p w14:paraId="00000071" w14:textId="77777777" w:rsidR="00AC2A5E" w:rsidRDefault="009549BA">
            <w:pPr>
              <w:pBdr>
                <w:top w:val="nil"/>
                <w:left w:val="nil"/>
                <w:bottom w:val="nil"/>
                <w:right w:val="nil"/>
                <w:between w:val="nil"/>
              </w:pBdr>
              <w:spacing w:before="120" w:after="120"/>
              <w:rPr>
                <w:rFonts w:ascii="Calibri" w:eastAsia="Calibri" w:hAnsi="Calibri" w:cs="Calibri"/>
                <w:i/>
                <w:color w:val="000000"/>
                <w:sz w:val="18"/>
                <w:szCs w:val="18"/>
              </w:rPr>
            </w:pPr>
            <w:r>
              <w:rPr>
                <w:rFonts w:ascii="Calibri" w:eastAsia="Calibri" w:hAnsi="Calibri" w:cs="Calibri"/>
                <w:i/>
                <w:color w:val="000000"/>
                <w:sz w:val="18"/>
                <w:szCs w:val="18"/>
              </w:rPr>
              <w:t>Institution responsible for implementing public policies to promote the recovery of native vegetation.</w:t>
            </w:r>
          </w:p>
        </w:tc>
        <w:tc>
          <w:tcPr>
            <w:tcW w:w="1880" w:type="dxa"/>
            <w:vAlign w:val="center"/>
          </w:tcPr>
          <w:p w14:paraId="00000072"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CONAVEG’s main interest is the implementation of PROVEG and PLANAVEG.</w:t>
            </w:r>
          </w:p>
        </w:tc>
        <w:tc>
          <w:tcPr>
            <w:tcW w:w="2219" w:type="dxa"/>
            <w:vAlign w:val="center"/>
          </w:tcPr>
          <w:p w14:paraId="00000073"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CONAVEG will be positively affected as the project will support the implementation of PROVEG, PLANAVEG, and other public policies aimed at Native Vegetation Recovery (NVR).</w:t>
            </w:r>
          </w:p>
          <w:p w14:paraId="00000074"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CONAVEG could be negatively affected if Restaura Biomas does not meet its goals and fails to support CONAVEG in its goals for the recovery of native vegetation.</w:t>
            </w:r>
          </w:p>
        </w:tc>
        <w:tc>
          <w:tcPr>
            <w:tcW w:w="2019" w:type="dxa"/>
            <w:vAlign w:val="center"/>
          </w:tcPr>
          <w:p w14:paraId="00000075"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CONAVEG will have a strong level of influence over the first component of the project (public policies).</w:t>
            </w:r>
          </w:p>
        </w:tc>
        <w:tc>
          <w:tcPr>
            <w:tcW w:w="1713" w:type="dxa"/>
          </w:tcPr>
          <w:p w14:paraId="00000076" w14:textId="77777777" w:rsidR="00AC2A5E" w:rsidRDefault="009549BA">
            <w:pPr>
              <w:pBdr>
                <w:top w:val="nil"/>
                <w:left w:val="nil"/>
                <w:bottom w:val="nil"/>
                <w:right w:val="nil"/>
                <w:between w:val="nil"/>
              </w:pBdr>
              <w:spacing w:before="120" w:after="120"/>
              <w:rPr>
                <w:rFonts w:ascii="Calibri" w:eastAsia="Calibri" w:hAnsi="Calibri" w:cs="Calibri"/>
                <w:b/>
                <w:color w:val="000000"/>
                <w:sz w:val="20"/>
                <w:szCs w:val="20"/>
              </w:rPr>
            </w:pPr>
            <w:r>
              <w:rPr>
                <w:rFonts w:ascii="Calibri" w:eastAsia="Calibri" w:hAnsi="Calibri" w:cs="Calibri"/>
                <w:b/>
                <w:color w:val="000000"/>
                <w:sz w:val="20"/>
                <w:szCs w:val="20"/>
              </w:rPr>
              <w:t>Low</w:t>
            </w:r>
          </w:p>
        </w:tc>
      </w:tr>
      <w:tr w:rsidR="00AC2A5E" w14:paraId="3A065F92" w14:textId="77777777">
        <w:trPr>
          <w:trHeight w:val="291"/>
        </w:trPr>
        <w:tc>
          <w:tcPr>
            <w:tcW w:w="2196" w:type="dxa"/>
            <w:vAlign w:val="center"/>
          </w:tcPr>
          <w:p w14:paraId="00000077" w14:textId="77777777" w:rsidR="00AC2A5E" w:rsidRDefault="009549BA">
            <w:pPr>
              <w:pBdr>
                <w:top w:val="nil"/>
                <w:left w:val="nil"/>
                <w:bottom w:val="nil"/>
                <w:right w:val="nil"/>
                <w:between w:val="nil"/>
              </w:pBdr>
              <w:spacing w:before="120" w:after="120"/>
              <w:rPr>
                <w:rFonts w:ascii="Calibri" w:eastAsia="Calibri" w:hAnsi="Calibri" w:cs="Calibri"/>
                <w:color w:val="24292F"/>
                <w:sz w:val="20"/>
                <w:szCs w:val="20"/>
                <w:highlight w:val="white"/>
              </w:rPr>
            </w:pPr>
            <w:r>
              <w:rPr>
                <w:rFonts w:ascii="Calibri" w:eastAsia="Calibri" w:hAnsi="Calibri" w:cs="Calibri"/>
                <w:color w:val="24292F"/>
                <w:sz w:val="20"/>
                <w:szCs w:val="20"/>
                <w:highlight w:val="white"/>
              </w:rPr>
              <w:t>The Brazilian Forest Service (SFB)</w:t>
            </w:r>
          </w:p>
          <w:p w14:paraId="00000078" w14:textId="77777777" w:rsidR="00AC2A5E" w:rsidRDefault="00AC2A5E">
            <w:pPr>
              <w:pBdr>
                <w:top w:val="nil"/>
                <w:left w:val="nil"/>
                <w:bottom w:val="nil"/>
                <w:right w:val="nil"/>
                <w:between w:val="nil"/>
              </w:pBdr>
              <w:spacing w:before="120" w:after="120"/>
              <w:rPr>
                <w:rFonts w:ascii="Calibri" w:eastAsia="Calibri" w:hAnsi="Calibri" w:cs="Calibri"/>
                <w:color w:val="24292F"/>
                <w:sz w:val="20"/>
                <w:szCs w:val="20"/>
                <w:highlight w:val="white"/>
              </w:rPr>
            </w:pPr>
          </w:p>
          <w:p w14:paraId="00000079" w14:textId="77777777" w:rsidR="00AC2A5E" w:rsidRDefault="009549BA">
            <w:pPr>
              <w:pBdr>
                <w:top w:val="nil"/>
                <w:left w:val="nil"/>
                <w:bottom w:val="nil"/>
                <w:right w:val="nil"/>
                <w:between w:val="nil"/>
              </w:pBdr>
              <w:spacing w:before="120" w:after="120"/>
              <w:rPr>
                <w:rFonts w:ascii="Calibri" w:eastAsia="Calibri" w:hAnsi="Calibri" w:cs="Calibri"/>
                <w:i/>
                <w:color w:val="000000"/>
                <w:sz w:val="18"/>
                <w:szCs w:val="18"/>
              </w:rPr>
            </w:pPr>
            <w:r>
              <w:rPr>
                <w:rFonts w:ascii="Calibri" w:eastAsia="Calibri" w:hAnsi="Calibri" w:cs="Calibri"/>
                <w:i/>
                <w:color w:val="24292F"/>
                <w:sz w:val="18"/>
                <w:szCs w:val="18"/>
                <w:highlight w:val="white"/>
              </w:rPr>
              <w:t>Government agency responsible for managing Brazil's public forests.</w:t>
            </w:r>
          </w:p>
        </w:tc>
        <w:tc>
          <w:tcPr>
            <w:tcW w:w="1880" w:type="dxa"/>
            <w:vAlign w:val="center"/>
          </w:tcPr>
          <w:p w14:paraId="0000007A"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SFB is interested in the Restaura Biomas project since Component 1 aims to support environmental regulation in Brazil through the PRA implementation. </w:t>
            </w:r>
          </w:p>
        </w:tc>
        <w:tc>
          <w:tcPr>
            <w:tcW w:w="2219" w:type="dxa"/>
            <w:vAlign w:val="center"/>
          </w:tcPr>
          <w:p w14:paraId="0000007B"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SFB will be positively affected by the implementation of Forest Code Law in Brazil.</w:t>
            </w:r>
          </w:p>
          <w:p w14:paraId="0000007C"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SFB could be negatively affected if Restaura Biomas does not meet its goals and fails to support SFB with Forest Code compliance.</w:t>
            </w:r>
          </w:p>
        </w:tc>
        <w:tc>
          <w:tcPr>
            <w:tcW w:w="2019" w:type="dxa"/>
            <w:vAlign w:val="center"/>
          </w:tcPr>
          <w:p w14:paraId="0000007D"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SFB can contribute to the project by identifying gaps in regulation and effective implementation of PRAs in Brazil. </w:t>
            </w:r>
          </w:p>
        </w:tc>
        <w:tc>
          <w:tcPr>
            <w:tcW w:w="1713" w:type="dxa"/>
          </w:tcPr>
          <w:p w14:paraId="0000007E" w14:textId="77777777" w:rsidR="00AC2A5E" w:rsidRDefault="009549BA">
            <w:pPr>
              <w:pBdr>
                <w:top w:val="nil"/>
                <w:left w:val="nil"/>
                <w:bottom w:val="nil"/>
                <w:right w:val="nil"/>
                <w:between w:val="nil"/>
              </w:pBdr>
              <w:spacing w:before="120" w:after="120"/>
              <w:rPr>
                <w:rFonts w:ascii="Calibri" w:eastAsia="Calibri" w:hAnsi="Calibri" w:cs="Calibri"/>
                <w:b/>
                <w:color w:val="000000"/>
                <w:sz w:val="20"/>
                <w:szCs w:val="20"/>
              </w:rPr>
            </w:pPr>
            <w:r>
              <w:rPr>
                <w:rFonts w:ascii="Calibri" w:eastAsia="Calibri" w:hAnsi="Calibri" w:cs="Calibri"/>
                <w:b/>
                <w:color w:val="000000"/>
                <w:sz w:val="20"/>
                <w:szCs w:val="20"/>
              </w:rPr>
              <w:t>Medium</w:t>
            </w:r>
          </w:p>
          <w:p w14:paraId="0000007F"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SFB may be constrained due to legal uncertainties and/or the flexibility in Forest Code Law. Restaura Biomas will work within the Forest Code framework and will coordinate with relevant </w:t>
            </w:r>
            <w:r>
              <w:rPr>
                <w:rFonts w:ascii="Calibri" w:eastAsia="Calibri" w:hAnsi="Calibri" w:cs="Calibri"/>
                <w:color w:val="000000"/>
                <w:sz w:val="20"/>
                <w:szCs w:val="20"/>
              </w:rPr>
              <w:lastRenderedPageBreak/>
              <w:t>institutions (e.g. MMA and SFB) to understand and work within the legal context of project sites.</w:t>
            </w:r>
          </w:p>
        </w:tc>
      </w:tr>
      <w:tr w:rsidR="00AC2A5E" w14:paraId="218D4440" w14:textId="77777777">
        <w:trPr>
          <w:trHeight w:val="291"/>
        </w:trPr>
        <w:tc>
          <w:tcPr>
            <w:tcW w:w="2196" w:type="dxa"/>
            <w:vAlign w:val="center"/>
          </w:tcPr>
          <w:p w14:paraId="00000080"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Technical Assistance and Rural Extension service (ATER) providers at the federal level (e.g. ANATER) and state level (e.g. </w:t>
            </w:r>
            <w:proofErr w:type="spellStart"/>
            <w:r>
              <w:rPr>
                <w:rFonts w:ascii="Calibri" w:eastAsia="Calibri" w:hAnsi="Calibri" w:cs="Calibri"/>
                <w:color w:val="000000"/>
                <w:sz w:val="20"/>
                <w:szCs w:val="20"/>
              </w:rPr>
              <w:t>Empaer</w:t>
            </w:r>
            <w:proofErr w:type="spellEnd"/>
            <w:r>
              <w:rPr>
                <w:rFonts w:ascii="Calibri" w:eastAsia="Calibri" w:hAnsi="Calibri" w:cs="Calibri"/>
                <w:color w:val="000000"/>
                <w:sz w:val="20"/>
                <w:szCs w:val="20"/>
              </w:rPr>
              <w:t>-MT)</w:t>
            </w:r>
          </w:p>
        </w:tc>
        <w:tc>
          <w:tcPr>
            <w:tcW w:w="1880" w:type="dxa"/>
            <w:vAlign w:val="center"/>
          </w:tcPr>
          <w:p w14:paraId="00000081" w14:textId="77777777" w:rsidR="00AC2A5E" w:rsidRDefault="00AC2A5E">
            <w:pPr>
              <w:pBdr>
                <w:top w:val="nil"/>
                <w:left w:val="nil"/>
                <w:bottom w:val="nil"/>
                <w:right w:val="nil"/>
                <w:between w:val="nil"/>
              </w:pBdr>
              <w:spacing w:before="120" w:after="120"/>
              <w:rPr>
                <w:rFonts w:ascii="Calibri" w:eastAsia="Calibri" w:hAnsi="Calibri" w:cs="Calibri"/>
                <w:color w:val="000000"/>
                <w:sz w:val="20"/>
                <w:szCs w:val="20"/>
              </w:rPr>
            </w:pPr>
          </w:p>
          <w:p w14:paraId="00000082"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Technical Assistance and Rural Extension services plan, coordinate and execute technical assistance and rural extension, disseminating technical, economic and social knowledge, to improve the production capacity of areas and improve living conditions in rural areas.</w:t>
            </w:r>
          </w:p>
        </w:tc>
        <w:tc>
          <w:tcPr>
            <w:tcW w:w="2219" w:type="dxa"/>
            <w:vAlign w:val="center"/>
          </w:tcPr>
          <w:p w14:paraId="00000083"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Extension service institutions will be positively affected through staff training and capacity building focused on Native Vegetation Recovery models (NVR)</w:t>
            </w:r>
          </w:p>
          <w:p w14:paraId="00000084"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Extension service providers may be negatively impacted by the project if Restaura Biomas gives farmers conflicting advice or incentives.</w:t>
            </w:r>
          </w:p>
        </w:tc>
        <w:tc>
          <w:tcPr>
            <w:tcW w:w="2019" w:type="dxa"/>
            <w:vAlign w:val="center"/>
          </w:tcPr>
          <w:p w14:paraId="00000085"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Extension service institutions are a crucial element for Restaura Biomas as it will effectively transfer the NVR knowledge to farmers in Brazil.</w:t>
            </w:r>
          </w:p>
        </w:tc>
        <w:tc>
          <w:tcPr>
            <w:tcW w:w="1713" w:type="dxa"/>
          </w:tcPr>
          <w:p w14:paraId="00000086"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b/>
                <w:color w:val="000000"/>
                <w:sz w:val="20"/>
                <w:szCs w:val="20"/>
              </w:rPr>
              <w:t>Medium</w:t>
            </w:r>
            <w:r>
              <w:rPr>
                <w:rFonts w:ascii="Calibri" w:eastAsia="Calibri" w:hAnsi="Calibri" w:cs="Calibri"/>
                <w:color w:val="000000"/>
                <w:sz w:val="20"/>
                <w:szCs w:val="20"/>
              </w:rPr>
              <w:t xml:space="preserve"> </w:t>
            </w:r>
          </w:p>
          <w:p w14:paraId="00000087"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It may be difficult to engage extension service institutions due to low interest and Restaura Biomas may not run for long enough to provide within the times that extension service institutions prefer.</w:t>
            </w:r>
          </w:p>
          <w:p w14:paraId="00000088"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The project could mitigate the risk of timeline misalignment by setting up extension service initiatives that will continue after the project ends. If there is low interest from extension service institutions, the project can explore options for alternative extension service providers.</w:t>
            </w:r>
          </w:p>
        </w:tc>
      </w:tr>
      <w:tr w:rsidR="00AC2A5E" w14:paraId="4380076B" w14:textId="77777777">
        <w:trPr>
          <w:trHeight w:val="75"/>
        </w:trPr>
        <w:tc>
          <w:tcPr>
            <w:tcW w:w="10027" w:type="dxa"/>
            <w:gridSpan w:val="5"/>
            <w:shd w:val="clear" w:color="auto" w:fill="B8CCE4"/>
            <w:vAlign w:val="center"/>
          </w:tcPr>
          <w:p w14:paraId="00000089" w14:textId="77777777" w:rsidR="00AC2A5E" w:rsidRDefault="009549BA">
            <w:pPr>
              <w:pBdr>
                <w:top w:val="nil"/>
                <w:left w:val="nil"/>
                <w:bottom w:val="nil"/>
                <w:right w:val="nil"/>
                <w:between w:val="nil"/>
              </w:pBdr>
              <w:spacing w:before="120" w:after="120"/>
              <w:rPr>
                <w:rFonts w:ascii="Calibri" w:eastAsia="Calibri" w:hAnsi="Calibri" w:cs="Calibri"/>
                <w:b/>
                <w:color w:val="000000"/>
                <w:sz w:val="20"/>
                <w:szCs w:val="20"/>
              </w:rPr>
            </w:pPr>
            <w:r>
              <w:rPr>
                <w:rFonts w:ascii="Calibri" w:eastAsia="Calibri" w:hAnsi="Calibri" w:cs="Calibri"/>
                <w:b/>
                <w:color w:val="000000"/>
                <w:sz w:val="20"/>
                <w:szCs w:val="20"/>
              </w:rPr>
              <w:t>CSOs/NGOs</w:t>
            </w:r>
            <w:r>
              <w:rPr>
                <w:rFonts w:ascii="Calibri" w:eastAsia="Calibri" w:hAnsi="Calibri" w:cs="Calibri"/>
                <w:color w:val="000000"/>
                <w:sz w:val="20"/>
                <w:szCs w:val="20"/>
              </w:rPr>
              <w:t xml:space="preserve"> (</w:t>
            </w:r>
            <w:r>
              <w:rPr>
                <w:rFonts w:ascii="Calibri" w:eastAsia="Calibri" w:hAnsi="Calibri" w:cs="Calibri"/>
                <w:i/>
                <w:color w:val="000000"/>
                <w:sz w:val="20"/>
                <w:szCs w:val="20"/>
              </w:rPr>
              <w:t>Add rows as necessary)</w:t>
            </w:r>
          </w:p>
        </w:tc>
      </w:tr>
      <w:tr w:rsidR="00AC2A5E" w14:paraId="21A9683E" w14:textId="77777777">
        <w:trPr>
          <w:trHeight w:val="288"/>
        </w:trPr>
        <w:tc>
          <w:tcPr>
            <w:tcW w:w="2196" w:type="dxa"/>
            <w:vAlign w:val="center"/>
          </w:tcPr>
          <w:p w14:paraId="0000008E"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The Pact for the Restoration of the Atlantic Forest (PACTO)</w:t>
            </w:r>
          </w:p>
          <w:p w14:paraId="0000008F" w14:textId="77777777" w:rsidR="00AC2A5E" w:rsidRDefault="009549BA">
            <w:pPr>
              <w:pBdr>
                <w:top w:val="nil"/>
                <w:left w:val="nil"/>
                <w:bottom w:val="nil"/>
                <w:right w:val="nil"/>
                <w:between w:val="nil"/>
              </w:pBdr>
              <w:spacing w:before="120" w:after="120"/>
              <w:rPr>
                <w:rFonts w:ascii="Calibri" w:eastAsia="Calibri" w:hAnsi="Calibri" w:cs="Calibri"/>
                <w:i/>
                <w:color w:val="000000"/>
                <w:sz w:val="18"/>
                <w:szCs w:val="18"/>
              </w:rPr>
            </w:pPr>
            <w:r>
              <w:rPr>
                <w:rFonts w:ascii="Calibri" w:eastAsia="Calibri" w:hAnsi="Calibri" w:cs="Calibri"/>
                <w:i/>
                <w:color w:val="000000"/>
                <w:sz w:val="18"/>
                <w:szCs w:val="18"/>
              </w:rPr>
              <w:t xml:space="preserve">Network created in 2009 with the aim of regenerating areas related to the Atlantic Forest biome in Brazil. Contains around 300 members, including NGOs, public bodies, business etc. </w:t>
            </w:r>
          </w:p>
        </w:tc>
        <w:tc>
          <w:tcPr>
            <w:tcW w:w="1880" w:type="dxa"/>
            <w:vAlign w:val="center"/>
          </w:tcPr>
          <w:p w14:paraId="00000090"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PACTO is interested in institutionally strengthening the restoration network in the Atlantic Forest biome and achieving its goal to restore 15 </w:t>
            </w:r>
            <w:r>
              <w:rPr>
                <w:rFonts w:ascii="Calibri" w:eastAsia="Calibri" w:hAnsi="Calibri" w:cs="Calibri"/>
                <w:sz w:val="20"/>
                <w:szCs w:val="20"/>
              </w:rPr>
              <w:t>million</w:t>
            </w:r>
            <w:r>
              <w:rPr>
                <w:rFonts w:ascii="Calibri" w:eastAsia="Calibri" w:hAnsi="Calibri" w:cs="Calibri"/>
                <w:color w:val="000000"/>
                <w:sz w:val="20"/>
                <w:szCs w:val="20"/>
              </w:rPr>
              <w:t xml:space="preserve"> hectares of degraded lands and forests by 2050.</w:t>
            </w:r>
          </w:p>
        </w:tc>
        <w:tc>
          <w:tcPr>
            <w:tcW w:w="2219" w:type="dxa"/>
            <w:vAlign w:val="center"/>
          </w:tcPr>
          <w:p w14:paraId="00000091"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All the biom</w:t>
            </w:r>
            <w:r>
              <w:rPr>
                <w:rFonts w:ascii="Calibri" w:eastAsia="Calibri" w:hAnsi="Calibri" w:cs="Calibri"/>
                <w:sz w:val="20"/>
                <w:szCs w:val="20"/>
              </w:rPr>
              <w:t xml:space="preserve">e </w:t>
            </w:r>
            <w:r>
              <w:rPr>
                <w:rFonts w:ascii="Calibri" w:eastAsia="Calibri" w:hAnsi="Calibri" w:cs="Calibri"/>
                <w:color w:val="000000"/>
                <w:sz w:val="20"/>
                <w:szCs w:val="20"/>
              </w:rPr>
              <w:t xml:space="preserve">networks will be positively impacted by strengthening the institutional capacity of the institution and representation, of the network or its members (endorsed by the Network), in official decision-making spaces (CONAVEG, State and Municipal Councils for </w:t>
            </w:r>
            <w:r>
              <w:rPr>
                <w:rFonts w:ascii="Calibri" w:eastAsia="Calibri" w:hAnsi="Calibri" w:cs="Calibri"/>
                <w:color w:val="000000"/>
                <w:sz w:val="20"/>
                <w:szCs w:val="20"/>
              </w:rPr>
              <w:lastRenderedPageBreak/>
              <w:t>the Environment, Water Resources, UC Management Councils and others)</w:t>
            </w:r>
          </w:p>
          <w:p w14:paraId="00000092"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Restoration networks may be negatively impacted if Restaura Biomas does not reach its goals.</w:t>
            </w:r>
          </w:p>
        </w:tc>
        <w:tc>
          <w:tcPr>
            <w:tcW w:w="2019" w:type="dxa"/>
            <w:vAlign w:val="center"/>
          </w:tcPr>
          <w:p w14:paraId="00000093"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Working as a catalyst for forest restoration actions in 17 states of the Atlantic biome through communication, training actions and multidimensional monitoring</w:t>
            </w:r>
          </w:p>
        </w:tc>
        <w:tc>
          <w:tcPr>
            <w:tcW w:w="1713" w:type="dxa"/>
          </w:tcPr>
          <w:p w14:paraId="00000094"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Low-risk</w:t>
            </w:r>
          </w:p>
        </w:tc>
      </w:tr>
      <w:tr w:rsidR="00AC2A5E" w14:paraId="7B10DA3A" w14:textId="77777777">
        <w:trPr>
          <w:trHeight w:val="288"/>
        </w:trPr>
        <w:tc>
          <w:tcPr>
            <w:tcW w:w="2196" w:type="dxa"/>
            <w:vAlign w:val="center"/>
          </w:tcPr>
          <w:p w14:paraId="00000095"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The Alliance for Restoration in the Amazon</w:t>
            </w:r>
          </w:p>
          <w:p w14:paraId="00000096" w14:textId="77777777" w:rsidR="00AC2A5E" w:rsidRDefault="009549BA">
            <w:pPr>
              <w:pBdr>
                <w:top w:val="nil"/>
                <w:left w:val="nil"/>
                <w:bottom w:val="nil"/>
                <w:right w:val="nil"/>
                <w:between w:val="nil"/>
              </w:pBdr>
              <w:spacing w:before="120" w:after="120"/>
              <w:rPr>
                <w:rFonts w:ascii="Calibri" w:eastAsia="Calibri" w:hAnsi="Calibri" w:cs="Calibri"/>
                <w:i/>
                <w:color w:val="000000"/>
                <w:sz w:val="18"/>
                <w:szCs w:val="18"/>
              </w:rPr>
            </w:pPr>
            <w:r>
              <w:rPr>
                <w:rFonts w:ascii="Calibri" w:eastAsia="Calibri" w:hAnsi="Calibri" w:cs="Calibri"/>
                <w:i/>
                <w:color w:val="000000"/>
                <w:sz w:val="18"/>
                <w:szCs w:val="18"/>
              </w:rPr>
              <w:t>A multi-institutional and multi-sectoral initiative, established in 2017, whose general objective is to promote, qualify and expand the scale of restoration of forest landscapes in the Brazilian Amazon.</w:t>
            </w:r>
          </w:p>
        </w:tc>
        <w:tc>
          <w:tcPr>
            <w:tcW w:w="1880" w:type="dxa"/>
            <w:vAlign w:val="center"/>
          </w:tcPr>
          <w:p w14:paraId="00000097"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The Alliance is interested in strengthening the restoration network in the Amazon biome</w:t>
            </w:r>
          </w:p>
        </w:tc>
        <w:tc>
          <w:tcPr>
            <w:tcW w:w="2219" w:type="dxa"/>
            <w:vAlign w:val="center"/>
          </w:tcPr>
          <w:p w14:paraId="00000098"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Same as above</w:t>
            </w:r>
          </w:p>
        </w:tc>
        <w:tc>
          <w:tcPr>
            <w:tcW w:w="2019" w:type="dxa"/>
            <w:vAlign w:val="center"/>
          </w:tcPr>
          <w:p w14:paraId="00000099"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Generating, and dissemination of knowledge and information, support fundraising, contribute to public policies, integrate data for monitoring and raising awareness among civil society</w:t>
            </w:r>
          </w:p>
        </w:tc>
        <w:tc>
          <w:tcPr>
            <w:tcW w:w="1713" w:type="dxa"/>
          </w:tcPr>
          <w:p w14:paraId="0000009A"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Low-risk</w:t>
            </w:r>
          </w:p>
        </w:tc>
      </w:tr>
      <w:tr w:rsidR="00AC2A5E" w14:paraId="5090DCC1" w14:textId="77777777">
        <w:trPr>
          <w:trHeight w:val="288"/>
        </w:trPr>
        <w:tc>
          <w:tcPr>
            <w:tcW w:w="2196" w:type="dxa"/>
            <w:vAlign w:val="center"/>
          </w:tcPr>
          <w:p w14:paraId="0000009B"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The Articulation for the Restoration of the Cerrado (ARATICUM)</w:t>
            </w:r>
          </w:p>
          <w:p w14:paraId="0000009C" w14:textId="77777777" w:rsidR="00AC2A5E" w:rsidRDefault="009549BA">
            <w:pPr>
              <w:pBdr>
                <w:top w:val="nil"/>
                <w:left w:val="nil"/>
                <w:bottom w:val="nil"/>
                <w:right w:val="nil"/>
                <w:between w:val="nil"/>
              </w:pBdr>
              <w:spacing w:before="120" w:after="120"/>
              <w:rPr>
                <w:rFonts w:ascii="Calibri" w:eastAsia="Calibri" w:hAnsi="Calibri" w:cs="Calibri"/>
                <w:i/>
                <w:color w:val="000000"/>
                <w:sz w:val="18"/>
                <w:szCs w:val="18"/>
              </w:rPr>
            </w:pPr>
            <w:r>
              <w:rPr>
                <w:rFonts w:ascii="Calibri" w:eastAsia="Calibri" w:hAnsi="Calibri" w:cs="Calibri"/>
                <w:i/>
                <w:color w:val="000000"/>
                <w:sz w:val="18"/>
                <w:szCs w:val="18"/>
                <w:highlight w:val="white"/>
              </w:rPr>
              <w:t>A collaborative and multi-sectoral network that works to monitor and promote large-scale ecological restoration of the Cerrado.</w:t>
            </w:r>
          </w:p>
        </w:tc>
        <w:tc>
          <w:tcPr>
            <w:tcW w:w="1880" w:type="dxa"/>
            <w:vAlign w:val="center"/>
          </w:tcPr>
          <w:p w14:paraId="0000009D"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ARATICUM is interested in strengthening the restoration network in the Cerrado biome </w:t>
            </w:r>
          </w:p>
        </w:tc>
        <w:tc>
          <w:tcPr>
            <w:tcW w:w="2219" w:type="dxa"/>
            <w:vAlign w:val="center"/>
          </w:tcPr>
          <w:p w14:paraId="0000009E"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Same as above</w:t>
            </w:r>
          </w:p>
        </w:tc>
        <w:tc>
          <w:tcPr>
            <w:tcW w:w="2019" w:type="dxa"/>
            <w:vAlign w:val="center"/>
          </w:tcPr>
          <w:p w14:paraId="0000009F"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highlight w:val="white"/>
              </w:rPr>
              <w:t>Articulation between members to leverage the effective implementation of public policies, strengthening and scaling up existing initiatives in the region</w:t>
            </w:r>
          </w:p>
        </w:tc>
        <w:tc>
          <w:tcPr>
            <w:tcW w:w="1713" w:type="dxa"/>
          </w:tcPr>
          <w:p w14:paraId="000000A0"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Low-risk</w:t>
            </w:r>
          </w:p>
        </w:tc>
      </w:tr>
      <w:tr w:rsidR="00AC2A5E" w14:paraId="6071B15A" w14:textId="77777777">
        <w:trPr>
          <w:trHeight w:val="288"/>
        </w:trPr>
        <w:tc>
          <w:tcPr>
            <w:tcW w:w="2196" w:type="dxa"/>
            <w:vAlign w:val="center"/>
          </w:tcPr>
          <w:p w14:paraId="000000A1"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The Southern Ecological Restoration Network </w:t>
            </w:r>
          </w:p>
          <w:p w14:paraId="000000A2" w14:textId="77777777" w:rsidR="00AC2A5E" w:rsidRDefault="009549BA">
            <w:pPr>
              <w:pBdr>
                <w:top w:val="nil"/>
                <w:left w:val="nil"/>
                <w:bottom w:val="nil"/>
                <w:right w:val="nil"/>
                <w:between w:val="nil"/>
              </w:pBdr>
              <w:spacing w:before="120" w:after="120"/>
              <w:rPr>
                <w:rFonts w:ascii="Calibri" w:eastAsia="Calibri" w:hAnsi="Calibri" w:cs="Calibri"/>
                <w:i/>
                <w:color w:val="000000"/>
                <w:sz w:val="18"/>
                <w:szCs w:val="18"/>
              </w:rPr>
            </w:pPr>
            <w:r>
              <w:rPr>
                <w:rFonts w:ascii="Calibri" w:eastAsia="Calibri" w:hAnsi="Calibri" w:cs="Calibri"/>
                <w:i/>
                <w:color w:val="000000"/>
                <w:sz w:val="18"/>
                <w:szCs w:val="18"/>
              </w:rPr>
              <w:t>An organization formed by representatives of state governments, NGOs, universities, and the private sector in April 2021. It focuses on scientific research, project execution, collection of seeds, and promotion of restoration techniques.</w:t>
            </w:r>
          </w:p>
        </w:tc>
        <w:tc>
          <w:tcPr>
            <w:tcW w:w="1880" w:type="dxa"/>
            <w:vAlign w:val="center"/>
          </w:tcPr>
          <w:p w14:paraId="000000A3"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The Southern Network is interested in strengthening restoration networks in the southern region of Brazil. The main concern of the institution is for Restaura Biomas providing too much focus on other biomes (e.g. Amazon, Cerrado and Mata Atlantica) as is often the case with international cooperation projects.</w:t>
            </w:r>
          </w:p>
        </w:tc>
        <w:tc>
          <w:tcPr>
            <w:tcW w:w="2219" w:type="dxa"/>
            <w:vAlign w:val="center"/>
          </w:tcPr>
          <w:p w14:paraId="000000A4"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Same as above</w:t>
            </w:r>
          </w:p>
        </w:tc>
        <w:tc>
          <w:tcPr>
            <w:tcW w:w="2019" w:type="dxa"/>
            <w:vAlign w:val="center"/>
          </w:tcPr>
          <w:p w14:paraId="000000A5"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Articulation between members, </w:t>
            </w:r>
            <w:r>
              <w:rPr>
                <w:rFonts w:ascii="Calibri" w:eastAsia="Calibri" w:hAnsi="Calibri" w:cs="Calibri"/>
                <w:color w:val="000000"/>
                <w:sz w:val="20"/>
                <w:szCs w:val="20"/>
              </w:rPr>
              <w:t>dissemination of information</w:t>
            </w:r>
            <w:r>
              <w:rPr>
                <w:rFonts w:ascii="Calibri" w:eastAsia="Calibri" w:hAnsi="Calibri" w:cs="Calibri"/>
                <w:color w:val="000000"/>
                <w:sz w:val="20"/>
                <w:szCs w:val="20"/>
                <w:highlight w:val="white"/>
              </w:rPr>
              <w:t xml:space="preserve"> and awareness raising</w:t>
            </w:r>
          </w:p>
        </w:tc>
        <w:tc>
          <w:tcPr>
            <w:tcW w:w="1713" w:type="dxa"/>
          </w:tcPr>
          <w:p w14:paraId="000000A6"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Low-risk</w:t>
            </w:r>
          </w:p>
        </w:tc>
      </w:tr>
      <w:tr w:rsidR="00AC2A5E" w14:paraId="04ADB05A" w14:textId="77777777">
        <w:trPr>
          <w:trHeight w:val="288"/>
        </w:trPr>
        <w:tc>
          <w:tcPr>
            <w:tcW w:w="2196" w:type="dxa"/>
            <w:vAlign w:val="center"/>
          </w:tcPr>
          <w:p w14:paraId="000000A7" w14:textId="77777777" w:rsidR="00AC2A5E" w:rsidRPr="00627964" w:rsidRDefault="009549BA">
            <w:pPr>
              <w:pBdr>
                <w:top w:val="nil"/>
                <w:left w:val="nil"/>
                <w:bottom w:val="nil"/>
                <w:right w:val="nil"/>
                <w:between w:val="nil"/>
              </w:pBdr>
              <w:spacing w:before="120" w:after="120"/>
              <w:rPr>
                <w:rFonts w:ascii="Calibri" w:eastAsia="Calibri" w:hAnsi="Calibri" w:cs="Calibri"/>
                <w:color w:val="000000"/>
                <w:sz w:val="20"/>
                <w:szCs w:val="20"/>
                <w:lang w:val="pt-BR"/>
              </w:rPr>
            </w:pPr>
            <w:r w:rsidRPr="00627964">
              <w:rPr>
                <w:rFonts w:ascii="Calibri" w:eastAsia="Calibri" w:hAnsi="Calibri" w:cs="Calibri"/>
                <w:color w:val="000000"/>
                <w:sz w:val="20"/>
                <w:szCs w:val="20"/>
                <w:lang w:val="pt-BR"/>
              </w:rPr>
              <w:t>Rede para Restauração da Caatinga (RECAA)</w:t>
            </w:r>
          </w:p>
          <w:p w14:paraId="000000A8" w14:textId="77777777" w:rsidR="00AC2A5E" w:rsidRPr="00627964" w:rsidRDefault="00AC2A5E">
            <w:pPr>
              <w:pBdr>
                <w:top w:val="nil"/>
                <w:left w:val="nil"/>
                <w:bottom w:val="nil"/>
                <w:right w:val="nil"/>
                <w:between w:val="nil"/>
              </w:pBdr>
              <w:spacing w:before="120" w:after="120"/>
              <w:rPr>
                <w:rFonts w:ascii="Calibri" w:eastAsia="Calibri" w:hAnsi="Calibri" w:cs="Calibri"/>
                <w:color w:val="000000"/>
                <w:sz w:val="20"/>
                <w:szCs w:val="20"/>
                <w:lang w:val="pt-BR"/>
              </w:rPr>
            </w:pPr>
          </w:p>
          <w:p w14:paraId="000000A9" w14:textId="77777777" w:rsidR="00AC2A5E" w:rsidRDefault="009549BA">
            <w:pPr>
              <w:pBdr>
                <w:top w:val="nil"/>
                <w:left w:val="nil"/>
                <w:bottom w:val="nil"/>
                <w:right w:val="nil"/>
                <w:between w:val="nil"/>
              </w:pBdr>
              <w:spacing w:before="120" w:after="120"/>
              <w:rPr>
                <w:rFonts w:ascii="Calibri" w:eastAsia="Calibri" w:hAnsi="Calibri" w:cs="Calibri"/>
                <w:i/>
                <w:color w:val="000000"/>
                <w:sz w:val="18"/>
                <w:szCs w:val="18"/>
              </w:rPr>
            </w:pPr>
            <w:r>
              <w:rPr>
                <w:rFonts w:ascii="Calibri" w:eastAsia="Calibri" w:hAnsi="Calibri" w:cs="Calibri"/>
                <w:i/>
                <w:color w:val="000000"/>
                <w:sz w:val="18"/>
                <w:szCs w:val="18"/>
              </w:rPr>
              <w:t>An organization focusing on restoration work opportunities in the Caatinga biome.</w:t>
            </w:r>
          </w:p>
        </w:tc>
        <w:tc>
          <w:tcPr>
            <w:tcW w:w="1880" w:type="dxa"/>
            <w:vAlign w:val="center"/>
          </w:tcPr>
          <w:p w14:paraId="000000AA"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RECAA is interested in strengthening the restoration network </w:t>
            </w:r>
            <w:r>
              <w:rPr>
                <w:rFonts w:ascii="Calibri" w:eastAsia="Calibri" w:hAnsi="Calibri" w:cs="Calibri"/>
                <w:color w:val="000000"/>
                <w:sz w:val="20"/>
                <w:szCs w:val="20"/>
              </w:rPr>
              <w:lastRenderedPageBreak/>
              <w:t>in the caatinga biome. Their goal is the same as the Southern network (above) but focused on Caatinga.</w:t>
            </w:r>
          </w:p>
        </w:tc>
        <w:tc>
          <w:tcPr>
            <w:tcW w:w="2219" w:type="dxa"/>
            <w:vAlign w:val="center"/>
          </w:tcPr>
          <w:p w14:paraId="000000AB"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Same as above</w:t>
            </w:r>
          </w:p>
        </w:tc>
        <w:tc>
          <w:tcPr>
            <w:tcW w:w="2019" w:type="dxa"/>
            <w:vAlign w:val="center"/>
          </w:tcPr>
          <w:p w14:paraId="000000AC"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Strengthen people and institutions, generate, and </w:t>
            </w:r>
            <w:r>
              <w:rPr>
                <w:rFonts w:ascii="Calibri" w:eastAsia="Calibri" w:hAnsi="Calibri" w:cs="Calibri"/>
                <w:color w:val="000000"/>
                <w:sz w:val="20"/>
                <w:szCs w:val="20"/>
              </w:rPr>
              <w:lastRenderedPageBreak/>
              <w:t>endorse information to guide good practices in restoration, articulate public policies and generate opportunities in the region</w:t>
            </w:r>
          </w:p>
        </w:tc>
        <w:tc>
          <w:tcPr>
            <w:tcW w:w="1713" w:type="dxa"/>
          </w:tcPr>
          <w:p w14:paraId="000000AD"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Low-risk</w:t>
            </w:r>
          </w:p>
        </w:tc>
      </w:tr>
      <w:tr w:rsidR="00AC2A5E" w14:paraId="16531A54" w14:textId="77777777">
        <w:trPr>
          <w:trHeight w:val="288"/>
        </w:trPr>
        <w:tc>
          <w:tcPr>
            <w:tcW w:w="2196" w:type="dxa"/>
            <w:vAlign w:val="center"/>
          </w:tcPr>
          <w:p w14:paraId="000000AE"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proofErr w:type="spellStart"/>
            <w:r>
              <w:rPr>
                <w:rFonts w:ascii="Calibri" w:eastAsia="Calibri" w:hAnsi="Calibri" w:cs="Calibri"/>
                <w:color w:val="000000"/>
                <w:sz w:val="20"/>
                <w:szCs w:val="20"/>
              </w:rPr>
              <w:t>Pacto</w:t>
            </w:r>
            <w:proofErr w:type="spellEnd"/>
            <w:r>
              <w:rPr>
                <w:rFonts w:ascii="Calibri" w:eastAsia="Calibri" w:hAnsi="Calibri" w:cs="Calibri"/>
                <w:color w:val="000000"/>
                <w:sz w:val="20"/>
                <w:szCs w:val="20"/>
              </w:rPr>
              <w:t xml:space="preserve"> pela </w:t>
            </w:r>
            <w:proofErr w:type="spellStart"/>
            <w:r>
              <w:rPr>
                <w:rFonts w:ascii="Calibri" w:eastAsia="Calibri" w:hAnsi="Calibri" w:cs="Calibri"/>
                <w:color w:val="000000"/>
                <w:sz w:val="20"/>
                <w:szCs w:val="20"/>
              </w:rPr>
              <w:t>Restauração</w:t>
            </w:r>
            <w:proofErr w:type="spellEnd"/>
            <w:r>
              <w:rPr>
                <w:rFonts w:ascii="Calibri" w:eastAsia="Calibri" w:hAnsi="Calibri" w:cs="Calibri"/>
                <w:color w:val="000000"/>
                <w:sz w:val="20"/>
                <w:szCs w:val="20"/>
              </w:rPr>
              <w:t xml:space="preserve"> do Pantanal</w:t>
            </w:r>
          </w:p>
          <w:p w14:paraId="000000AF" w14:textId="77777777" w:rsidR="00AC2A5E" w:rsidRDefault="009549BA">
            <w:pPr>
              <w:pBdr>
                <w:top w:val="nil"/>
                <w:left w:val="nil"/>
                <w:bottom w:val="nil"/>
                <w:right w:val="nil"/>
                <w:between w:val="nil"/>
              </w:pBdr>
              <w:spacing w:before="120" w:after="120"/>
              <w:rPr>
                <w:rFonts w:ascii="Calibri" w:eastAsia="Calibri" w:hAnsi="Calibri" w:cs="Calibri"/>
                <w:i/>
                <w:color w:val="000000"/>
                <w:sz w:val="18"/>
                <w:szCs w:val="18"/>
              </w:rPr>
            </w:pPr>
            <w:r>
              <w:rPr>
                <w:rFonts w:ascii="Calibri" w:eastAsia="Calibri" w:hAnsi="Calibri" w:cs="Calibri"/>
                <w:i/>
                <w:color w:val="000000"/>
                <w:sz w:val="18"/>
                <w:szCs w:val="18"/>
              </w:rPr>
              <w:t>A restoration network in the Pantanal biome.</w:t>
            </w:r>
          </w:p>
        </w:tc>
        <w:tc>
          <w:tcPr>
            <w:tcW w:w="1880" w:type="dxa"/>
            <w:vAlign w:val="center"/>
          </w:tcPr>
          <w:p w14:paraId="000000B0"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proofErr w:type="spellStart"/>
            <w:r>
              <w:rPr>
                <w:rFonts w:ascii="Calibri" w:eastAsia="Calibri" w:hAnsi="Calibri" w:cs="Calibri"/>
                <w:color w:val="000000"/>
                <w:sz w:val="20"/>
                <w:szCs w:val="20"/>
              </w:rPr>
              <w:t>Pacto</w:t>
            </w:r>
            <w:proofErr w:type="spellEnd"/>
            <w:r>
              <w:rPr>
                <w:rFonts w:ascii="Calibri" w:eastAsia="Calibri" w:hAnsi="Calibri" w:cs="Calibri"/>
                <w:color w:val="000000"/>
                <w:sz w:val="20"/>
                <w:szCs w:val="20"/>
              </w:rPr>
              <w:t xml:space="preserve"> is interested in strengthening the restoration network in the Pantanal biome. Their concern is the same as RECCA and Southern Network</w:t>
            </w:r>
          </w:p>
        </w:tc>
        <w:tc>
          <w:tcPr>
            <w:tcW w:w="2219" w:type="dxa"/>
            <w:vAlign w:val="center"/>
          </w:tcPr>
          <w:p w14:paraId="000000B1"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Same as above</w:t>
            </w:r>
          </w:p>
        </w:tc>
        <w:tc>
          <w:tcPr>
            <w:tcW w:w="2019" w:type="dxa"/>
            <w:vAlign w:val="center"/>
          </w:tcPr>
          <w:p w14:paraId="000000B2"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Articulation, information </w:t>
            </w:r>
            <w:r>
              <w:rPr>
                <w:rFonts w:ascii="Calibri" w:eastAsia="Calibri" w:hAnsi="Calibri" w:cs="Calibri"/>
                <w:color w:val="000000"/>
                <w:sz w:val="20"/>
                <w:szCs w:val="20"/>
              </w:rPr>
              <w:t xml:space="preserve">dissemination </w:t>
            </w:r>
            <w:r>
              <w:rPr>
                <w:rFonts w:ascii="Calibri" w:eastAsia="Calibri" w:hAnsi="Calibri" w:cs="Calibri"/>
                <w:color w:val="000000"/>
                <w:sz w:val="20"/>
                <w:szCs w:val="20"/>
                <w:highlight w:val="white"/>
              </w:rPr>
              <w:t>and awareness raising</w:t>
            </w:r>
          </w:p>
        </w:tc>
        <w:tc>
          <w:tcPr>
            <w:tcW w:w="1713" w:type="dxa"/>
          </w:tcPr>
          <w:p w14:paraId="000000B3"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Low-risk</w:t>
            </w:r>
          </w:p>
        </w:tc>
      </w:tr>
      <w:tr w:rsidR="00AC2A5E" w14:paraId="0D25D3BF" w14:textId="77777777">
        <w:trPr>
          <w:trHeight w:val="288"/>
        </w:trPr>
        <w:tc>
          <w:tcPr>
            <w:tcW w:w="2196" w:type="dxa"/>
            <w:vAlign w:val="center"/>
          </w:tcPr>
          <w:p w14:paraId="000000B4"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The Brazilian Coalition on Climate, Forests and Agriculture</w:t>
            </w:r>
          </w:p>
          <w:p w14:paraId="000000B5" w14:textId="77777777" w:rsidR="00AC2A5E" w:rsidRDefault="00AC2A5E">
            <w:pPr>
              <w:pBdr>
                <w:top w:val="nil"/>
                <w:left w:val="nil"/>
                <w:bottom w:val="nil"/>
                <w:right w:val="nil"/>
                <w:between w:val="nil"/>
              </w:pBdr>
              <w:spacing w:before="120" w:after="120"/>
              <w:rPr>
                <w:rFonts w:ascii="Calibri" w:eastAsia="Calibri" w:hAnsi="Calibri" w:cs="Calibri"/>
                <w:color w:val="000000"/>
                <w:sz w:val="20"/>
                <w:szCs w:val="20"/>
              </w:rPr>
            </w:pPr>
          </w:p>
          <w:p w14:paraId="000000B6" w14:textId="77777777" w:rsidR="00AC2A5E" w:rsidRDefault="009549BA">
            <w:pPr>
              <w:pBdr>
                <w:top w:val="nil"/>
                <w:left w:val="nil"/>
                <w:bottom w:val="nil"/>
                <w:right w:val="nil"/>
                <w:between w:val="nil"/>
              </w:pBdr>
              <w:spacing w:before="120" w:after="120"/>
              <w:rPr>
                <w:rFonts w:ascii="Calibri" w:eastAsia="Calibri" w:hAnsi="Calibri" w:cs="Calibri"/>
                <w:i/>
                <w:color w:val="000000"/>
                <w:sz w:val="18"/>
                <w:szCs w:val="18"/>
              </w:rPr>
            </w:pPr>
            <w:r>
              <w:rPr>
                <w:rFonts w:ascii="Calibri" w:eastAsia="Calibri" w:hAnsi="Calibri" w:cs="Calibri"/>
                <w:i/>
                <w:color w:val="000000"/>
                <w:sz w:val="18"/>
                <w:szCs w:val="18"/>
              </w:rPr>
              <w:t xml:space="preserve">A network of 371 organizations including agribusiness, environmental protection entities, and academia. </w:t>
            </w:r>
          </w:p>
        </w:tc>
        <w:tc>
          <w:tcPr>
            <w:tcW w:w="1880" w:type="dxa"/>
            <w:vAlign w:val="center"/>
          </w:tcPr>
          <w:p w14:paraId="000000B7"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The Coalition has a shared vision with Restaura Biomas of sustainable agriculture and is committed to stopping deforestation and promoting native vegetation recovery. </w:t>
            </w:r>
          </w:p>
        </w:tc>
        <w:tc>
          <w:tcPr>
            <w:tcW w:w="2219" w:type="dxa"/>
            <w:vAlign w:val="center"/>
          </w:tcPr>
          <w:p w14:paraId="000000B8"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The investments from Restaura Biomas will improve the Brazilian overall business environment for private sector investments in forest restoration and consequently facilitate companies in achieving their biodiversity and carbon commitments.</w:t>
            </w:r>
          </w:p>
          <w:p w14:paraId="000000B9"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Restaura Biomas may negatively impact the Coalition if it fails to meet its goals. This risk could negatively impact investors, </w:t>
            </w:r>
            <w:proofErr w:type="spellStart"/>
            <w:r>
              <w:rPr>
                <w:rFonts w:ascii="Calibri" w:eastAsia="Calibri" w:hAnsi="Calibri" w:cs="Calibri"/>
                <w:color w:val="000000"/>
                <w:sz w:val="20"/>
                <w:szCs w:val="20"/>
              </w:rPr>
              <w:t>offtakers</w:t>
            </w:r>
            <w:proofErr w:type="spellEnd"/>
            <w:r>
              <w:rPr>
                <w:rFonts w:ascii="Calibri" w:eastAsia="Calibri" w:hAnsi="Calibri" w:cs="Calibri"/>
                <w:color w:val="000000"/>
                <w:sz w:val="20"/>
                <w:szCs w:val="20"/>
              </w:rPr>
              <w:t>, or other private sector stakeholders financially if the project cannot connect them with sustainable agricultural investment opportunities and projects</w:t>
            </w:r>
          </w:p>
        </w:tc>
        <w:tc>
          <w:tcPr>
            <w:tcW w:w="2019" w:type="dxa"/>
            <w:vAlign w:val="center"/>
          </w:tcPr>
          <w:p w14:paraId="000000BA"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Engagement with the Coalition’s financial institutions and companies that are involved in the purchase of commodity products from Brazil, along with other stakeholders to develop actions for native vegetation recovery</w:t>
            </w:r>
          </w:p>
        </w:tc>
        <w:tc>
          <w:tcPr>
            <w:tcW w:w="1713" w:type="dxa"/>
          </w:tcPr>
          <w:p w14:paraId="000000BB"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Low-risk</w:t>
            </w:r>
          </w:p>
        </w:tc>
      </w:tr>
      <w:tr w:rsidR="00AC2A5E" w14:paraId="40D6FD3F" w14:textId="77777777">
        <w:trPr>
          <w:trHeight w:val="120"/>
        </w:trPr>
        <w:tc>
          <w:tcPr>
            <w:tcW w:w="10027" w:type="dxa"/>
            <w:gridSpan w:val="5"/>
            <w:shd w:val="clear" w:color="auto" w:fill="B8CCE4"/>
            <w:vAlign w:val="center"/>
          </w:tcPr>
          <w:p w14:paraId="000000BC" w14:textId="77777777" w:rsidR="00AC2A5E" w:rsidRDefault="009549BA">
            <w:pPr>
              <w:pBdr>
                <w:top w:val="nil"/>
                <w:left w:val="nil"/>
                <w:bottom w:val="nil"/>
                <w:right w:val="nil"/>
                <w:between w:val="nil"/>
              </w:pBdr>
              <w:spacing w:before="120" w:after="120"/>
              <w:rPr>
                <w:rFonts w:ascii="Calibri" w:eastAsia="Calibri" w:hAnsi="Calibri" w:cs="Calibri"/>
                <w:b/>
                <w:color w:val="000000"/>
                <w:sz w:val="20"/>
                <w:szCs w:val="20"/>
              </w:rPr>
            </w:pPr>
            <w:r>
              <w:rPr>
                <w:color w:val="000000"/>
              </w:rPr>
              <w:t xml:space="preserve">     </w:t>
            </w:r>
            <w:sdt>
              <w:sdtPr>
                <w:tag w:val="goog_rdk_0"/>
                <w:id w:val="-26111003"/>
              </w:sdtPr>
              <w:sdtContent/>
            </w:sdt>
            <w:sdt>
              <w:sdtPr>
                <w:tag w:val="goog_rdk_1"/>
                <w:id w:val="88284513"/>
              </w:sdtPr>
              <w:sdtContent/>
            </w:sdt>
            <w:sdt>
              <w:sdtPr>
                <w:tag w:val="goog_rdk_2"/>
                <w:id w:val="1430008273"/>
              </w:sdtPr>
              <w:sdtContent/>
            </w:sdt>
            <w:r>
              <w:rPr>
                <w:rFonts w:ascii="Calibri" w:eastAsia="Calibri" w:hAnsi="Calibri" w:cs="Calibri"/>
                <w:b/>
                <w:color w:val="000000"/>
                <w:sz w:val="20"/>
                <w:szCs w:val="20"/>
              </w:rPr>
              <w:t>Local communities</w:t>
            </w:r>
            <w:r>
              <w:rPr>
                <w:rFonts w:ascii="Calibri" w:eastAsia="Calibri" w:hAnsi="Calibri" w:cs="Calibri"/>
                <w:color w:val="000000"/>
                <w:sz w:val="20"/>
                <w:szCs w:val="20"/>
              </w:rPr>
              <w:t xml:space="preserve"> (</w:t>
            </w:r>
            <w:r>
              <w:rPr>
                <w:rFonts w:ascii="Calibri" w:eastAsia="Calibri" w:hAnsi="Calibri" w:cs="Calibri"/>
                <w:i/>
                <w:color w:val="000000"/>
                <w:sz w:val="20"/>
                <w:szCs w:val="20"/>
              </w:rPr>
              <w:t>Add rows as necessary)</w:t>
            </w:r>
          </w:p>
        </w:tc>
      </w:tr>
      <w:tr w:rsidR="00AC2A5E" w14:paraId="12BE26FE" w14:textId="77777777">
        <w:trPr>
          <w:trHeight w:val="288"/>
        </w:trPr>
        <w:tc>
          <w:tcPr>
            <w:tcW w:w="2196" w:type="dxa"/>
            <w:vAlign w:val="center"/>
          </w:tcPr>
          <w:p w14:paraId="000000C1"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b/>
                <w:color w:val="000000"/>
                <w:sz w:val="20"/>
                <w:szCs w:val="20"/>
              </w:rPr>
              <w:t>Afro-descendant communities (‘</w:t>
            </w:r>
            <w:proofErr w:type="spellStart"/>
            <w:r>
              <w:rPr>
                <w:rFonts w:ascii="Calibri" w:eastAsia="Calibri" w:hAnsi="Calibri" w:cs="Calibri"/>
                <w:b/>
                <w:color w:val="000000"/>
                <w:sz w:val="20"/>
                <w:szCs w:val="20"/>
              </w:rPr>
              <w:t>quilombolas</w:t>
            </w:r>
            <w:proofErr w:type="spellEnd"/>
            <w:r>
              <w:rPr>
                <w:rFonts w:ascii="Calibri" w:eastAsia="Calibri" w:hAnsi="Calibri" w:cs="Calibri"/>
                <w:b/>
                <w:color w:val="000000"/>
                <w:sz w:val="20"/>
                <w:szCs w:val="20"/>
              </w:rPr>
              <w:t>’)</w:t>
            </w:r>
          </w:p>
        </w:tc>
        <w:tc>
          <w:tcPr>
            <w:tcW w:w="1880" w:type="dxa"/>
            <w:vAlign w:val="center"/>
          </w:tcPr>
          <w:p w14:paraId="000000C2" w14:textId="77777777" w:rsidR="00AC2A5E" w:rsidRDefault="009549BA">
            <w:pPr>
              <w:pBdr>
                <w:top w:val="nil"/>
                <w:left w:val="nil"/>
                <w:bottom w:val="nil"/>
                <w:right w:val="nil"/>
                <w:between w:val="nil"/>
              </w:pBdr>
              <w:spacing w:before="120" w:after="120"/>
              <w:rPr>
                <w:rFonts w:ascii="Calibri" w:eastAsia="Calibri" w:hAnsi="Calibri" w:cs="Calibri"/>
                <w:sz w:val="20"/>
                <w:szCs w:val="20"/>
              </w:rPr>
            </w:pPr>
            <w:proofErr w:type="spellStart"/>
            <w:r>
              <w:rPr>
                <w:rFonts w:ascii="Calibri" w:eastAsia="Calibri" w:hAnsi="Calibri" w:cs="Calibri"/>
                <w:color w:val="000000"/>
                <w:sz w:val="20"/>
                <w:szCs w:val="20"/>
              </w:rPr>
              <w:t>Quilombolas</w:t>
            </w:r>
            <w:proofErr w:type="spellEnd"/>
            <w:r>
              <w:rPr>
                <w:rFonts w:ascii="Calibri" w:eastAsia="Calibri" w:hAnsi="Calibri" w:cs="Calibri"/>
                <w:color w:val="000000"/>
                <w:sz w:val="20"/>
                <w:szCs w:val="20"/>
              </w:rPr>
              <w:t xml:space="preserve"> have an interest in supporting native vegetation recovery because they are disproportionately affected by land degradation and the exploitation of natural resources. By supporting the </w:t>
            </w:r>
            <w:r>
              <w:rPr>
                <w:rFonts w:ascii="Calibri" w:eastAsia="Calibri" w:hAnsi="Calibri" w:cs="Calibri"/>
                <w:color w:val="000000"/>
                <w:sz w:val="20"/>
                <w:szCs w:val="20"/>
              </w:rPr>
              <w:lastRenderedPageBreak/>
              <w:t>project’s objective of strengthening policies, restoration networks, and financial mechanisms for native vegetation recovery, they can protect and restore the ecosystems they depend on for their livelihoods.</w:t>
            </w:r>
          </w:p>
        </w:tc>
        <w:tc>
          <w:tcPr>
            <w:tcW w:w="2219" w:type="dxa"/>
            <w:vAlign w:val="center"/>
          </w:tcPr>
          <w:p w14:paraId="000000C3" w14:textId="77777777" w:rsidR="00AC2A5E" w:rsidRDefault="009549BA">
            <w:pPr>
              <w:spacing w:before="120" w:after="120"/>
              <w:rPr>
                <w:rFonts w:ascii="Calibri" w:eastAsia="Calibri" w:hAnsi="Calibri" w:cs="Calibri"/>
                <w:color w:val="000000"/>
                <w:sz w:val="20"/>
                <w:szCs w:val="20"/>
              </w:rPr>
            </w:pPr>
            <w:proofErr w:type="spellStart"/>
            <w:r>
              <w:rPr>
                <w:rFonts w:ascii="Calibri" w:eastAsia="Calibri" w:hAnsi="Calibri" w:cs="Calibri"/>
                <w:color w:val="000000"/>
                <w:sz w:val="20"/>
                <w:szCs w:val="20"/>
              </w:rPr>
              <w:lastRenderedPageBreak/>
              <w:t>Quilombolas</w:t>
            </w:r>
            <w:proofErr w:type="spellEnd"/>
            <w:r>
              <w:rPr>
                <w:rFonts w:ascii="Calibri" w:eastAsia="Calibri" w:hAnsi="Calibri" w:cs="Calibri"/>
                <w:color w:val="000000"/>
                <w:sz w:val="20"/>
                <w:szCs w:val="20"/>
              </w:rPr>
              <w:t xml:space="preserve"> can be positively affected by the native vegetation recovery that the project will support as well as finance and technical assistance for indigenous businesses in restoration supply chains (e.g. seedling </w:t>
            </w:r>
            <w:r>
              <w:rPr>
                <w:rFonts w:ascii="Calibri" w:eastAsia="Calibri" w:hAnsi="Calibri" w:cs="Calibri"/>
                <w:color w:val="000000"/>
                <w:sz w:val="20"/>
                <w:szCs w:val="20"/>
              </w:rPr>
              <w:lastRenderedPageBreak/>
              <w:t>suppliers).</w:t>
            </w:r>
          </w:p>
          <w:p w14:paraId="000000C4" w14:textId="77777777" w:rsidR="00AC2A5E" w:rsidRDefault="009549BA">
            <w:pPr>
              <w:pBdr>
                <w:top w:val="nil"/>
                <w:left w:val="nil"/>
                <w:bottom w:val="nil"/>
                <w:right w:val="nil"/>
                <w:between w:val="nil"/>
              </w:pBdr>
              <w:spacing w:before="120" w:after="120"/>
              <w:rPr>
                <w:rFonts w:ascii="Calibri" w:eastAsia="Calibri" w:hAnsi="Calibri" w:cs="Calibri"/>
                <w:sz w:val="20"/>
                <w:szCs w:val="20"/>
              </w:rPr>
            </w:pPr>
            <w:proofErr w:type="spellStart"/>
            <w:r>
              <w:rPr>
                <w:rFonts w:ascii="Calibri" w:eastAsia="Calibri" w:hAnsi="Calibri" w:cs="Calibri"/>
                <w:color w:val="000000"/>
                <w:sz w:val="20"/>
                <w:szCs w:val="20"/>
              </w:rPr>
              <w:t>Quilombolas</w:t>
            </w:r>
            <w:proofErr w:type="spellEnd"/>
            <w:r>
              <w:rPr>
                <w:rFonts w:ascii="Calibri" w:eastAsia="Calibri" w:hAnsi="Calibri" w:cs="Calibri"/>
                <w:color w:val="000000"/>
                <w:sz w:val="20"/>
                <w:szCs w:val="20"/>
              </w:rPr>
              <w:t xml:space="preserve"> could be negatively affected by native vegetation recovery if this restricts their access to natural resources used for livelihoods. However, it is unlikely that native vegetation recovery will happen on </w:t>
            </w:r>
            <w:proofErr w:type="spellStart"/>
            <w:r>
              <w:rPr>
                <w:rFonts w:ascii="Calibri" w:eastAsia="Calibri" w:hAnsi="Calibri" w:cs="Calibri"/>
                <w:color w:val="000000"/>
                <w:sz w:val="20"/>
                <w:szCs w:val="20"/>
              </w:rPr>
              <w:t>quilombola’s</w:t>
            </w:r>
            <w:proofErr w:type="spellEnd"/>
            <w:r>
              <w:rPr>
                <w:rFonts w:ascii="Calibri" w:eastAsia="Calibri" w:hAnsi="Calibri" w:cs="Calibri"/>
                <w:color w:val="000000"/>
                <w:sz w:val="20"/>
                <w:szCs w:val="20"/>
              </w:rPr>
              <w:t xml:space="preserve"> land. No access restrictions will be implemented other than those already required by law.</w:t>
            </w:r>
          </w:p>
        </w:tc>
        <w:tc>
          <w:tcPr>
            <w:tcW w:w="2019" w:type="dxa"/>
            <w:vAlign w:val="center"/>
          </w:tcPr>
          <w:p w14:paraId="000000C5" w14:textId="77777777" w:rsidR="00AC2A5E" w:rsidRDefault="009549BA">
            <w:pPr>
              <w:pBdr>
                <w:top w:val="nil"/>
                <w:left w:val="nil"/>
                <w:bottom w:val="nil"/>
                <w:right w:val="nil"/>
                <w:between w:val="nil"/>
              </w:pBdr>
              <w:spacing w:before="120" w:after="120"/>
              <w:rPr>
                <w:rFonts w:ascii="Calibri" w:eastAsia="Calibri" w:hAnsi="Calibri" w:cs="Calibri"/>
                <w:sz w:val="20"/>
                <w:szCs w:val="20"/>
              </w:rPr>
            </w:pPr>
            <w:proofErr w:type="spellStart"/>
            <w:r>
              <w:rPr>
                <w:rFonts w:ascii="Calibri" w:eastAsia="Calibri" w:hAnsi="Calibri" w:cs="Calibri"/>
                <w:color w:val="000000"/>
                <w:sz w:val="20"/>
                <w:szCs w:val="20"/>
              </w:rPr>
              <w:lastRenderedPageBreak/>
              <w:t>Quilombolas</w:t>
            </w:r>
            <w:proofErr w:type="spellEnd"/>
            <w:r>
              <w:rPr>
                <w:rFonts w:ascii="Calibri" w:eastAsia="Calibri" w:hAnsi="Calibri" w:cs="Calibri"/>
                <w:color w:val="000000"/>
                <w:sz w:val="20"/>
                <w:szCs w:val="20"/>
              </w:rPr>
              <w:t xml:space="preserve"> can support the project in reaching its goals for hectares under recovery and project beneficiaries by participating in the project’s demonstration projects, technical assistance initiatives, </w:t>
            </w:r>
            <w:r>
              <w:rPr>
                <w:rFonts w:ascii="Calibri" w:eastAsia="Calibri" w:hAnsi="Calibri" w:cs="Calibri"/>
                <w:color w:val="000000"/>
                <w:sz w:val="20"/>
                <w:szCs w:val="20"/>
              </w:rPr>
              <w:lastRenderedPageBreak/>
              <w:t>restoration supply chains, and policy implementation.</w:t>
            </w:r>
          </w:p>
        </w:tc>
        <w:tc>
          <w:tcPr>
            <w:tcW w:w="1713" w:type="dxa"/>
          </w:tcPr>
          <w:p w14:paraId="000000C6" w14:textId="77777777" w:rsidR="00AC2A5E" w:rsidRDefault="009549BA">
            <w:pP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Medium</w:t>
            </w:r>
          </w:p>
          <w:p w14:paraId="000000C7" w14:textId="77777777" w:rsidR="00AC2A5E" w:rsidRDefault="00AC2A5E">
            <w:pPr>
              <w:spacing w:before="120" w:after="120"/>
              <w:rPr>
                <w:rFonts w:ascii="Calibri" w:eastAsia="Calibri" w:hAnsi="Calibri" w:cs="Calibri"/>
                <w:color w:val="000000"/>
                <w:sz w:val="20"/>
                <w:szCs w:val="20"/>
              </w:rPr>
            </w:pPr>
          </w:p>
          <w:p w14:paraId="000000C8" w14:textId="77777777" w:rsidR="00AC2A5E" w:rsidRDefault="009549BA">
            <w:pPr>
              <w:pBdr>
                <w:top w:val="nil"/>
                <w:left w:val="nil"/>
                <w:bottom w:val="nil"/>
                <w:right w:val="nil"/>
                <w:between w:val="nil"/>
              </w:pBdr>
              <w:spacing w:before="120" w:after="120"/>
              <w:rPr>
                <w:rFonts w:ascii="Calibri" w:eastAsia="Calibri" w:hAnsi="Calibri" w:cs="Calibri"/>
                <w:sz w:val="20"/>
                <w:szCs w:val="20"/>
              </w:rPr>
            </w:pPr>
            <w:proofErr w:type="spellStart"/>
            <w:r>
              <w:rPr>
                <w:rFonts w:ascii="Calibri" w:eastAsia="Calibri" w:hAnsi="Calibri" w:cs="Calibri"/>
                <w:color w:val="000000"/>
                <w:sz w:val="20"/>
                <w:szCs w:val="20"/>
              </w:rPr>
              <w:t>Quilombolas</w:t>
            </w:r>
            <w:proofErr w:type="spellEnd"/>
            <w:r>
              <w:rPr>
                <w:rFonts w:ascii="Calibri" w:eastAsia="Calibri" w:hAnsi="Calibri" w:cs="Calibri"/>
                <w:color w:val="000000"/>
                <w:sz w:val="20"/>
                <w:szCs w:val="20"/>
              </w:rPr>
              <w:t xml:space="preserve"> are a medium-risk for the project because of their vulnerability and potential difficulty in participating in </w:t>
            </w:r>
            <w:r>
              <w:rPr>
                <w:rFonts w:ascii="Calibri" w:eastAsia="Calibri" w:hAnsi="Calibri" w:cs="Calibri"/>
                <w:color w:val="000000"/>
                <w:sz w:val="20"/>
                <w:szCs w:val="20"/>
              </w:rPr>
              <w:lastRenderedPageBreak/>
              <w:t xml:space="preserve">project activities. </w:t>
            </w:r>
            <w:proofErr w:type="spellStart"/>
            <w:r>
              <w:rPr>
                <w:rFonts w:ascii="Calibri" w:eastAsia="Calibri" w:hAnsi="Calibri" w:cs="Calibri"/>
                <w:color w:val="000000"/>
                <w:sz w:val="20"/>
                <w:szCs w:val="20"/>
              </w:rPr>
              <w:t>Quilombolas</w:t>
            </w:r>
            <w:proofErr w:type="spellEnd"/>
            <w:r>
              <w:rPr>
                <w:rFonts w:ascii="Calibri" w:eastAsia="Calibri" w:hAnsi="Calibri" w:cs="Calibri"/>
                <w:color w:val="000000"/>
                <w:sz w:val="20"/>
                <w:szCs w:val="20"/>
              </w:rPr>
              <w:t xml:space="preserve"> will be managed in accordance with the project’s Indigenous Peoples Plan.</w:t>
            </w:r>
          </w:p>
        </w:tc>
      </w:tr>
      <w:tr w:rsidR="00AC2A5E" w14:paraId="23EA8E3B" w14:textId="77777777">
        <w:trPr>
          <w:trHeight w:val="288"/>
        </w:trPr>
        <w:tc>
          <w:tcPr>
            <w:tcW w:w="2196" w:type="dxa"/>
            <w:vAlign w:val="center"/>
          </w:tcPr>
          <w:p w14:paraId="000000C9" w14:textId="7FA31F60" w:rsidR="00AC2A5E" w:rsidRDefault="00627964">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Local</w:t>
            </w:r>
            <w:r w:rsidR="009549BA">
              <w:rPr>
                <w:rFonts w:ascii="Calibri" w:eastAsia="Calibri" w:hAnsi="Calibri" w:cs="Calibri"/>
                <w:color w:val="000000"/>
                <w:sz w:val="20"/>
                <w:szCs w:val="20"/>
              </w:rPr>
              <w:t xml:space="preserve"> communities (</w:t>
            </w:r>
            <w:r>
              <w:rPr>
                <w:rFonts w:ascii="Calibri" w:eastAsia="Calibri" w:hAnsi="Calibri" w:cs="Calibri"/>
                <w:color w:val="000000"/>
                <w:sz w:val="20"/>
                <w:szCs w:val="20"/>
              </w:rPr>
              <w:t>L</w:t>
            </w:r>
            <w:r w:rsidR="009549BA">
              <w:rPr>
                <w:rFonts w:ascii="Calibri" w:eastAsia="Calibri" w:hAnsi="Calibri" w:cs="Calibri"/>
                <w:color w:val="000000"/>
                <w:sz w:val="20"/>
                <w:szCs w:val="20"/>
              </w:rPr>
              <w:t>Cs)</w:t>
            </w:r>
          </w:p>
        </w:tc>
        <w:tc>
          <w:tcPr>
            <w:tcW w:w="1880" w:type="dxa"/>
            <w:vAlign w:val="center"/>
          </w:tcPr>
          <w:p w14:paraId="000000CA" w14:textId="618A73EC" w:rsidR="00AC2A5E" w:rsidRDefault="00627964">
            <w:pPr>
              <w:spacing w:before="120" w:after="120"/>
              <w:rPr>
                <w:rFonts w:ascii="Calibri" w:eastAsia="Calibri" w:hAnsi="Calibri" w:cs="Calibri"/>
                <w:color w:val="000000"/>
                <w:sz w:val="20"/>
                <w:szCs w:val="20"/>
              </w:rPr>
            </w:pPr>
            <w:r>
              <w:rPr>
                <w:rFonts w:ascii="Calibri" w:eastAsia="Calibri" w:hAnsi="Calibri" w:cs="Calibri"/>
                <w:color w:val="000000"/>
                <w:sz w:val="20"/>
                <w:szCs w:val="20"/>
              </w:rPr>
              <w:t>Local</w:t>
            </w:r>
            <w:r w:rsidR="009549BA">
              <w:rPr>
                <w:rFonts w:ascii="Calibri" w:eastAsia="Calibri" w:hAnsi="Calibri" w:cs="Calibri"/>
                <w:color w:val="000000"/>
                <w:sz w:val="20"/>
                <w:szCs w:val="20"/>
              </w:rPr>
              <w:t xml:space="preserve"> communities have an interest in supporting native vegetation recovery because they are disproportionately affected by land degradation and the exploitation of natural resources. By supporting the project’s objective of strengthening policies, restoration networks, and financial mechanisms for native vegetation recovery, </w:t>
            </w:r>
            <w:r w:rsidR="00F83E5A">
              <w:rPr>
                <w:rFonts w:ascii="Calibri" w:eastAsia="Calibri" w:hAnsi="Calibri" w:cs="Calibri"/>
                <w:color w:val="000000"/>
                <w:sz w:val="20"/>
                <w:szCs w:val="20"/>
              </w:rPr>
              <w:t>L</w:t>
            </w:r>
            <w:r w:rsidR="009549BA">
              <w:rPr>
                <w:rFonts w:ascii="Calibri" w:eastAsia="Calibri" w:hAnsi="Calibri" w:cs="Calibri"/>
                <w:color w:val="000000"/>
                <w:sz w:val="20"/>
                <w:szCs w:val="20"/>
              </w:rPr>
              <w:t>Cs can protect and restore the ecosystems they depend on for their livelihoods.</w:t>
            </w:r>
          </w:p>
        </w:tc>
        <w:tc>
          <w:tcPr>
            <w:tcW w:w="2219" w:type="dxa"/>
            <w:vAlign w:val="center"/>
          </w:tcPr>
          <w:p w14:paraId="000000CB" w14:textId="496C0D4B" w:rsidR="00AC2A5E" w:rsidRDefault="00627964">
            <w:pPr>
              <w:spacing w:before="120" w:after="120"/>
              <w:rPr>
                <w:rFonts w:ascii="Calibri" w:eastAsia="Calibri" w:hAnsi="Calibri" w:cs="Calibri"/>
                <w:color w:val="000000"/>
                <w:sz w:val="20"/>
                <w:szCs w:val="20"/>
              </w:rPr>
            </w:pPr>
            <w:r>
              <w:rPr>
                <w:rFonts w:ascii="Calibri" w:eastAsia="Calibri" w:hAnsi="Calibri" w:cs="Calibri"/>
                <w:color w:val="000000"/>
                <w:sz w:val="20"/>
                <w:szCs w:val="20"/>
              </w:rPr>
              <w:t>L</w:t>
            </w:r>
            <w:r w:rsidR="009549BA">
              <w:rPr>
                <w:rFonts w:ascii="Calibri" w:eastAsia="Calibri" w:hAnsi="Calibri" w:cs="Calibri"/>
                <w:color w:val="000000"/>
                <w:sz w:val="20"/>
                <w:szCs w:val="20"/>
              </w:rPr>
              <w:t>Cs can be positively affected by the native vegetation recovery that the project will support as well as finance and technical assistance for indigenous businesses in restoration supply chains (e.g. seedling suppliers).</w:t>
            </w:r>
          </w:p>
          <w:p w14:paraId="000000CC" w14:textId="0FB3C910" w:rsidR="00AC2A5E" w:rsidRDefault="00627964">
            <w:pPr>
              <w:spacing w:before="120" w:after="120"/>
              <w:rPr>
                <w:rFonts w:ascii="Calibri" w:eastAsia="Calibri" w:hAnsi="Calibri" w:cs="Calibri"/>
                <w:color w:val="000000"/>
                <w:sz w:val="20"/>
                <w:szCs w:val="20"/>
              </w:rPr>
            </w:pPr>
            <w:r>
              <w:rPr>
                <w:rFonts w:ascii="Calibri" w:eastAsia="Calibri" w:hAnsi="Calibri" w:cs="Calibri"/>
                <w:color w:val="000000"/>
                <w:sz w:val="20"/>
                <w:szCs w:val="20"/>
              </w:rPr>
              <w:t>L</w:t>
            </w:r>
            <w:r w:rsidR="009549BA">
              <w:rPr>
                <w:rFonts w:ascii="Calibri" w:eastAsia="Calibri" w:hAnsi="Calibri" w:cs="Calibri"/>
                <w:color w:val="000000"/>
                <w:sz w:val="20"/>
                <w:szCs w:val="20"/>
              </w:rPr>
              <w:t xml:space="preserve">Cs could be negatively affected by native vegetation recovery if this restricts their access to natural resources used for livelihoods. However, it is unlikely that native vegetation recovery will happen on </w:t>
            </w:r>
            <w:r w:rsidR="006F7F7C">
              <w:rPr>
                <w:rFonts w:ascii="Calibri" w:eastAsia="Calibri" w:hAnsi="Calibri" w:cs="Calibri"/>
                <w:color w:val="000000"/>
                <w:sz w:val="20"/>
                <w:szCs w:val="20"/>
              </w:rPr>
              <w:t>local</w:t>
            </w:r>
            <w:r w:rsidR="009549BA">
              <w:rPr>
                <w:rFonts w:ascii="Calibri" w:eastAsia="Calibri" w:hAnsi="Calibri" w:cs="Calibri"/>
                <w:color w:val="000000"/>
                <w:sz w:val="20"/>
                <w:szCs w:val="20"/>
              </w:rPr>
              <w:t xml:space="preserve"> communities’ land. No access restrictions will be implemented other than those already required by law.</w:t>
            </w:r>
          </w:p>
        </w:tc>
        <w:tc>
          <w:tcPr>
            <w:tcW w:w="2019" w:type="dxa"/>
            <w:vAlign w:val="center"/>
          </w:tcPr>
          <w:p w14:paraId="000000CD" w14:textId="3305F7FF" w:rsidR="00AC2A5E" w:rsidRDefault="006F7F7C">
            <w:pPr>
              <w:spacing w:before="120" w:after="120"/>
              <w:rPr>
                <w:rFonts w:ascii="Calibri" w:eastAsia="Calibri" w:hAnsi="Calibri" w:cs="Calibri"/>
                <w:color w:val="000000"/>
                <w:sz w:val="20"/>
                <w:szCs w:val="20"/>
              </w:rPr>
            </w:pPr>
            <w:r>
              <w:rPr>
                <w:rFonts w:ascii="Calibri" w:eastAsia="Calibri" w:hAnsi="Calibri" w:cs="Calibri"/>
                <w:color w:val="000000"/>
                <w:sz w:val="20"/>
                <w:szCs w:val="20"/>
              </w:rPr>
              <w:t>L</w:t>
            </w:r>
            <w:r w:rsidR="009549BA">
              <w:rPr>
                <w:rFonts w:ascii="Calibri" w:eastAsia="Calibri" w:hAnsi="Calibri" w:cs="Calibri"/>
                <w:color w:val="000000"/>
                <w:sz w:val="20"/>
                <w:szCs w:val="20"/>
              </w:rPr>
              <w:t>Cs can support the project in reaching its goals for hectares under recovery and project beneficiaries by participating in the project’s demonstration projects, technical assistance initiatives, restoration supply chains, and policy implementation.</w:t>
            </w:r>
          </w:p>
        </w:tc>
        <w:tc>
          <w:tcPr>
            <w:tcW w:w="1713" w:type="dxa"/>
          </w:tcPr>
          <w:p w14:paraId="000000CE" w14:textId="77777777" w:rsidR="00AC2A5E" w:rsidRDefault="009549BA">
            <w:pPr>
              <w:spacing w:before="120" w:after="120"/>
              <w:rPr>
                <w:rFonts w:ascii="Calibri" w:eastAsia="Calibri" w:hAnsi="Calibri" w:cs="Calibri"/>
                <w:color w:val="000000"/>
                <w:sz w:val="20"/>
                <w:szCs w:val="20"/>
              </w:rPr>
            </w:pPr>
            <w:r>
              <w:rPr>
                <w:rFonts w:ascii="Calibri" w:eastAsia="Calibri" w:hAnsi="Calibri" w:cs="Calibri"/>
                <w:color w:val="000000"/>
                <w:sz w:val="20"/>
                <w:szCs w:val="20"/>
              </w:rPr>
              <w:t>Medium</w:t>
            </w:r>
          </w:p>
          <w:p w14:paraId="000000CF" w14:textId="77777777" w:rsidR="00AC2A5E" w:rsidRDefault="00AC2A5E">
            <w:pPr>
              <w:spacing w:before="120" w:after="120"/>
              <w:rPr>
                <w:rFonts w:ascii="Calibri" w:eastAsia="Calibri" w:hAnsi="Calibri" w:cs="Calibri"/>
                <w:color w:val="000000"/>
                <w:sz w:val="20"/>
                <w:szCs w:val="20"/>
              </w:rPr>
            </w:pPr>
          </w:p>
          <w:p w14:paraId="000000D0" w14:textId="6236938B" w:rsidR="00AC2A5E" w:rsidRDefault="006F7F7C">
            <w:pPr>
              <w:spacing w:before="120" w:after="120"/>
              <w:rPr>
                <w:rFonts w:ascii="Calibri" w:eastAsia="Calibri" w:hAnsi="Calibri" w:cs="Calibri"/>
                <w:color w:val="000000"/>
                <w:sz w:val="20"/>
                <w:szCs w:val="20"/>
              </w:rPr>
            </w:pPr>
            <w:r>
              <w:rPr>
                <w:rFonts w:ascii="Calibri" w:eastAsia="Calibri" w:hAnsi="Calibri" w:cs="Calibri"/>
                <w:color w:val="000000"/>
                <w:sz w:val="20"/>
                <w:szCs w:val="20"/>
              </w:rPr>
              <w:t>L</w:t>
            </w:r>
            <w:r w:rsidR="009549BA">
              <w:rPr>
                <w:rFonts w:ascii="Calibri" w:eastAsia="Calibri" w:hAnsi="Calibri" w:cs="Calibri"/>
                <w:color w:val="000000"/>
                <w:sz w:val="20"/>
                <w:szCs w:val="20"/>
              </w:rPr>
              <w:t xml:space="preserve">Cs are a medium-risk for the project because of their vulnerability and potential difficulty in participating in project activities. </w:t>
            </w:r>
            <w:r>
              <w:rPr>
                <w:rFonts w:ascii="Calibri" w:eastAsia="Calibri" w:hAnsi="Calibri" w:cs="Calibri"/>
                <w:color w:val="000000"/>
                <w:sz w:val="20"/>
                <w:szCs w:val="20"/>
              </w:rPr>
              <w:t>L</w:t>
            </w:r>
            <w:r w:rsidR="009549BA">
              <w:rPr>
                <w:rFonts w:ascii="Calibri" w:eastAsia="Calibri" w:hAnsi="Calibri" w:cs="Calibri"/>
                <w:color w:val="000000"/>
                <w:sz w:val="20"/>
                <w:szCs w:val="20"/>
              </w:rPr>
              <w:t>Cs will be managed in accordance with the project’s Indigenous Peoples Plan.</w:t>
            </w:r>
          </w:p>
        </w:tc>
      </w:tr>
      <w:tr w:rsidR="00AC2A5E" w14:paraId="785F2A7F" w14:textId="77777777">
        <w:trPr>
          <w:trHeight w:val="372"/>
        </w:trPr>
        <w:tc>
          <w:tcPr>
            <w:tcW w:w="10027" w:type="dxa"/>
            <w:gridSpan w:val="5"/>
            <w:shd w:val="clear" w:color="auto" w:fill="B8CCE4"/>
            <w:vAlign w:val="center"/>
          </w:tcPr>
          <w:p w14:paraId="000000D1"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b/>
                <w:color w:val="000000"/>
                <w:sz w:val="20"/>
                <w:szCs w:val="20"/>
              </w:rPr>
              <w:t>Indigenous Peoples</w:t>
            </w:r>
            <w:r>
              <w:rPr>
                <w:rFonts w:ascii="Calibri" w:eastAsia="Calibri" w:hAnsi="Calibri" w:cs="Calibri"/>
                <w:color w:val="000000"/>
                <w:sz w:val="20"/>
                <w:szCs w:val="20"/>
              </w:rPr>
              <w:t xml:space="preserve"> (</w:t>
            </w:r>
            <w:r>
              <w:rPr>
                <w:rFonts w:ascii="Calibri" w:eastAsia="Calibri" w:hAnsi="Calibri" w:cs="Calibri"/>
                <w:i/>
                <w:color w:val="000000"/>
                <w:sz w:val="20"/>
                <w:szCs w:val="20"/>
              </w:rPr>
              <w:t>Add rows as necessary)</w:t>
            </w:r>
          </w:p>
        </w:tc>
      </w:tr>
      <w:tr w:rsidR="00AC2A5E" w14:paraId="75EE4BC2" w14:textId="77777777">
        <w:trPr>
          <w:trHeight w:val="288"/>
        </w:trPr>
        <w:tc>
          <w:tcPr>
            <w:tcW w:w="2196" w:type="dxa"/>
            <w:vAlign w:val="center"/>
          </w:tcPr>
          <w:p w14:paraId="000000D6"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Indigenous peoples across all six biomes</w:t>
            </w:r>
          </w:p>
        </w:tc>
        <w:tc>
          <w:tcPr>
            <w:tcW w:w="1880" w:type="dxa"/>
            <w:vAlign w:val="center"/>
          </w:tcPr>
          <w:p w14:paraId="000000D7"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Indigenous people have an interest in supporting native vegetation recovery because they are disproportionately affected by land degradation and the exploitation of natural resources. </w:t>
            </w:r>
            <w:r>
              <w:rPr>
                <w:rFonts w:ascii="Calibri" w:eastAsia="Calibri" w:hAnsi="Calibri" w:cs="Calibri"/>
                <w:color w:val="000000"/>
                <w:sz w:val="20"/>
                <w:szCs w:val="20"/>
              </w:rPr>
              <w:lastRenderedPageBreak/>
              <w:t>By supporting the project’s objective of strengthening policies, restoration networks, and financial mechanisms for native vegetation recovery, they can protect and restore the ecosystems they depend on for their livelihoods.</w:t>
            </w:r>
          </w:p>
        </w:tc>
        <w:tc>
          <w:tcPr>
            <w:tcW w:w="2219" w:type="dxa"/>
            <w:vAlign w:val="center"/>
          </w:tcPr>
          <w:p w14:paraId="000000D8" w14:textId="77777777" w:rsidR="00AC2A5E" w:rsidRDefault="009549BA">
            <w:pP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Indigenous peoples can be positively affected by the native vegetation recovery that the project will support as well as finance and technical assistance for indigenous businesses in restoration supply chains (e.g. seedling </w:t>
            </w:r>
            <w:r>
              <w:rPr>
                <w:rFonts w:ascii="Calibri" w:eastAsia="Calibri" w:hAnsi="Calibri" w:cs="Calibri"/>
                <w:color w:val="000000"/>
                <w:sz w:val="20"/>
                <w:szCs w:val="20"/>
              </w:rPr>
              <w:lastRenderedPageBreak/>
              <w:t>suppliers).</w:t>
            </w:r>
          </w:p>
          <w:p w14:paraId="000000D9" w14:textId="77777777" w:rsidR="00AC2A5E" w:rsidRDefault="009549BA">
            <w:pPr>
              <w:pBdr>
                <w:top w:val="nil"/>
                <w:left w:val="nil"/>
                <w:bottom w:val="nil"/>
                <w:right w:val="nil"/>
                <w:between w:val="nil"/>
              </w:pBdr>
              <w:spacing w:before="120" w:after="120"/>
              <w:rPr>
                <w:rFonts w:ascii="Calibri" w:eastAsia="Calibri" w:hAnsi="Calibri" w:cs="Calibri"/>
                <w:sz w:val="20"/>
                <w:szCs w:val="20"/>
              </w:rPr>
            </w:pPr>
            <w:r>
              <w:rPr>
                <w:rFonts w:ascii="Calibri" w:eastAsia="Calibri" w:hAnsi="Calibri" w:cs="Calibri"/>
                <w:color w:val="000000"/>
                <w:sz w:val="20"/>
                <w:szCs w:val="20"/>
              </w:rPr>
              <w:t>Indigenous peoples could be negatively affected by native vegetation recovery if this restricts their access to natural resources used for livelihoods. However, it is unlikely that native vegetation recovery will happen on indigenous land. No access restrictions will be implemented other than those already required by law.</w:t>
            </w:r>
          </w:p>
        </w:tc>
        <w:tc>
          <w:tcPr>
            <w:tcW w:w="2019" w:type="dxa"/>
            <w:vAlign w:val="center"/>
          </w:tcPr>
          <w:p w14:paraId="000000DA"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Indigenous peoples can support the project in reaching its goals for hectares under recovery and project beneficiaries by participating in the project’s demonstration projects, technical </w:t>
            </w:r>
            <w:r>
              <w:rPr>
                <w:rFonts w:ascii="Calibri" w:eastAsia="Calibri" w:hAnsi="Calibri" w:cs="Calibri"/>
                <w:color w:val="000000"/>
                <w:sz w:val="20"/>
                <w:szCs w:val="20"/>
              </w:rPr>
              <w:lastRenderedPageBreak/>
              <w:t>assistance initiatives, restoration supply chains, and policy implementation.</w:t>
            </w:r>
          </w:p>
        </w:tc>
        <w:tc>
          <w:tcPr>
            <w:tcW w:w="1713" w:type="dxa"/>
          </w:tcPr>
          <w:p w14:paraId="000000DB"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Medium</w:t>
            </w:r>
          </w:p>
          <w:p w14:paraId="000000DC" w14:textId="77777777" w:rsidR="00AC2A5E" w:rsidRDefault="00AC2A5E">
            <w:pPr>
              <w:pBdr>
                <w:top w:val="nil"/>
                <w:left w:val="nil"/>
                <w:bottom w:val="nil"/>
                <w:right w:val="nil"/>
                <w:between w:val="nil"/>
              </w:pBdr>
              <w:spacing w:before="120" w:after="120"/>
              <w:rPr>
                <w:rFonts w:ascii="Calibri" w:eastAsia="Calibri" w:hAnsi="Calibri" w:cs="Calibri"/>
                <w:color w:val="000000"/>
                <w:sz w:val="20"/>
                <w:szCs w:val="20"/>
              </w:rPr>
            </w:pPr>
          </w:p>
          <w:p w14:paraId="000000DD" w14:textId="77777777" w:rsidR="00AC2A5E" w:rsidRDefault="009549BA">
            <w:pPr>
              <w:pBdr>
                <w:top w:val="nil"/>
                <w:left w:val="nil"/>
                <w:bottom w:val="nil"/>
                <w:right w:val="nil"/>
                <w:between w:val="nil"/>
              </w:pBdr>
              <w:spacing w:before="120" w:after="120"/>
              <w:rPr>
                <w:rFonts w:ascii="Calibri" w:eastAsia="Calibri" w:hAnsi="Calibri" w:cs="Calibri"/>
                <w:sz w:val="20"/>
                <w:szCs w:val="20"/>
              </w:rPr>
            </w:pPr>
            <w:r>
              <w:rPr>
                <w:rFonts w:ascii="Calibri" w:eastAsia="Calibri" w:hAnsi="Calibri" w:cs="Calibri"/>
                <w:color w:val="000000"/>
                <w:sz w:val="20"/>
                <w:szCs w:val="20"/>
              </w:rPr>
              <w:t xml:space="preserve">IPs are a medium-risk for the project because of their vulnerability and potential difficulty in </w:t>
            </w:r>
            <w:r>
              <w:rPr>
                <w:rFonts w:ascii="Calibri" w:eastAsia="Calibri" w:hAnsi="Calibri" w:cs="Calibri"/>
                <w:color w:val="000000"/>
                <w:sz w:val="20"/>
                <w:szCs w:val="20"/>
              </w:rPr>
              <w:lastRenderedPageBreak/>
              <w:t>participating in project activities. IPs will be managed in accordance with the project’s Indigenous Peoples Plan.</w:t>
            </w:r>
          </w:p>
        </w:tc>
      </w:tr>
      <w:tr w:rsidR="00AC2A5E" w14:paraId="51DD5AD2" w14:textId="77777777">
        <w:trPr>
          <w:trHeight w:val="237"/>
        </w:trPr>
        <w:tc>
          <w:tcPr>
            <w:tcW w:w="8314" w:type="dxa"/>
            <w:gridSpan w:val="4"/>
            <w:shd w:val="clear" w:color="auto" w:fill="B8CCE4"/>
          </w:tcPr>
          <w:p w14:paraId="000000DE"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b/>
                <w:color w:val="000000"/>
                <w:sz w:val="20"/>
                <w:szCs w:val="20"/>
              </w:rPr>
              <w:lastRenderedPageBreak/>
              <w:t>Private Sector</w:t>
            </w:r>
            <w:r>
              <w:rPr>
                <w:rFonts w:ascii="Calibri" w:eastAsia="Calibri" w:hAnsi="Calibri" w:cs="Calibri"/>
                <w:color w:val="000000"/>
                <w:sz w:val="20"/>
                <w:szCs w:val="20"/>
              </w:rPr>
              <w:t xml:space="preserve"> (</w:t>
            </w:r>
            <w:r>
              <w:rPr>
                <w:rFonts w:ascii="Calibri" w:eastAsia="Calibri" w:hAnsi="Calibri" w:cs="Calibri"/>
                <w:i/>
                <w:color w:val="000000"/>
                <w:sz w:val="20"/>
                <w:szCs w:val="20"/>
              </w:rPr>
              <w:t>Add rows as necessary)</w:t>
            </w:r>
          </w:p>
        </w:tc>
        <w:tc>
          <w:tcPr>
            <w:tcW w:w="1713" w:type="dxa"/>
            <w:shd w:val="clear" w:color="auto" w:fill="B8CCE4"/>
          </w:tcPr>
          <w:p w14:paraId="000000E2" w14:textId="77777777" w:rsidR="00AC2A5E" w:rsidRDefault="00AC2A5E">
            <w:pPr>
              <w:pBdr>
                <w:top w:val="nil"/>
                <w:left w:val="nil"/>
                <w:bottom w:val="nil"/>
                <w:right w:val="nil"/>
                <w:between w:val="nil"/>
              </w:pBdr>
              <w:spacing w:before="120" w:after="120"/>
              <w:rPr>
                <w:rFonts w:ascii="Calibri" w:eastAsia="Calibri" w:hAnsi="Calibri" w:cs="Calibri"/>
                <w:b/>
                <w:color w:val="000000"/>
                <w:sz w:val="20"/>
                <w:szCs w:val="20"/>
              </w:rPr>
            </w:pPr>
          </w:p>
        </w:tc>
      </w:tr>
      <w:tr w:rsidR="00AC2A5E" w14:paraId="33F2022E" w14:textId="77777777">
        <w:trPr>
          <w:trHeight w:val="288"/>
        </w:trPr>
        <w:tc>
          <w:tcPr>
            <w:tcW w:w="2196" w:type="dxa"/>
            <w:vAlign w:val="center"/>
          </w:tcPr>
          <w:p w14:paraId="000000E3" w14:textId="77777777" w:rsidR="00AC2A5E" w:rsidRPr="00627964" w:rsidRDefault="009549BA">
            <w:pPr>
              <w:pBdr>
                <w:top w:val="nil"/>
                <w:left w:val="nil"/>
                <w:bottom w:val="nil"/>
                <w:right w:val="nil"/>
                <w:between w:val="nil"/>
              </w:pBdr>
              <w:spacing w:before="120" w:after="120"/>
              <w:rPr>
                <w:rFonts w:ascii="Calibri" w:eastAsia="Calibri" w:hAnsi="Calibri" w:cs="Calibri"/>
                <w:color w:val="000000"/>
                <w:sz w:val="20"/>
                <w:szCs w:val="20"/>
                <w:lang w:val="pt-BR"/>
              </w:rPr>
            </w:pPr>
            <w:proofErr w:type="spellStart"/>
            <w:r w:rsidRPr="00627964">
              <w:rPr>
                <w:rFonts w:ascii="Calibri" w:eastAsia="Calibri" w:hAnsi="Calibri" w:cs="Calibri"/>
                <w:color w:val="000000"/>
                <w:sz w:val="20"/>
                <w:szCs w:val="20"/>
                <w:lang w:val="pt-BR"/>
              </w:rPr>
              <w:t>Impact</w:t>
            </w:r>
            <w:proofErr w:type="spellEnd"/>
            <w:r w:rsidRPr="00627964">
              <w:rPr>
                <w:rFonts w:ascii="Calibri" w:eastAsia="Calibri" w:hAnsi="Calibri" w:cs="Calibri"/>
                <w:color w:val="000000"/>
                <w:sz w:val="20"/>
                <w:szCs w:val="20"/>
                <w:lang w:val="pt-BR"/>
              </w:rPr>
              <w:t xml:space="preserve"> </w:t>
            </w:r>
            <w:proofErr w:type="spellStart"/>
            <w:r w:rsidRPr="00627964">
              <w:rPr>
                <w:rFonts w:ascii="Calibri" w:eastAsia="Calibri" w:hAnsi="Calibri" w:cs="Calibri"/>
                <w:color w:val="000000"/>
                <w:sz w:val="20"/>
                <w:szCs w:val="20"/>
                <w:lang w:val="pt-BR"/>
              </w:rPr>
              <w:t>Investors</w:t>
            </w:r>
            <w:proofErr w:type="spellEnd"/>
            <w:r w:rsidRPr="00627964">
              <w:rPr>
                <w:rFonts w:ascii="Calibri" w:eastAsia="Calibri" w:hAnsi="Calibri" w:cs="Calibri"/>
                <w:color w:val="000000"/>
                <w:sz w:val="20"/>
                <w:szCs w:val="20"/>
                <w:lang w:val="pt-BR"/>
              </w:rPr>
              <w:t xml:space="preserve"> (e.g. Fundo Vale, </w:t>
            </w:r>
            <w:proofErr w:type="spellStart"/>
            <w:r w:rsidRPr="00627964">
              <w:rPr>
                <w:rFonts w:ascii="Calibri" w:eastAsia="Calibri" w:hAnsi="Calibri" w:cs="Calibri"/>
                <w:color w:val="000000"/>
                <w:sz w:val="20"/>
                <w:szCs w:val="20"/>
                <w:lang w:val="pt-BR"/>
              </w:rPr>
              <w:t>Mirova</w:t>
            </w:r>
            <w:proofErr w:type="spellEnd"/>
            <w:r w:rsidRPr="00627964">
              <w:rPr>
                <w:rFonts w:ascii="Calibri" w:eastAsia="Calibri" w:hAnsi="Calibri" w:cs="Calibri"/>
                <w:color w:val="000000"/>
                <w:sz w:val="20"/>
                <w:szCs w:val="20"/>
                <w:lang w:val="pt-BR"/>
              </w:rPr>
              <w:t xml:space="preserve">, </w:t>
            </w:r>
            <w:proofErr w:type="spellStart"/>
            <w:r w:rsidRPr="00627964">
              <w:rPr>
                <w:rFonts w:ascii="Calibri" w:eastAsia="Calibri" w:hAnsi="Calibri" w:cs="Calibri"/>
                <w:color w:val="000000"/>
                <w:sz w:val="20"/>
                <w:szCs w:val="20"/>
                <w:lang w:val="pt-BR"/>
              </w:rPr>
              <w:t>Sitawi</w:t>
            </w:r>
            <w:proofErr w:type="spellEnd"/>
            <w:r w:rsidRPr="00627964">
              <w:rPr>
                <w:rFonts w:ascii="Calibri" w:eastAsia="Calibri" w:hAnsi="Calibri" w:cs="Calibri"/>
                <w:color w:val="000000"/>
                <w:sz w:val="20"/>
                <w:szCs w:val="20"/>
                <w:lang w:val="pt-BR"/>
              </w:rPr>
              <w:t xml:space="preserve">, </w:t>
            </w:r>
            <w:proofErr w:type="spellStart"/>
            <w:r w:rsidRPr="00627964">
              <w:rPr>
                <w:rFonts w:ascii="Calibri" w:eastAsia="Calibri" w:hAnsi="Calibri" w:cs="Calibri"/>
                <w:color w:val="000000"/>
                <w:sz w:val="20"/>
                <w:szCs w:val="20"/>
                <w:lang w:val="pt-BR"/>
              </w:rPr>
              <w:t>etc</w:t>
            </w:r>
            <w:proofErr w:type="spellEnd"/>
            <w:r w:rsidRPr="00627964">
              <w:rPr>
                <w:rFonts w:ascii="Calibri" w:eastAsia="Calibri" w:hAnsi="Calibri" w:cs="Calibri"/>
                <w:color w:val="000000"/>
                <w:sz w:val="20"/>
                <w:szCs w:val="20"/>
                <w:lang w:val="pt-BR"/>
              </w:rPr>
              <w:t>)</w:t>
            </w:r>
          </w:p>
          <w:p w14:paraId="000000E4" w14:textId="77777777" w:rsidR="00AC2A5E" w:rsidRPr="00627964" w:rsidRDefault="00AC2A5E">
            <w:pPr>
              <w:pBdr>
                <w:top w:val="nil"/>
                <w:left w:val="nil"/>
                <w:bottom w:val="nil"/>
                <w:right w:val="nil"/>
                <w:between w:val="nil"/>
              </w:pBdr>
              <w:spacing w:before="120" w:after="120"/>
              <w:rPr>
                <w:rFonts w:ascii="Calibri" w:eastAsia="Calibri" w:hAnsi="Calibri" w:cs="Calibri"/>
                <w:color w:val="000000"/>
                <w:sz w:val="20"/>
                <w:szCs w:val="20"/>
                <w:lang w:val="pt-BR"/>
              </w:rPr>
            </w:pPr>
          </w:p>
          <w:p w14:paraId="000000E5" w14:textId="77777777" w:rsidR="00AC2A5E" w:rsidRDefault="009549BA">
            <w:pPr>
              <w:pBdr>
                <w:top w:val="nil"/>
                <w:left w:val="nil"/>
                <w:bottom w:val="nil"/>
                <w:right w:val="nil"/>
                <w:between w:val="nil"/>
              </w:pBdr>
              <w:spacing w:before="120" w:after="120"/>
              <w:rPr>
                <w:rFonts w:ascii="Calibri" w:eastAsia="Calibri" w:hAnsi="Calibri" w:cs="Calibri"/>
                <w:i/>
                <w:color w:val="000000"/>
                <w:sz w:val="18"/>
                <w:szCs w:val="18"/>
              </w:rPr>
            </w:pPr>
            <w:r>
              <w:rPr>
                <w:rFonts w:ascii="Calibri" w:eastAsia="Calibri" w:hAnsi="Calibri" w:cs="Calibri"/>
                <w:i/>
                <w:color w:val="000000"/>
                <w:sz w:val="18"/>
                <w:szCs w:val="18"/>
              </w:rPr>
              <w:t>Impact investors can support Component 3 of the project by providing finance for restoration activities.</w:t>
            </w:r>
          </w:p>
        </w:tc>
        <w:tc>
          <w:tcPr>
            <w:tcW w:w="1880" w:type="dxa"/>
            <w:vAlign w:val="center"/>
          </w:tcPr>
          <w:p w14:paraId="000000E6"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There is a growing interest from impact Investors in nature-based solutions in Brazil. Consequently, the Restaura Biomas will increase investors' appetite. The main concerns are the long period and high-risk projects  </w:t>
            </w:r>
          </w:p>
        </w:tc>
        <w:tc>
          <w:tcPr>
            <w:tcW w:w="2219" w:type="dxa"/>
            <w:vAlign w:val="center"/>
          </w:tcPr>
          <w:p w14:paraId="000000E7"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Improved overall business environment for the financial sector and consequently increase investors' appetite in such projects.</w:t>
            </w:r>
          </w:p>
          <w:p w14:paraId="000000E8"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Impact investors could be negatively affected if Restaura Biomas cannot provide a financial return. However, at this stage, it is not yet decided if the project will seek funding from private sector investors. </w:t>
            </w:r>
          </w:p>
        </w:tc>
        <w:tc>
          <w:tcPr>
            <w:tcW w:w="2019" w:type="dxa"/>
            <w:vAlign w:val="center"/>
          </w:tcPr>
          <w:p w14:paraId="000000E9"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Invest in native vegetation recovery and/or management systems that help to achieve the Restaura Biomas goals</w:t>
            </w:r>
          </w:p>
        </w:tc>
        <w:tc>
          <w:tcPr>
            <w:tcW w:w="1713" w:type="dxa"/>
          </w:tcPr>
          <w:p w14:paraId="000000EA"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b/>
                <w:color w:val="000000"/>
                <w:sz w:val="20"/>
                <w:szCs w:val="20"/>
              </w:rPr>
              <w:t>Low</w:t>
            </w:r>
          </w:p>
        </w:tc>
      </w:tr>
      <w:tr w:rsidR="00AC2A5E" w14:paraId="664A7B05" w14:textId="77777777">
        <w:trPr>
          <w:trHeight w:val="288"/>
        </w:trPr>
        <w:tc>
          <w:tcPr>
            <w:tcW w:w="2196" w:type="dxa"/>
            <w:vAlign w:val="center"/>
          </w:tcPr>
          <w:p w14:paraId="000000EB"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Large listed companies including processors, retailers and industries (e.g. JBS, </w:t>
            </w:r>
            <w:proofErr w:type="spellStart"/>
            <w:r>
              <w:rPr>
                <w:rFonts w:ascii="Calibri" w:eastAsia="Calibri" w:hAnsi="Calibri" w:cs="Calibri"/>
                <w:color w:val="000000"/>
                <w:sz w:val="20"/>
                <w:szCs w:val="20"/>
              </w:rPr>
              <w:t>Amaggi</w:t>
            </w:r>
            <w:proofErr w:type="spellEnd"/>
            <w:r>
              <w:rPr>
                <w:rFonts w:ascii="Calibri" w:eastAsia="Calibri" w:hAnsi="Calibri" w:cs="Calibri"/>
                <w:color w:val="000000"/>
                <w:sz w:val="20"/>
                <w:szCs w:val="20"/>
              </w:rPr>
              <w:t>, Cargil, Marfrig, etc.)</w:t>
            </w:r>
          </w:p>
          <w:p w14:paraId="000000EC" w14:textId="77777777" w:rsidR="00AC2A5E" w:rsidRDefault="00AC2A5E">
            <w:pPr>
              <w:pBdr>
                <w:top w:val="nil"/>
                <w:left w:val="nil"/>
                <w:bottom w:val="nil"/>
                <w:right w:val="nil"/>
                <w:between w:val="nil"/>
              </w:pBdr>
              <w:spacing w:before="120" w:after="120"/>
              <w:rPr>
                <w:rFonts w:ascii="Calibri" w:eastAsia="Calibri" w:hAnsi="Calibri" w:cs="Calibri"/>
                <w:color w:val="000000"/>
                <w:sz w:val="20"/>
                <w:szCs w:val="20"/>
              </w:rPr>
            </w:pPr>
          </w:p>
          <w:p w14:paraId="000000ED"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i/>
                <w:color w:val="000000"/>
                <w:sz w:val="18"/>
                <w:szCs w:val="18"/>
              </w:rPr>
              <w:t>Companies can support Component 3 of the project by providing finance for restoration activities and buying products from farmers involved in restoration and sustainable agricultural practices.</w:t>
            </w:r>
          </w:p>
        </w:tc>
        <w:tc>
          <w:tcPr>
            <w:tcW w:w="1880" w:type="dxa"/>
            <w:vAlign w:val="center"/>
          </w:tcPr>
          <w:p w14:paraId="000000EE"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Companies purchasing commodities from Brazil are exposed to deforestation risks and have biodiversity and/or carbon policies, commitments and strategies </w:t>
            </w:r>
          </w:p>
        </w:tc>
        <w:tc>
          <w:tcPr>
            <w:tcW w:w="2219" w:type="dxa"/>
            <w:vAlign w:val="center"/>
          </w:tcPr>
          <w:p w14:paraId="000000EF"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Improved overall business environment for the private sector investments and consequently facilitate companies in achieving their biodiversity and carbon commitments.</w:t>
            </w:r>
          </w:p>
          <w:p w14:paraId="000000F0"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proofErr w:type="spellStart"/>
            <w:r>
              <w:rPr>
                <w:rFonts w:ascii="Calibri" w:eastAsia="Calibri" w:hAnsi="Calibri" w:cs="Calibri"/>
                <w:color w:val="000000"/>
                <w:sz w:val="20"/>
                <w:szCs w:val="20"/>
              </w:rPr>
              <w:t>Offtakers</w:t>
            </w:r>
            <w:proofErr w:type="spellEnd"/>
            <w:r>
              <w:rPr>
                <w:rFonts w:ascii="Calibri" w:eastAsia="Calibri" w:hAnsi="Calibri" w:cs="Calibri"/>
                <w:color w:val="000000"/>
                <w:sz w:val="20"/>
                <w:szCs w:val="20"/>
              </w:rPr>
              <w:t xml:space="preserve"> could be negatively affected if Restaura Biomas does not connect them to suppliers. However, at this stage, it is not yet decided if the project will enter into agreements to facilitate these supply chains. </w:t>
            </w:r>
          </w:p>
        </w:tc>
        <w:tc>
          <w:tcPr>
            <w:tcW w:w="2019" w:type="dxa"/>
          </w:tcPr>
          <w:p w14:paraId="000000F1"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Companies can support the project by providing lessons learned from similar initiatives (e.g. Fundo Vale and JBS Fund for the Amazon) and collaborate with </w:t>
            </w:r>
            <w:proofErr w:type="spellStart"/>
            <w:r>
              <w:rPr>
                <w:rFonts w:ascii="Calibri" w:eastAsia="Calibri" w:hAnsi="Calibri" w:cs="Calibri"/>
                <w:color w:val="000000"/>
                <w:sz w:val="20"/>
                <w:szCs w:val="20"/>
              </w:rPr>
              <w:t>Restuara</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Biomas</w:t>
            </w:r>
            <w:proofErr w:type="spellEnd"/>
            <w:r>
              <w:rPr>
                <w:rFonts w:ascii="Calibri" w:eastAsia="Calibri" w:hAnsi="Calibri" w:cs="Calibri"/>
                <w:color w:val="000000"/>
                <w:sz w:val="20"/>
                <w:szCs w:val="20"/>
              </w:rPr>
              <w:t xml:space="preserve"> through these initiatives. Companies can also possibly financially and logistically support restoration supply chains and sustainable agriculture by buying products from </w:t>
            </w:r>
            <w:r>
              <w:rPr>
                <w:rFonts w:ascii="Calibri" w:eastAsia="Calibri" w:hAnsi="Calibri" w:cs="Calibri"/>
                <w:color w:val="000000"/>
                <w:sz w:val="20"/>
                <w:szCs w:val="20"/>
              </w:rPr>
              <w:lastRenderedPageBreak/>
              <w:t>farmers.</w:t>
            </w:r>
          </w:p>
        </w:tc>
        <w:tc>
          <w:tcPr>
            <w:tcW w:w="1713" w:type="dxa"/>
          </w:tcPr>
          <w:p w14:paraId="000000F2"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Low</w:t>
            </w:r>
          </w:p>
        </w:tc>
      </w:tr>
      <w:tr w:rsidR="00AC2A5E" w14:paraId="525E66A0" w14:textId="77777777">
        <w:trPr>
          <w:trHeight w:val="288"/>
        </w:trPr>
        <w:tc>
          <w:tcPr>
            <w:tcW w:w="2196" w:type="dxa"/>
            <w:vAlign w:val="center"/>
          </w:tcPr>
          <w:p w14:paraId="000000F3"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Restoration companies (ex. Belterra, </w:t>
            </w:r>
            <w:proofErr w:type="spellStart"/>
            <w:r>
              <w:rPr>
                <w:rFonts w:ascii="Calibri" w:eastAsia="Calibri" w:hAnsi="Calibri" w:cs="Calibri"/>
                <w:color w:val="000000"/>
                <w:sz w:val="20"/>
                <w:szCs w:val="20"/>
              </w:rPr>
              <w:t>Caaporã</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Bioenergia</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Futuro</w:t>
            </w:r>
            <w:proofErr w:type="spellEnd"/>
            <w:r>
              <w:rPr>
                <w:rFonts w:ascii="Calibri" w:eastAsia="Calibri" w:hAnsi="Calibri" w:cs="Calibri"/>
                <w:color w:val="000000"/>
                <w:sz w:val="20"/>
                <w:szCs w:val="20"/>
              </w:rPr>
              <w:t xml:space="preserve"> Florestal, </w:t>
            </w:r>
            <w:proofErr w:type="spellStart"/>
            <w:r>
              <w:rPr>
                <w:rFonts w:ascii="Calibri" w:eastAsia="Calibri" w:hAnsi="Calibri" w:cs="Calibri"/>
                <w:color w:val="000000"/>
                <w:sz w:val="20"/>
                <w:szCs w:val="20"/>
              </w:rPr>
              <w:t>Monbak</w:t>
            </w:r>
            <w:proofErr w:type="spellEnd"/>
            <w:r>
              <w:rPr>
                <w:rFonts w:ascii="Calibri" w:eastAsia="Calibri" w:hAnsi="Calibri" w:cs="Calibri"/>
                <w:color w:val="000000"/>
                <w:sz w:val="20"/>
                <w:szCs w:val="20"/>
              </w:rPr>
              <w:t xml:space="preserve">, Pasto Vivo, </w:t>
            </w:r>
            <w:proofErr w:type="spellStart"/>
            <w:r>
              <w:rPr>
                <w:rFonts w:ascii="Calibri" w:eastAsia="Calibri" w:hAnsi="Calibri" w:cs="Calibri"/>
                <w:color w:val="000000"/>
                <w:sz w:val="20"/>
                <w:szCs w:val="20"/>
              </w:rPr>
              <w:t>Regenera</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ReGreen</w:t>
            </w:r>
            <w:proofErr w:type="spellEnd"/>
            <w:r>
              <w:rPr>
                <w:rFonts w:ascii="Calibri" w:eastAsia="Calibri" w:hAnsi="Calibri" w:cs="Calibri"/>
                <w:color w:val="000000"/>
                <w:sz w:val="20"/>
                <w:szCs w:val="20"/>
              </w:rPr>
              <w:t>, etc.)</w:t>
            </w:r>
          </w:p>
          <w:p w14:paraId="000000F4" w14:textId="77777777" w:rsidR="00AC2A5E" w:rsidRDefault="00AC2A5E">
            <w:pPr>
              <w:pBdr>
                <w:top w:val="nil"/>
                <w:left w:val="nil"/>
                <w:bottom w:val="nil"/>
                <w:right w:val="nil"/>
                <w:between w:val="nil"/>
              </w:pBdr>
              <w:spacing w:before="120" w:after="120"/>
              <w:rPr>
                <w:rFonts w:ascii="Calibri" w:eastAsia="Calibri" w:hAnsi="Calibri" w:cs="Calibri"/>
                <w:color w:val="000000"/>
                <w:sz w:val="20"/>
                <w:szCs w:val="20"/>
              </w:rPr>
            </w:pPr>
          </w:p>
          <w:p w14:paraId="000000F5" w14:textId="77777777" w:rsidR="00AC2A5E" w:rsidRDefault="009549BA">
            <w:pPr>
              <w:pBdr>
                <w:top w:val="nil"/>
                <w:left w:val="nil"/>
                <w:bottom w:val="nil"/>
                <w:right w:val="nil"/>
                <w:between w:val="nil"/>
              </w:pBdr>
              <w:spacing w:before="120" w:after="120"/>
              <w:rPr>
                <w:rFonts w:ascii="Calibri" w:eastAsia="Calibri" w:hAnsi="Calibri" w:cs="Calibri"/>
                <w:i/>
                <w:color w:val="000000"/>
                <w:sz w:val="18"/>
                <w:szCs w:val="18"/>
              </w:rPr>
            </w:pPr>
            <w:r>
              <w:rPr>
                <w:rFonts w:ascii="Calibri" w:eastAsia="Calibri" w:hAnsi="Calibri" w:cs="Calibri"/>
                <w:i/>
                <w:color w:val="000000"/>
                <w:sz w:val="18"/>
                <w:szCs w:val="18"/>
              </w:rPr>
              <w:t>These companies can strengthen restoration value chains.</w:t>
            </w:r>
          </w:p>
        </w:tc>
        <w:tc>
          <w:tcPr>
            <w:tcW w:w="1880" w:type="dxa"/>
            <w:vAlign w:val="center"/>
          </w:tcPr>
          <w:p w14:paraId="000000F6"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Restoration companies, including entrepreneurs and start-ups are emerging across various parts of Brazil to develop NBS in privately-owned or leased lands. The main concerns are the lack of guarantee funds and challenges to access markets for agroforestry and NTFPs </w:t>
            </w:r>
          </w:p>
        </w:tc>
        <w:tc>
          <w:tcPr>
            <w:tcW w:w="2219" w:type="dxa"/>
            <w:vAlign w:val="center"/>
          </w:tcPr>
          <w:p w14:paraId="000000F7"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Restaura Biomas can support restoration companies by facilitating the creation of Guarantee Funds to mitigate business risks as well as access to markets through the creation of processing plants and industries responsible for processing NTFPs and “bioeconomy” products (ex. nuts, Açaí, Cocoa, etc).</w:t>
            </w:r>
          </w:p>
          <w:p w14:paraId="000000F8"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The project could negatively impact these companies if it fails to create enabling conditions for restoration. </w:t>
            </w:r>
          </w:p>
        </w:tc>
        <w:tc>
          <w:tcPr>
            <w:tcW w:w="2019" w:type="dxa"/>
          </w:tcPr>
          <w:p w14:paraId="000000F9"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Same as above</w:t>
            </w:r>
          </w:p>
        </w:tc>
        <w:tc>
          <w:tcPr>
            <w:tcW w:w="1713" w:type="dxa"/>
          </w:tcPr>
          <w:p w14:paraId="000000FA"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Low</w:t>
            </w:r>
          </w:p>
        </w:tc>
      </w:tr>
      <w:tr w:rsidR="00AC2A5E" w14:paraId="0A93F2FA" w14:textId="77777777">
        <w:trPr>
          <w:trHeight w:val="288"/>
        </w:trPr>
        <w:tc>
          <w:tcPr>
            <w:tcW w:w="2196" w:type="dxa"/>
            <w:vAlign w:val="center"/>
          </w:tcPr>
          <w:p w14:paraId="000000FB"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Farmers</w:t>
            </w:r>
          </w:p>
        </w:tc>
        <w:tc>
          <w:tcPr>
            <w:tcW w:w="1880" w:type="dxa"/>
            <w:vAlign w:val="center"/>
          </w:tcPr>
          <w:p w14:paraId="000000FC"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Farmers’ main interest is generating income from agricultural production. </w:t>
            </w:r>
          </w:p>
        </w:tc>
        <w:tc>
          <w:tcPr>
            <w:tcW w:w="2219" w:type="dxa"/>
            <w:vAlign w:val="center"/>
          </w:tcPr>
          <w:p w14:paraId="000000FD"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Farmers who are not complying with national law may be negatively impacted by the strengthened enforcement of the Forest Code and other environmental policies that prohibit unsustainable agricultural practices (e.g. deforestation for new pastureland).</w:t>
            </w:r>
          </w:p>
          <w:p w14:paraId="000000FE"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Farmers could be positively impacted by the financial incentives and opportunities for restoration as well as technical assistance for sustainable agricultural practices created by the project.</w:t>
            </w:r>
          </w:p>
        </w:tc>
        <w:tc>
          <w:tcPr>
            <w:tcW w:w="2019" w:type="dxa"/>
          </w:tcPr>
          <w:p w14:paraId="000000FF"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Farmers could negatively affect the project if they do not participate or actively hinder restoration efforts.</w:t>
            </w:r>
          </w:p>
          <w:p w14:paraId="00000100"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The project can be more successful if farmers contribute to the goals of land under sustainable management and land under restoration.</w:t>
            </w:r>
          </w:p>
        </w:tc>
        <w:tc>
          <w:tcPr>
            <w:tcW w:w="1713" w:type="dxa"/>
          </w:tcPr>
          <w:p w14:paraId="00000101" w14:textId="77777777" w:rsidR="00AC2A5E" w:rsidRDefault="009549BA">
            <w:pPr>
              <w:pBdr>
                <w:top w:val="nil"/>
                <w:left w:val="nil"/>
                <w:bottom w:val="nil"/>
                <w:right w:val="nil"/>
                <w:between w:val="nil"/>
              </w:pBdr>
              <w:spacing w:before="120" w:after="120"/>
              <w:rPr>
                <w:rFonts w:ascii="Calibri" w:eastAsia="Calibri" w:hAnsi="Calibri" w:cs="Calibri"/>
                <w:b/>
                <w:color w:val="000000"/>
                <w:sz w:val="20"/>
                <w:szCs w:val="20"/>
              </w:rPr>
            </w:pPr>
            <w:r>
              <w:rPr>
                <w:rFonts w:ascii="Calibri" w:eastAsia="Calibri" w:hAnsi="Calibri" w:cs="Calibri"/>
                <w:b/>
                <w:color w:val="000000"/>
                <w:sz w:val="20"/>
                <w:szCs w:val="20"/>
              </w:rPr>
              <w:t>High</w:t>
            </w:r>
          </w:p>
          <w:p w14:paraId="00000102"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Restaura Biomas will also seek to make restoration and sustainable agriculture more financially viable for farmers so that they have a greater incentive to participate in the project.</w:t>
            </w:r>
          </w:p>
        </w:tc>
      </w:tr>
      <w:tr w:rsidR="00AC2A5E" w14:paraId="68DD150B" w14:textId="77777777">
        <w:trPr>
          <w:trHeight w:val="120"/>
        </w:trPr>
        <w:tc>
          <w:tcPr>
            <w:tcW w:w="10027" w:type="dxa"/>
            <w:gridSpan w:val="5"/>
            <w:shd w:val="clear" w:color="auto" w:fill="B8CCE4"/>
            <w:vAlign w:val="center"/>
          </w:tcPr>
          <w:p w14:paraId="00000103" w14:textId="77777777" w:rsidR="00AC2A5E" w:rsidRDefault="009549BA">
            <w:pPr>
              <w:pBdr>
                <w:top w:val="nil"/>
                <w:left w:val="nil"/>
                <w:bottom w:val="nil"/>
                <w:right w:val="nil"/>
                <w:between w:val="nil"/>
              </w:pBdr>
              <w:spacing w:before="120" w:after="120"/>
              <w:rPr>
                <w:rFonts w:ascii="Calibri" w:eastAsia="Calibri" w:hAnsi="Calibri" w:cs="Calibri"/>
                <w:b/>
                <w:color w:val="000000"/>
                <w:sz w:val="20"/>
                <w:szCs w:val="20"/>
              </w:rPr>
            </w:pPr>
            <w:r>
              <w:rPr>
                <w:rFonts w:ascii="Calibri" w:eastAsia="Calibri" w:hAnsi="Calibri" w:cs="Calibri"/>
                <w:b/>
                <w:color w:val="000000"/>
                <w:sz w:val="20"/>
                <w:szCs w:val="20"/>
              </w:rPr>
              <w:t>Academia</w:t>
            </w:r>
            <w:r>
              <w:rPr>
                <w:rFonts w:ascii="Calibri" w:eastAsia="Calibri" w:hAnsi="Calibri" w:cs="Calibri"/>
                <w:color w:val="000000"/>
                <w:sz w:val="20"/>
                <w:szCs w:val="20"/>
              </w:rPr>
              <w:t xml:space="preserve"> (</w:t>
            </w:r>
            <w:r>
              <w:rPr>
                <w:rFonts w:ascii="Calibri" w:eastAsia="Calibri" w:hAnsi="Calibri" w:cs="Calibri"/>
                <w:i/>
                <w:color w:val="000000"/>
                <w:sz w:val="20"/>
                <w:szCs w:val="20"/>
              </w:rPr>
              <w:t>Add rows as necessary)</w:t>
            </w:r>
          </w:p>
        </w:tc>
      </w:tr>
      <w:tr w:rsidR="00AC2A5E" w14:paraId="047D37FE" w14:textId="77777777">
        <w:trPr>
          <w:trHeight w:val="288"/>
        </w:trPr>
        <w:tc>
          <w:tcPr>
            <w:tcW w:w="2196" w:type="dxa"/>
            <w:vAlign w:val="center"/>
          </w:tcPr>
          <w:p w14:paraId="00000108"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Universities and research institutes</w:t>
            </w:r>
          </w:p>
        </w:tc>
        <w:tc>
          <w:tcPr>
            <w:tcW w:w="1880" w:type="dxa"/>
            <w:vAlign w:val="center"/>
          </w:tcPr>
          <w:p w14:paraId="00000109"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Universities and research institutes can participate in ecosystem restoration activities and research on the </w:t>
            </w:r>
            <w:r>
              <w:rPr>
                <w:rFonts w:ascii="Calibri" w:eastAsia="Calibri" w:hAnsi="Calibri" w:cs="Calibri"/>
                <w:color w:val="000000"/>
                <w:sz w:val="20"/>
                <w:szCs w:val="20"/>
              </w:rPr>
              <w:lastRenderedPageBreak/>
              <w:t>ecological impacts of restoration.</w:t>
            </w:r>
          </w:p>
        </w:tc>
        <w:tc>
          <w:tcPr>
            <w:tcW w:w="2219" w:type="dxa"/>
            <w:vAlign w:val="center"/>
          </w:tcPr>
          <w:p w14:paraId="0000010A"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Restaura Biomas can support universities and research institutes with their research on the ecological and social impacts of restoration by allowing research at </w:t>
            </w:r>
            <w:r>
              <w:rPr>
                <w:rFonts w:ascii="Calibri" w:eastAsia="Calibri" w:hAnsi="Calibri" w:cs="Calibri"/>
                <w:color w:val="000000"/>
                <w:sz w:val="20"/>
                <w:szCs w:val="20"/>
              </w:rPr>
              <w:lastRenderedPageBreak/>
              <w:t>project sites.</w:t>
            </w:r>
          </w:p>
          <w:p w14:paraId="0000010B"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Universities and research institutes may be negatively impacted if they enter an agreement to conduct research in Restaura Biomas project sites and then that permission is revoked or they no longer have the opportunity to carry out research effectively.</w:t>
            </w:r>
          </w:p>
        </w:tc>
        <w:tc>
          <w:tcPr>
            <w:tcW w:w="2019" w:type="dxa"/>
            <w:vAlign w:val="center"/>
          </w:tcPr>
          <w:p w14:paraId="0000010C"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Universities and research institutes can contribute to the project through Research and development (R&amp;D) focused on native </w:t>
            </w:r>
            <w:r>
              <w:rPr>
                <w:rFonts w:ascii="Calibri" w:eastAsia="Calibri" w:hAnsi="Calibri" w:cs="Calibri"/>
                <w:color w:val="000000"/>
                <w:sz w:val="20"/>
                <w:szCs w:val="20"/>
              </w:rPr>
              <w:lastRenderedPageBreak/>
              <w:t>species that are more resilient to forest fires, droughts, and climate shocks</w:t>
            </w:r>
          </w:p>
        </w:tc>
        <w:tc>
          <w:tcPr>
            <w:tcW w:w="1713" w:type="dxa"/>
          </w:tcPr>
          <w:p w14:paraId="0000010D"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b/>
                <w:color w:val="000000"/>
                <w:sz w:val="20"/>
                <w:szCs w:val="20"/>
              </w:rPr>
              <w:lastRenderedPageBreak/>
              <w:t>Medium</w:t>
            </w:r>
            <w:r>
              <w:rPr>
                <w:rFonts w:ascii="Calibri" w:eastAsia="Calibri" w:hAnsi="Calibri" w:cs="Calibri"/>
                <w:color w:val="000000"/>
                <w:sz w:val="20"/>
                <w:szCs w:val="20"/>
              </w:rPr>
              <w:t xml:space="preserve"> </w:t>
            </w:r>
          </w:p>
          <w:p w14:paraId="0000010E"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 xml:space="preserve">R&amp;D is long-term with no guarantee of success. Restaura Biomas can mitigate this risk </w:t>
            </w:r>
            <w:r>
              <w:rPr>
                <w:rFonts w:ascii="Calibri" w:eastAsia="Calibri" w:hAnsi="Calibri" w:cs="Calibri"/>
                <w:color w:val="000000"/>
                <w:sz w:val="20"/>
                <w:szCs w:val="20"/>
              </w:rPr>
              <w:lastRenderedPageBreak/>
              <w:t>by drawing from existing research rather than commissioning new studies.</w:t>
            </w:r>
          </w:p>
        </w:tc>
      </w:tr>
      <w:tr w:rsidR="00AC2A5E" w14:paraId="05F9231E" w14:textId="77777777">
        <w:trPr>
          <w:trHeight w:val="115"/>
        </w:trPr>
        <w:tc>
          <w:tcPr>
            <w:tcW w:w="10027" w:type="dxa"/>
            <w:gridSpan w:val="5"/>
            <w:shd w:val="clear" w:color="auto" w:fill="B8CCE4"/>
            <w:vAlign w:val="center"/>
          </w:tcPr>
          <w:p w14:paraId="0000010F"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b/>
                <w:color w:val="000000"/>
                <w:sz w:val="20"/>
                <w:szCs w:val="20"/>
              </w:rPr>
              <w:lastRenderedPageBreak/>
              <w:t>Disadvantaged/Vulnerable</w:t>
            </w:r>
            <w:r>
              <w:rPr>
                <w:rFonts w:ascii="Calibri" w:eastAsia="Calibri" w:hAnsi="Calibri" w:cs="Calibri"/>
                <w:b/>
                <w:color w:val="000000"/>
                <w:sz w:val="20"/>
                <w:szCs w:val="20"/>
                <w:vertAlign w:val="superscript"/>
              </w:rPr>
              <w:footnoteReference w:id="2"/>
            </w:r>
            <w:r>
              <w:rPr>
                <w:rFonts w:ascii="Calibri" w:eastAsia="Calibri" w:hAnsi="Calibri" w:cs="Calibri"/>
                <w:b/>
                <w:color w:val="000000"/>
                <w:sz w:val="20"/>
                <w:szCs w:val="20"/>
              </w:rPr>
              <w:t xml:space="preserve"> Groups</w:t>
            </w:r>
            <w:r>
              <w:rPr>
                <w:rFonts w:ascii="Calibri" w:eastAsia="Calibri" w:hAnsi="Calibri" w:cs="Calibri"/>
                <w:color w:val="000000"/>
                <w:sz w:val="20"/>
                <w:szCs w:val="20"/>
              </w:rPr>
              <w:t xml:space="preserve"> </w:t>
            </w:r>
            <w:r>
              <w:rPr>
                <w:rFonts w:ascii="Calibri" w:eastAsia="Calibri" w:hAnsi="Calibri" w:cs="Calibri"/>
                <w:i/>
                <w:color w:val="000000"/>
                <w:sz w:val="20"/>
                <w:szCs w:val="20"/>
              </w:rPr>
              <w:t>(Add rows as necessary)</w:t>
            </w:r>
          </w:p>
        </w:tc>
      </w:tr>
      <w:tr w:rsidR="00AC2A5E" w14:paraId="41C4DE6F" w14:textId="77777777">
        <w:trPr>
          <w:trHeight w:val="288"/>
        </w:trPr>
        <w:tc>
          <w:tcPr>
            <w:tcW w:w="2196" w:type="dxa"/>
            <w:vAlign w:val="center"/>
          </w:tcPr>
          <w:p w14:paraId="00000114"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Women</w:t>
            </w:r>
          </w:p>
        </w:tc>
        <w:tc>
          <w:tcPr>
            <w:tcW w:w="1880" w:type="dxa"/>
            <w:vAlign w:val="center"/>
          </w:tcPr>
          <w:p w14:paraId="00000115"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Women can benefit from native vegetation recovery because many women rely on natural resources for their livelihoods.</w:t>
            </w:r>
          </w:p>
        </w:tc>
        <w:tc>
          <w:tcPr>
            <w:tcW w:w="2219" w:type="dxa"/>
            <w:vAlign w:val="center"/>
          </w:tcPr>
          <w:p w14:paraId="00000116"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Women can benefit economically and socially from stronger native vegetation recovery policies, technical assistance, finance opportunities for restoration, and gender mainstreaming as a result of Restaura Biomas.</w:t>
            </w:r>
          </w:p>
        </w:tc>
        <w:tc>
          <w:tcPr>
            <w:tcW w:w="2019" w:type="dxa"/>
            <w:vAlign w:val="center"/>
          </w:tcPr>
          <w:p w14:paraId="00000117"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Women are essential for the project reaching its gender mainstreaming goals and its overall goals.</w:t>
            </w:r>
          </w:p>
        </w:tc>
        <w:tc>
          <w:tcPr>
            <w:tcW w:w="1713" w:type="dxa"/>
          </w:tcPr>
          <w:p w14:paraId="00000118" w14:textId="77777777" w:rsidR="00AC2A5E" w:rsidRDefault="009549BA">
            <w:pPr>
              <w:pBdr>
                <w:top w:val="nil"/>
                <w:left w:val="nil"/>
                <w:bottom w:val="nil"/>
                <w:right w:val="nil"/>
                <w:between w:val="nil"/>
              </w:pBdr>
              <w:spacing w:before="120" w:after="120"/>
              <w:rPr>
                <w:rFonts w:ascii="Calibri" w:eastAsia="Calibri" w:hAnsi="Calibri" w:cs="Calibri"/>
                <w:color w:val="000000"/>
                <w:sz w:val="20"/>
                <w:szCs w:val="20"/>
              </w:rPr>
            </w:pPr>
            <w:r>
              <w:rPr>
                <w:rFonts w:ascii="Calibri" w:eastAsia="Calibri" w:hAnsi="Calibri" w:cs="Calibri"/>
                <w:color w:val="000000"/>
                <w:sz w:val="20"/>
                <w:szCs w:val="20"/>
              </w:rPr>
              <w:t>Medium</w:t>
            </w:r>
          </w:p>
          <w:p w14:paraId="00000119" w14:textId="77777777" w:rsidR="00AC2A5E" w:rsidRDefault="009549BA">
            <w:pPr>
              <w:pBdr>
                <w:top w:val="nil"/>
                <w:left w:val="nil"/>
                <w:bottom w:val="nil"/>
                <w:right w:val="nil"/>
                <w:between w:val="nil"/>
              </w:pBdr>
              <w:spacing w:before="120" w:after="120"/>
              <w:rPr>
                <w:rFonts w:ascii="Calibri" w:eastAsia="Calibri" w:hAnsi="Calibri" w:cs="Calibri"/>
                <w:sz w:val="20"/>
                <w:szCs w:val="20"/>
              </w:rPr>
            </w:pPr>
            <w:r>
              <w:rPr>
                <w:rFonts w:ascii="Calibri" w:eastAsia="Calibri" w:hAnsi="Calibri" w:cs="Calibri"/>
                <w:color w:val="000000"/>
                <w:sz w:val="20"/>
                <w:szCs w:val="20"/>
              </w:rPr>
              <w:t>This risk will be mitigated through the project’s Gender Mainstreaming Plan.</w:t>
            </w:r>
          </w:p>
        </w:tc>
      </w:tr>
    </w:tbl>
    <w:p w14:paraId="0000011A" w14:textId="77777777" w:rsidR="00AC2A5E" w:rsidRDefault="00AC2A5E">
      <w:pPr>
        <w:pBdr>
          <w:top w:val="nil"/>
          <w:left w:val="nil"/>
          <w:bottom w:val="nil"/>
          <w:right w:val="nil"/>
          <w:between w:val="nil"/>
        </w:pBdr>
        <w:rPr>
          <w:rFonts w:ascii="Calibri" w:eastAsia="Calibri" w:hAnsi="Calibri" w:cs="Calibri"/>
          <w:color w:val="000000"/>
          <w:sz w:val="24"/>
          <w:szCs w:val="24"/>
        </w:rPr>
      </w:pPr>
    </w:p>
    <w:p w14:paraId="0000011B" w14:textId="77777777" w:rsidR="00AC2A5E" w:rsidRDefault="00AC2A5E">
      <w:pPr>
        <w:pBdr>
          <w:top w:val="nil"/>
          <w:left w:val="nil"/>
          <w:bottom w:val="nil"/>
          <w:right w:val="nil"/>
          <w:between w:val="nil"/>
        </w:pBdr>
        <w:rPr>
          <w:rFonts w:ascii="Calibri" w:eastAsia="Calibri" w:hAnsi="Calibri" w:cs="Calibri"/>
          <w:color w:val="000000"/>
          <w:sz w:val="28"/>
          <w:szCs w:val="28"/>
        </w:rPr>
      </w:pPr>
    </w:p>
    <w:p w14:paraId="0000011C" w14:textId="77777777" w:rsidR="00AC2A5E" w:rsidRDefault="009549BA">
      <w:pPr>
        <w:pBdr>
          <w:top w:val="nil"/>
          <w:left w:val="nil"/>
          <w:bottom w:val="nil"/>
          <w:right w:val="nil"/>
          <w:between w:val="nil"/>
        </w:pBdr>
        <w:rPr>
          <w:rFonts w:ascii="Calibri" w:eastAsia="Calibri" w:hAnsi="Calibri" w:cs="Calibri"/>
          <w:b/>
          <w:color w:val="000000"/>
          <w:sz w:val="28"/>
          <w:szCs w:val="28"/>
        </w:rPr>
      </w:pPr>
      <w:r>
        <w:br w:type="page"/>
      </w:r>
      <w:sdt>
        <w:sdtPr>
          <w:tag w:val="goog_rdk_3"/>
          <w:id w:val="1898702949"/>
        </w:sdtPr>
        <w:sdtContent/>
      </w:sdt>
      <w:sdt>
        <w:sdtPr>
          <w:tag w:val="goog_rdk_4"/>
          <w:id w:val="-1940982543"/>
        </w:sdtPr>
        <w:sdtContent/>
      </w:sdt>
      <w:sdt>
        <w:sdtPr>
          <w:tag w:val="goog_rdk_5"/>
          <w:id w:val="994999621"/>
        </w:sdtPr>
        <w:sdtContent/>
      </w:sdt>
      <w:r>
        <w:rPr>
          <w:rFonts w:ascii="Calibri" w:eastAsia="Calibri" w:hAnsi="Calibri" w:cs="Calibri"/>
          <w:b/>
          <w:color w:val="000000"/>
          <w:sz w:val="28"/>
          <w:szCs w:val="28"/>
        </w:rPr>
        <w:t>SECTION IV: Stakeholder Engagement During PPG/PPF Phase</w:t>
      </w:r>
    </w:p>
    <w:p w14:paraId="0000011D" w14:textId="77777777" w:rsidR="00AC2A5E" w:rsidRDefault="009549BA">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a.</w:t>
      </w:r>
    </w:p>
    <w:tbl>
      <w:tblPr>
        <w:tblStyle w:val="aff1"/>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0"/>
        <w:gridCol w:w="2308"/>
        <w:gridCol w:w="5492"/>
      </w:tblGrid>
      <w:tr w:rsidR="00AC2A5E" w14:paraId="2675512F" w14:textId="77777777">
        <w:trPr>
          <w:trHeight w:val="924"/>
        </w:trPr>
        <w:tc>
          <w:tcPr>
            <w:tcW w:w="2190" w:type="dxa"/>
            <w:shd w:val="clear" w:color="auto" w:fill="C6D9F1"/>
            <w:vAlign w:val="center"/>
          </w:tcPr>
          <w:p w14:paraId="0000011E"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Stakeholder </w:t>
            </w:r>
          </w:p>
          <w:p w14:paraId="0000011F"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Names</w:t>
            </w:r>
          </w:p>
        </w:tc>
        <w:tc>
          <w:tcPr>
            <w:tcW w:w="2308" w:type="dxa"/>
            <w:shd w:val="clear" w:color="auto" w:fill="C6D9F1"/>
            <w:vAlign w:val="center"/>
          </w:tcPr>
          <w:p w14:paraId="00000120"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Dates, Locations and Methods of Engagement</w:t>
            </w:r>
            <w:r>
              <w:rPr>
                <w:rFonts w:ascii="Calibri" w:eastAsia="Calibri" w:hAnsi="Calibri" w:cs="Calibri"/>
                <w:b/>
                <w:color w:val="000000"/>
                <w:sz w:val="24"/>
                <w:szCs w:val="24"/>
                <w:vertAlign w:val="superscript"/>
              </w:rPr>
              <w:footnoteReference w:id="3"/>
            </w:r>
          </w:p>
        </w:tc>
        <w:tc>
          <w:tcPr>
            <w:tcW w:w="5492" w:type="dxa"/>
            <w:shd w:val="clear" w:color="auto" w:fill="C6D9F1"/>
            <w:vAlign w:val="center"/>
          </w:tcPr>
          <w:p w14:paraId="00000121"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Outcomes</w:t>
            </w:r>
          </w:p>
        </w:tc>
      </w:tr>
      <w:tr w:rsidR="00AC2A5E" w14:paraId="7DB84EEA" w14:textId="77777777">
        <w:trPr>
          <w:trHeight w:val="1296"/>
        </w:trPr>
        <w:tc>
          <w:tcPr>
            <w:tcW w:w="2190" w:type="dxa"/>
          </w:tcPr>
          <w:p w14:paraId="00000122"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 xml:space="preserve">Name the key stakeholder contacted during PPG in this column. </w:t>
            </w:r>
          </w:p>
          <w:p w14:paraId="00000123"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Add rows as necessary.</w:t>
            </w:r>
          </w:p>
        </w:tc>
        <w:tc>
          <w:tcPr>
            <w:tcW w:w="2308" w:type="dxa"/>
            <w:vAlign w:val="center"/>
          </w:tcPr>
          <w:p w14:paraId="00000124"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 xml:space="preserve">When and where did you meet? </w:t>
            </w:r>
          </w:p>
          <w:p w14:paraId="00000125"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 xml:space="preserve">Was it a meeting, consultation, workshop, etc? </w:t>
            </w:r>
          </w:p>
          <w:p w14:paraId="00000126"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What steps were taken to seek consent, if needed?</w:t>
            </w:r>
          </w:p>
          <w:p w14:paraId="00000127"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How was the engagement documented?</w:t>
            </w:r>
          </w:p>
        </w:tc>
        <w:tc>
          <w:tcPr>
            <w:tcW w:w="5492" w:type="dxa"/>
            <w:vAlign w:val="center"/>
          </w:tcPr>
          <w:p w14:paraId="00000128"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 xml:space="preserve">What was the aim/rationale? What was discussed? What decisions were made, if any? </w:t>
            </w:r>
          </w:p>
          <w:p w14:paraId="00000129"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How did this contribute to or was captured in the design of the project?</w:t>
            </w:r>
          </w:p>
          <w:p w14:paraId="0000012A"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How were the contributions of men and women captured, consistent with Gender Action Plan?</w:t>
            </w:r>
          </w:p>
          <w:p w14:paraId="0000012B"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 xml:space="preserve">If/how do they want to be engaged during the implementation phase? </w:t>
            </w:r>
          </w:p>
          <w:p w14:paraId="0000012C" w14:textId="77777777" w:rsidR="00AC2A5E" w:rsidRDefault="00AC2A5E">
            <w:pPr>
              <w:pBdr>
                <w:top w:val="nil"/>
                <w:left w:val="nil"/>
                <w:bottom w:val="nil"/>
                <w:right w:val="nil"/>
                <w:between w:val="nil"/>
              </w:pBdr>
              <w:rPr>
                <w:rFonts w:ascii="Calibri" w:eastAsia="Calibri" w:hAnsi="Calibri" w:cs="Calibri"/>
                <w:i/>
                <w:color w:val="000000"/>
                <w:sz w:val="20"/>
                <w:szCs w:val="20"/>
              </w:rPr>
            </w:pPr>
          </w:p>
        </w:tc>
      </w:tr>
      <w:tr w:rsidR="00AC2A5E" w14:paraId="22B8605B" w14:textId="77777777">
        <w:trPr>
          <w:trHeight w:val="1296"/>
        </w:trPr>
        <w:tc>
          <w:tcPr>
            <w:tcW w:w="2190" w:type="dxa"/>
            <w:vAlign w:val="center"/>
          </w:tcPr>
          <w:p w14:paraId="0000012D" w14:textId="77777777" w:rsidR="00AC2A5E" w:rsidRDefault="009549BA">
            <w:pPr>
              <w:pBdr>
                <w:top w:val="nil"/>
                <w:left w:val="nil"/>
                <w:bottom w:val="nil"/>
                <w:right w:val="nil"/>
                <w:between w:val="nil"/>
              </w:pBdr>
              <w:spacing w:before="120" w:after="120"/>
              <w:rPr>
                <w:rFonts w:ascii="Calibri" w:eastAsia="Calibri" w:hAnsi="Calibri" w:cs="Calibri"/>
                <w:b/>
                <w:color w:val="000000"/>
              </w:rPr>
            </w:pPr>
            <w:r>
              <w:rPr>
                <w:rFonts w:ascii="Calibri" w:eastAsia="Calibri" w:hAnsi="Calibri" w:cs="Calibri"/>
                <w:b/>
                <w:color w:val="000000"/>
              </w:rPr>
              <w:t>Fundo Vale</w:t>
            </w:r>
          </w:p>
          <w:p w14:paraId="0000012E"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(private sector)</w:t>
            </w:r>
          </w:p>
        </w:tc>
        <w:tc>
          <w:tcPr>
            <w:tcW w:w="2308" w:type="dxa"/>
            <w:vAlign w:val="center"/>
          </w:tcPr>
          <w:p w14:paraId="0000012F"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Online interview conducted on (27/03/2024) using Google Meet. Notes were captured during the meeting with consent.</w:t>
            </w:r>
          </w:p>
        </w:tc>
        <w:tc>
          <w:tcPr>
            <w:tcW w:w="5492" w:type="dxa"/>
            <w:vAlign w:val="center"/>
          </w:tcPr>
          <w:p w14:paraId="00000130"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Vale is Brazil's largest mining company and as part of the company's sustainability mission, it manages various initiatives that contribute to PLANAVEG. One of the initiatives is the “</w:t>
            </w:r>
            <w:proofErr w:type="spellStart"/>
            <w:r>
              <w:rPr>
                <w:rFonts w:ascii="Calibri" w:eastAsia="Calibri" w:hAnsi="Calibri" w:cs="Calibri"/>
                <w:color w:val="000000"/>
              </w:rPr>
              <w:t>Reserva</w:t>
            </w:r>
            <w:proofErr w:type="spellEnd"/>
            <w:r>
              <w:rPr>
                <w:rFonts w:ascii="Calibri" w:eastAsia="Calibri" w:hAnsi="Calibri" w:cs="Calibri"/>
                <w:color w:val="000000"/>
              </w:rPr>
              <w:t xml:space="preserve"> Natural Vale” (or RNV) with 23,000 hectares focused on research with the potential to produce 5 million seedlings per year, one of the largest seedling producing areas in Latin America. RNV assists farmers in restoring riparian areas and forest reserves through “</w:t>
            </w:r>
            <w:proofErr w:type="spellStart"/>
            <w:r>
              <w:rPr>
                <w:rFonts w:ascii="Calibri" w:eastAsia="Calibri" w:hAnsi="Calibri" w:cs="Calibri"/>
                <w:color w:val="000000"/>
              </w:rPr>
              <w:t>Programa</w:t>
            </w:r>
            <w:proofErr w:type="spellEnd"/>
            <w:r>
              <w:rPr>
                <w:rFonts w:ascii="Calibri" w:eastAsia="Calibri" w:hAnsi="Calibri" w:cs="Calibri"/>
                <w:color w:val="000000"/>
              </w:rPr>
              <w:t xml:space="preserve"> </w:t>
            </w:r>
            <w:proofErr w:type="spellStart"/>
            <w:r>
              <w:rPr>
                <w:rFonts w:ascii="Calibri" w:eastAsia="Calibri" w:hAnsi="Calibri" w:cs="Calibri"/>
                <w:color w:val="000000"/>
              </w:rPr>
              <w:t>Reflorestar</w:t>
            </w:r>
            <w:proofErr w:type="spellEnd"/>
            <w:r>
              <w:rPr>
                <w:rFonts w:ascii="Calibri" w:eastAsia="Calibri" w:hAnsi="Calibri" w:cs="Calibri"/>
                <w:color w:val="000000"/>
              </w:rPr>
              <w:t>” of the Espirito Santo to help implement the Brazilian Forest Code by providing free seeds and seedlings as well as Technical Assistance (TA).</w:t>
            </w:r>
          </w:p>
          <w:p w14:paraId="00000131"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According to the stakeholder, the main challenges to scaling up restoration initiatives in Brazil are difficult communicating the program benefits to a wider audience and low willingness to accept from farmers to restore natural ecosystems that have no revenue possibilities. </w:t>
            </w:r>
          </w:p>
          <w:p w14:paraId="00000132"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Vale has multiple initiatives that can potentially collaborate with Restaura Biomas, including Instituto Ambiental Vale, Fundo Vale, and Biomas. The stakeholder believes that Restaura Biomas could support RNV through strengthening restoration networks, improving policy coherence, and removing barriers such as government taxes inside natural reserves.</w:t>
            </w:r>
          </w:p>
        </w:tc>
      </w:tr>
      <w:tr w:rsidR="00AC2A5E" w14:paraId="1655502A" w14:textId="77777777">
        <w:trPr>
          <w:trHeight w:val="1296"/>
        </w:trPr>
        <w:tc>
          <w:tcPr>
            <w:tcW w:w="2190" w:type="dxa"/>
            <w:vAlign w:val="center"/>
          </w:tcPr>
          <w:p w14:paraId="00000133" w14:textId="77777777" w:rsidR="00AC2A5E" w:rsidRPr="00627964" w:rsidRDefault="009549BA">
            <w:pPr>
              <w:pBdr>
                <w:top w:val="nil"/>
                <w:left w:val="nil"/>
                <w:bottom w:val="nil"/>
                <w:right w:val="nil"/>
                <w:between w:val="nil"/>
              </w:pBdr>
              <w:spacing w:before="120" w:after="120"/>
              <w:rPr>
                <w:rFonts w:ascii="Calibri" w:eastAsia="Calibri" w:hAnsi="Calibri" w:cs="Calibri"/>
                <w:b/>
                <w:color w:val="000000"/>
                <w:lang w:val="pt-BR"/>
              </w:rPr>
            </w:pPr>
            <w:r w:rsidRPr="00627964">
              <w:rPr>
                <w:rFonts w:ascii="Calibri" w:eastAsia="Calibri" w:hAnsi="Calibri" w:cs="Calibri"/>
                <w:b/>
                <w:color w:val="000000"/>
                <w:lang w:val="pt-BR"/>
              </w:rPr>
              <w:t>Fundo JBS pela Amazônia</w:t>
            </w:r>
          </w:p>
          <w:p w14:paraId="00000134" w14:textId="77777777" w:rsidR="00AC2A5E" w:rsidRPr="00627964" w:rsidRDefault="009549BA">
            <w:pPr>
              <w:pBdr>
                <w:top w:val="nil"/>
                <w:left w:val="nil"/>
                <w:bottom w:val="nil"/>
                <w:right w:val="nil"/>
                <w:between w:val="nil"/>
              </w:pBdr>
              <w:spacing w:before="120" w:after="120"/>
              <w:rPr>
                <w:rFonts w:ascii="Calibri" w:eastAsia="Calibri" w:hAnsi="Calibri" w:cs="Calibri"/>
                <w:color w:val="000000"/>
                <w:lang w:val="pt-BR"/>
              </w:rPr>
            </w:pPr>
            <w:r w:rsidRPr="00627964">
              <w:rPr>
                <w:rFonts w:ascii="Calibri" w:eastAsia="Calibri" w:hAnsi="Calibri" w:cs="Calibri"/>
                <w:color w:val="000000"/>
                <w:highlight w:val="white"/>
                <w:lang w:val="pt-BR"/>
              </w:rPr>
              <w:t>(</w:t>
            </w:r>
            <w:proofErr w:type="spellStart"/>
            <w:r w:rsidRPr="00627964">
              <w:rPr>
                <w:rFonts w:ascii="Calibri" w:eastAsia="Calibri" w:hAnsi="Calibri" w:cs="Calibri"/>
                <w:color w:val="000000"/>
                <w:highlight w:val="white"/>
                <w:lang w:val="pt-BR"/>
              </w:rPr>
              <w:t>impact</w:t>
            </w:r>
            <w:proofErr w:type="spellEnd"/>
            <w:r w:rsidRPr="00627964">
              <w:rPr>
                <w:rFonts w:ascii="Calibri" w:eastAsia="Calibri" w:hAnsi="Calibri" w:cs="Calibri"/>
                <w:color w:val="000000"/>
                <w:highlight w:val="white"/>
                <w:lang w:val="pt-BR"/>
              </w:rPr>
              <w:t xml:space="preserve"> </w:t>
            </w:r>
            <w:proofErr w:type="spellStart"/>
            <w:r w:rsidRPr="00627964">
              <w:rPr>
                <w:rFonts w:ascii="Calibri" w:eastAsia="Calibri" w:hAnsi="Calibri" w:cs="Calibri"/>
                <w:color w:val="000000"/>
                <w:highlight w:val="white"/>
                <w:lang w:val="pt-BR"/>
              </w:rPr>
              <w:t>investors</w:t>
            </w:r>
            <w:proofErr w:type="spellEnd"/>
            <w:r w:rsidRPr="00627964">
              <w:rPr>
                <w:rFonts w:ascii="Calibri" w:eastAsia="Calibri" w:hAnsi="Calibri" w:cs="Calibri"/>
                <w:color w:val="000000"/>
                <w:highlight w:val="white"/>
                <w:lang w:val="pt-BR"/>
              </w:rPr>
              <w:t>)</w:t>
            </w:r>
          </w:p>
        </w:tc>
        <w:tc>
          <w:tcPr>
            <w:tcW w:w="2308" w:type="dxa"/>
            <w:vAlign w:val="center"/>
          </w:tcPr>
          <w:p w14:paraId="00000135"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Online interview conducted on (15/03/2024) using Google Meet. Notes were captured during the meeting with consent.</w:t>
            </w:r>
          </w:p>
        </w:tc>
        <w:tc>
          <w:tcPr>
            <w:tcW w:w="5492" w:type="dxa"/>
            <w:vAlign w:val="center"/>
          </w:tcPr>
          <w:p w14:paraId="00000136"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Fundo JBS works mostly with small cattle ranching farmers through grants and concessional finance to restore degraded areas and generate economic value for standing forests. Since 2021, Fundo Vale has financed 20 projects with R$ 72 million in finance, impacting over 6,500 families and with 8.3 million hectares under forest conservation or under management/ restoration. </w:t>
            </w:r>
          </w:p>
          <w:p w14:paraId="00000137"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The stakeholder’s main recommendations for Restaura </w:t>
            </w:r>
            <w:r>
              <w:rPr>
                <w:rFonts w:ascii="Calibri" w:eastAsia="Calibri" w:hAnsi="Calibri" w:cs="Calibri"/>
                <w:color w:val="000000"/>
              </w:rPr>
              <w:lastRenderedPageBreak/>
              <w:t>Biomas include the following:</w:t>
            </w:r>
          </w:p>
          <w:p w14:paraId="00000138" w14:textId="77777777" w:rsidR="00AC2A5E" w:rsidRDefault="009549BA">
            <w:pPr>
              <w:numPr>
                <w:ilvl w:val="0"/>
                <w:numId w:val="1"/>
              </w:numPr>
              <w:pBdr>
                <w:top w:val="nil"/>
                <w:left w:val="nil"/>
                <w:bottom w:val="nil"/>
                <w:right w:val="nil"/>
                <w:between w:val="nil"/>
              </w:pBdr>
              <w:spacing w:before="120"/>
              <w:rPr>
                <w:rFonts w:ascii="Calibri" w:eastAsia="Calibri" w:hAnsi="Calibri" w:cs="Calibri"/>
                <w:color w:val="000000"/>
              </w:rPr>
            </w:pPr>
            <w:r>
              <w:rPr>
                <w:rFonts w:ascii="Calibri" w:eastAsia="Calibri" w:hAnsi="Calibri" w:cs="Calibri"/>
                <w:color w:val="000000"/>
              </w:rPr>
              <w:t>Increase the amount of available finance for entrepreneurs interested in restoring natural forests because much of the available finance for agriculture is has too short of a payback period and is only for low risk projects. This could be done by creating financial credit lines with lower interest rates or longer grace periods for cattle ranching/pasture management activities on farmers  who are also restoring forest liabilities for Brazilian Forest Code Compliance or who are developing agroforestry or NTFPs in their existing Legal Reserves</w:t>
            </w:r>
          </w:p>
          <w:p w14:paraId="00000139" w14:textId="77777777" w:rsidR="00AC2A5E" w:rsidRDefault="009549BA">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Create “Guarantee Funds” that reduce the financial risk for farmers/entrepreneurs to participate in ecosystem restoration</w:t>
            </w:r>
          </w:p>
          <w:p w14:paraId="0000013A" w14:textId="77777777" w:rsidR="00AC2A5E" w:rsidRDefault="009549BA">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Facilitate access to markets by creating processing plants for NTFPs and “bioeconomy” products (e.g. nuts, açaí, and cocoa)</w:t>
            </w:r>
          </w:p>
          <w:p w14:paraId="0000013B" w14:textId="77777777" w:rsidR="00AC2A5E" w:rsidRDefault="009549BA">
            <w:pPr>
              <w:numPr>
                <w:ilvl w:val="0"/>
                <w:numId w:val="1"/>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 xml:space="preserve">Foster R&amp;D to genetic improvement on native species in the Amazon that are more resilient to climate shocks (fires, droughts etc). </w:t>
            </w:r>
          </w:p>
          <w:p w14:paraId="0000013C"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Fundo JBS encourages projects to combine investments in conventional cattle ranching with forest restoration. Restaura Biomas could provide finance and technical assistance to cattle ranchers on sustainable farming techniques and land management practices.    </w:t>
            </w:r>
          </w:p>
        </w:tc>
      </w:tr>
      <w:tr w:rsidR="00AC2A5E" w14:paraId="61F10B36" w14:textId="77777777">
        <w:trPr>
          <w:trHeight w:val="1296"/>
        </w:trPr>
        <w:tc>
          <w:tcPr>
            <w:tcW w:w="2190" w:type="dxa"/>
            <w:vAlign w:val="center"/>
          </w:tcPr>
          <w:p w14:paraId="0000013D" w14:textId="77777777" w:rsidR="00AC2A5E" w:rsidRDefault="009549BA">
            <w:pPr>
              <w:pBdr>
                <w:top w:val="nil"/>
                <w:left w:val="nil"/>
                <w:bottom w:val="nil"/>
                <w:right w:val="nil"/>
                <w:between w:val="nil"/>
              </w:pBdr>
              <w:rPr>
                <w:rFonts w:ascii="Calibri" w:eastAsia="Calibri" w:hAnsi="Calibri" w:cs="Calibri"/>
                <w:b/>
                <w:color w:val="000000"/>
              </w:rPr>
            </w:pPr>
            <w:proofErr w:type="spellStart"/>
            <w:r>
              <w:rPr>
                <w:rFonts w:ascii="Calibri" w:eastAsia="Calibri" w:hAnsi="Calibri" w:cs="Calibri"/>
                <w:b/>
                <w:color w:val="000000"/>
              </w:rPr>
              <w:lastRenderedPageBreak/>
              <w:t>Ymbu</w:t>
            </w:r>
            <w:proofErr w:type="spellEnd"/>
            <w:r>
              <w:rPr>
                <w:rFonts w:ascii="Calibri" w:eastAsia="Calibri" w:hAnsi="Calibri" w:cs="Calibri"/>
                <w:b/>
                <w:color w:val="000000"/>
              </w:rPr>
              <w:t xml:space="preserve"> Agroflorestal</w:t>
            </w:r>
          </w:p>
          <w:p w14:paraId="0000013E" w14:textId="77777777" w:rsidR="00AC2A5E" w:rsidRDefault="00AC2A5E">
            <w:pPr>
              <w:pBdr>
                <w:top w:val="nil"/>
                <w:left w:val="nil"/>
                <w:bottom w:val="nil"/>
                <w:right w:val="nil"/>
                <w:between w:val="nil"/>
              </w:pBdr>
              <w:rPr>
                <w:rFonts w:ascii="Calibri" w:eastAsia="Calibri" w:hAnsi="Calibri" w:cs="Calibri"/>
                <w:color w:val="000000"/>
              </w:rPr>
            </w:pPr>
          </w:p>
          <w:p w14:paraId="0000013F"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(Company specialized in carbon sales from restoration and agroforestry)</w:t>
            </w:r>
          </w:p>
        </w:tc>
        <w:tc>
          <w:tcPr>
            <w:tcW w:w="2308" w:type="dxa"/>
            <w:vAlign w:val="center"/>
          </w:tcPr>
          <w:p w14:paraId="00000140"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Online interview conducted on (29/04/2024) using Google Meet. Notes were captured during the meeting with consent.</w:t>
            </w:r>
          </w:p>
        </w:tc>
        <w:tc>
          <w:tcPr>
            <w:tcW w:w="5492" w:type="dxa"/>
            <w:vAlign w:val="center"/>
          </w:tcPr>
          <w:p w14:paraId="00000141" w14:textId="77777777" w:rsidR="00AC2A5E" w:rsidRDefault="009549BA">
            <w:pPr>
              <w:pBdr>
                <w:top w:val="nil"/>
                <w:left w:val="nil"/>
                <w:bottom w:val="nil"/>
                <w:right w:val="nil"/>
                <w:between w:val="nil"/>
              </w:pBdr>
              <w:spacing w:before="120" w:after="120"/>
              <w:rPr>
                <w:rFonts w:ascii="Calibri" w:eastAsia="Calibri" w:hAnsi="Calibri" w:cs="Calibri"/>
                <w:color w:val="000000"/>
              </w:rPr>
            </w:pPr>
            <w:proofErr w:type="spellStart"/>
            <w:r>
              <w:rPr>
                <w:rFonts w:ascii="Calibri" w:eastAsia="Calibri" w:hAnsi="Calibri" w:cs="Calibri"/>
                <w:color w:val="000000"/>
              </w:rPr>
              <w:t>Ymbu</w:t>
            </w:r>
            <w:proofErr w:type="spellEnd"/>
            <w:r>
              <w:rPr>
                <w:rFonts w:ascii="Calibri" w:eastAsia="Calibri" w:hAnsi="Calibri" w:cs="Calibri"/>
                <w:color w:val="000000"/>
              </w:rPr>
              <w:t xml:space="preserve"> Agroflorestal is a company located in the municipality of Caridade in the state of Ceará (transition of the Atlantic Forest and Caatinga biomes). The farm has 724 hectares of which 624 are native vegetation restoration for carbon trading (voluntary market) and 100 hectares in agroforestry systems: </w:t>
            </w:r>
            <w:proofErr w:type="spellStart"/>
            <w:r>
              <w:rPr>
                <w:rFonts w:ascii="Calibri" w:eastAsia="Calibri" w:hAnsi="Calibri" w:cs="Calibri"/>
                <w:color w:val="000000"/>
              </w:rPr>
              <w:t>sabiá</w:t>
            </w:r>
            <w:proofErr w:type="spellEnd"/>
            <w:r>
              <w:rPr>
                <w:rFonts w:ascii="Calibri" w:eastAsia="Calibri" w:hAnsi="Calibri" w:cs="Calibri"/>
                <w:color w:val="000000"/>
              </w:rPr>
              <w:t xml:space="preserve">, beans, corn and other species. </w:t>
            </w:r>
          </w:p>
          <w:p w14:paraId="00000142" w14:textId="77777777" w:rsidR="00AC2A5E" w:rsidRDefault="009549BA">
            <w:pPr>
              <w:pBdr>
                <w:top w:val="nil"/>
                <w:left w:val="nil"/>
                <w:bottom w:val="nil"/>
                <w:right w:val="nil"/>
                <w:between w:val="nil"/>
              </w:pBdr>
              <w:spacing w:before="120" w:after="120"/>
              <w:rPr>
                <w:rFonts w:ascii="Calibri" w:eastAsia="Calibri" w:hAnsi="Calibri" w:cs="Calibri"/>
                <w:color w:val="000000"/>
              </w:rPr>
            </w:pPr>
            <w:proofErr w:type="spellStart"/>
            <w:r>
              <w:rPr>
                <w:rFonts w:ascii="Calibri" w:eastAsia="Calibri" w:hAnsi="Calibri" w:cs="Calibri"/>
                <w:color w:val="000000"/>
              </w:rPr>
              <w:t>Ymbu</w:t>
            </w:r>
            <w:proofErr w:type="spellEnd"/>
            <w:r>
              <w:rPr>
                <w:rFonts w:ascii="Calibri" w:eastAsia="Calibri" w:hAnsi="Calibri" w:cs="Calibri"/>
                <w:color w:val="000000"/>
              </w:rPr>
              <w:t xml:space="preserve"> Agroflorestal identified the biggest operational risks for a restoration project as extreme weather events (droughts and wildfires) and variations in carbon credit prices. </w:t>
            </w:r>
          </w:p>
          <w:p w14:paraId="00000143"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The Restaura Biomas project could support regulations of the carbon credit market in Brazil, which in turn can create the necessary conditions for demand growth as well as higher carbon prices for </w:t>
            </w:r>
            <w:proofErr w:type="spellStart"/>
            <w:r>
              <w:rPr>
                <w:rFonts w:ascii="Calibri" w:eastAsia="Calibri" w:hAnsi="Calibri" w:cs="Calibri"/>
                <w:color w:val="000000"/>
              </w:rPr>
              <w:t>Ymbu</w:t>
            </w:r>
            <w:proofErr w:type="spellEnd"/>
            <w:r>
              <w:rPr>
                <w:rFonts w:ascii="Calibri" w:eastAsia="Calibri" w:hAnsi="Calibri" w:cs="Calibri"/>
                <w:color w:val="000000"/>
              </w:rPr>
              <w:t xml:space="preserve">. </w:t>
            </w:r>
          </w:p>
        </w:tc>
      </w:tr>
      <w:tr w:rsidR="00AC2A5E" w14:paraId="7747FA0B" w14:textId="77777777">
        <w:trPr>
          <w:trHeight w:val="1296"/>
        </w:trPr>
        <w:tc>
          <w:tcPr>
            <w:tcW w:w="2190" w:type="dxa"/>
            <w:vAlign w:val="center"/>
          </w:tcPr>
          <w:p w14:paraId="00000144" w14:textId="77777777" w:rsidR="00AC2A5E" w:rsidRDefault="009549BA">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Amazon Environmental Research Institute (IPAM)</w:t>
            </w:r>
          </w:p>
          <w:p w14:paraId="00000145" w14:textId="77777777" w:rsidR="00AC2A5E" w:rsidRDefault="00AC2A5E">
            <w:pPr>
              <w:pBdr>
                <w:top w:val="nil"/>
                <w:left w:val="nil"/>
                <w:bottom w:val="nil"/>
                <w:right w:val="nil"/>
                <w:between w:val="nil"/>
              </w:pBdr>
              <w:rPr>
                <w:rFonts w:ascii="Calibri" w:eastAsia="Calibri" w:hAnsi="Calibri" w:cs="Calibri"/>
                <w:color w:val="000000"/>
              </w:rPr>
            </w:pPr>
          </w:p>
          <w:p w14:paraId="00000146"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(Research Institute with restoration </w:t>
            </w:r>
            <w:r>
              <w:rPr>
                <w:rFonts w:ascii="Calibri" w:eastAsia="Calibri" w:hAnsi="Calibri" w:cs="Calibri"/>
                <w:color w:val="000000"/>
              </w:rPr>
              <w:lastRenderedPageBreak/>
              <w:t>projects)</w:t>
            </w:r>
          </w:p>
        </w:tc>
        <w:tc>
          <w:tcPr>
            <w:tcW w:w="2308" w:type="dxa"/>
            <w:vAlign w:val="center"/>
          </w:tcPr>
          <w:p w14:paraId="00000147"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lastRenderedPageBreak/>
              <w:t xml:space="preserve">Online interview conducted on (26/04/2024) using Google Meet. Notes were captured during the meeting with </w:t>
            </w:r>
            <w:r>
              <w:rPr>
                <w:rFonts w:ascii="Calibri" w:eastAsia="Calibri" w:hAnsi="Calibri" w:cs="Calibri"/>
                <w:color w:val="000000"/>
              </w:rPr>
              <w:lastRenderedPageBreak/>
              <w:t>consent.</w:t>
            </w:r>
          </w:p>
        </w:tc>
        <w:tc>
          <w:tcPr>
            <w:tcW w:w="5492" w:type="dxa"/>
            <w:vAlign w:val="center"/>
          </w:tcPr>
          <w:p w14:paraId="00000148"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lastRenderedPageBreak/>
              <w:t xml:space="preserve">IPAM is a research institute specialized in the Amazon biome of Brazil. In Mato Grosso state, IPAM has a project financed by the Soft Commodities Coalition (SCF), Consumer Goods Forum (CGF), and the Land Innovation Fund (LIF) from Cargill. The project aims to restore 135 hectares of riparian areas with smallholder farmers in soybean-producing regions (municipalities of Tangará da </w:t>
            </w:r>
            <w:r>
              <w:rPr>
                <w:rFonts w:ascii="Calibri" w:eastAsia="Calibri" w:hAnsi="Calibri" w:cs="Calibri"/>
                <w:color w:val="000000"/>
              </w:rPr>
              <w:lastRenderedPageBreak/>
              <w:t xml:space="preserve">Serra, Campos de Julio, </w:t>
            </w:r>
            <w:proofErr w:type="spellStart"/>
            <w:r>
              <w:rPr>
                <w:rFonts w:ascii="Calibri" w:eastAsia="Calibri" w:hAnsi="Calibri" w:cs="Calibri"/>
                <w:color w:val="000000"/>
              </w:rPr>
              <w:t>Sapezal</w:t>
            </w:r>
            <w:proofErr w:type="spellEnd"/>
            <w:r>
              <w:rPr>
                <w:rFonts w:ascii="Calibri" w:eastAsia="Calibri" w:hAnsi="Calibri" w:cs="Calibri"/>
                <w:color w:val="000000"/>
              </w:rPr>
              <w:t xml:space="preserve">, Alto </w:t>
            </w:r>
            <w:proofErr w:type="spellStart"/>
            <w:r>
              <w:rPr>
                <w:rFonts w:ascii="Calibri" w:eastAsia="Calibri" w:hAnsi="Calibri" w:cs="Calibri"/>
                <w:color w:val="000000"/>
              </w:rPr>
              <w:t>Paraguai</w:t>
            </w:r>
            <w:proofErr w:type="spellEnd"/>
            <w:r>
              <w:rPr>
                <w:rFonts w:ascii="Calibri" w:eastAsia="Calibri" w:hAnsi="Calibri" w:cs="Calibri"/>
                <w:color w:val="000000"/>
              </w:rPr>
              <w:t xml:space="preserve">, Diamantino and Campo Novo do </w:t>
            </w:r>
            <w:proofErr w:type="spellStart"/>
            <w:r>
              <w:rPr>
                <w:rFonts w:ascii="Calibri" w:eastAsia="Calibri" w:hAnsi="Calibri" w:cs="Calibri"/>
                <w:color w:val="000000"/>
              </w:rPr>
              <w:t>Parecis</w:t>
            </w:r>
            <w:proofErr w:type="spellEnd"/>
            <w:r>
              <w:rPr>
                <w:rFonts w:ascii="Calibri" w:eastAsia="Calibri" w:hAnsi="Calibri" w:cs="Calibri"/>
                <w:color w:val="000000"/>
              </w:rPr>
              <w:t xml:space="preserve">). </w:t>
            </w:r>
          </w:p>
          <w:p w14:paraId="00000149"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The main challenges this project faces are (</w:t>
            </w:r>
            <w:proofErr w:type="spellStart"/>
            <w:r>
              <w:rPr>
                <w:rFonts w:ascii="Calibri" w:eastAsia="Calibri" w:hAnsi="Calibri" w:cs="Calibri"/>
                <w:color w:val="000000"/>
              </w:rPr>
              <w:t>i</w:t>
            </w:r>
            <w:proofErr w:type="spellEnd"/>
            <w:r>
              <w:rPr>
                <w:rFonts w:ascii="Calibri" w:eastAsia="Calibri" w:hAnsi="Calibri" w:cs="Calibri"/>
                <w:color w:val="000000"/>
              </w:rPr>
              <w:t xml:space="preserve">) the high cost of restoration, (ii) identifying farmers who are willing to restore forests in areas that could be used for soybean production (given high price they can receive for commodity production) and (iii) resistance from farmers to working with NGOs (especially those using international finance). </w:t>
            </w:r>
          </w:p>
          <w:p w14:paraId="0000014A"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Restaura Biomas has the potential to support restoration efforts in Mato Grosso and make restoration more economically viable, especially in soy-producing municipalities. This can be done by facilitating compliance with the Forest Code, strengthening restoration supply chains, and developing revenue streams from restoration initiatives through carbon and PES. </w:t>
            </w:r>
          </w:p>
        </w:tc>
      </w:tr>
      <w:tr w:rsidR="00AC2A5E" w14:paraId="1F5079A0" w14:textId="77777777">
        <w:trPr>
          <w:trHeight w:val="1296"/>
        </w:trPr>
        <w:tc>
          <w:tcPr>
            <w:tcW w:w="2190" w:type="dxa"/>
            <w:vAlign w:val="center"/>
          </w:tcPr>
          <w:p w14:paraId="0000014B" w14:textId="77777777" w:rsidR="00AC2A5E" w:rsidRDefault="009549BA">
            <w:pPr>
              <w:pBdr>
                <w:top w:val="nil"/>
                <w:left w:val="nil"/>
                <w:bottom w:val="nil"/>
                <w:right w:val="nil"/>
                <w:between w:val="nil"/>
              </w:pBdr>
              <w:spacing w:before="240" w:after="240"/>
              <w:rPr>
                <w:rFonts w:ascii="Calibri" w:eastAsia="Calibri" w:hAnsi="Calibri" w:cs="Calibri"/>
                <w:b/>
                <w:color w:val="000000"/>
              </w:rPr>
            </w:pPr>
            <w:r>
              <w:rPr>
                <w:rFonts w:ascii="Calibri" w:eastAsia="Calibri" w:hAnsi="Calibri" w:cs="Calibri"/>
                <w:b/>
                <w:color w:val="000000"/>
              </w:rPr>
              <w:lastRenderedPageBreak/>
              <w:t xml:space="preserve">Fazenda São Nicolau - ONF </w:t>
            </w:r>
            <w:proofErr w:type="spellStart"/>
            <w:r>
              <w:rPr>
                <w:rFonts w:ascii="Calibri" w:eastAsia="Calibri" w:hAnsi="Calibri" w:cs="Calibri"/>
                <w:b/>
                <w:color w:val="000000"/>
              </w:rPr>
              <w:t>Brasil</w:t>
            </w:r>
            <w:proofErr w:type="spellEnd"/>
          </w:p>
          <w:p w14:paraId="0000014C"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(farm focused on long-term carbon research from restoration and conservation species)</w:t>
            </w:r>
          </w:p>
        </w:tc>
        <w:tc>
          <w:tcPr>
            <w:tcW w:w="2308" w:type="dxa"/>
            <w:vAlign w:val="center"/>
          </w:tcPr>
          <w:p w14:paraId="0000014D"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Online interview conducted on (03/05/2024) using Google Meet. Notes were captured during the meeting with consent.</w:t>
            </w:r>
          </w:p>
        </w:tc>
        <w:tc>
          <w:tcPr>
            <w:tcW w:w="5492" w:type="dxa"/>
            <w:vAlign w:val="center"/>
          </w:tcPr>
          <w:p w14:paraId="0000014E" w14:textId="77777777" w:rsidR="00AC2A5E" w:rsidRDefault="009549BA">
            <w:pPr>
              <w:pBdr>
                <w:top w:val="nil"/>
                <w:left w:val="nil"/>
                <w:bottom w:val="nil"/>
                <w:right w:val="nil"/>
                <w:between w:val="nil"/>
              </w:pBdr>
              <w:spacing w:before="240" w:after="240"/>
              <w:rPr>
                <w:rFonts w:ascii="Calibri" w:eastAsia="Calibri" w:hAnsi="Calibri" w:cs="Calibri"/>
                <w:color w:val="000000"/>
              </w:rPr>
            </w:pPr>
            <w:r>
              <w:rPr>
                <w:rFonts w:ascii="Calibri" w:eastAsia="Calibri" w:hAnsi="Calibri" w:cs="Calibri"/>
                <w:color w:val="000000"/>
              </w:rPr>
              <w:t xml:space="preserve">ONF </w:t>
            </w:r>
            <w:proofErr w:type="spellStart"/>
            <w:r>
              <w:rPr>
                <w:rFonts w:ascii="Calibri" w:eastAsia="Calibri" w:hAnsi="Calibri" w:cs="Calibri"/>
                <w:color w:val="000000"/>
              </w:rPr>
              <w:t>Brasil</w:t>
            </w:r>
            <w:proofErr w:type="spellEnd"/>
            <w:r>
              <w:rPr>
                <w:rFonts w:ascii="Calibri" w:eastAsia="Calibri" w:hAnsi="Calibri" w:cs="Calibri"/>
                <w:color w:val="000000"/>
              </w:rPr>
              <w:t xml:space="preserve"> represents the French state-owned Office National des </w:t>
            </w:r>
            <w:proofErr w:type="spellStart"/>
            <w:r>
              <w:rPr>
                <w:rFonts w:ascii="Calibri" w:eastAsia="Calibri" w:hAnsi="Calibri" w:cs="Calibri"/>
                <w:color w:val="000000"/>
              </w:rPr>
              <w:t>Forêts</w:t>
            </w:r>
            <w:proofErr w:type="spellEnd"/>
            <w:r>
              <w:rPr>
                <w:rFonts w:ascii="Calibri" w:eastAsia="Calibri" w:hAnsi="Calibri" w:cs="Calibri"/>
                <w:color w:val="000000"/>
              </w:rPr>
              <w:t xml:space="preserve"> (National Forest Office) in Brazil. ONF </w:t>
            </w:r>
            <w:proofErr w:type="spellStart"/>
            <w:r>
              <w:rPr>
                <w:rFonts w:ascii="Calibri" w:eastAsia="Calibri" w:hAnsi="Calibri" w:cs="Calibri"/>
                <w:color w:val="000000"/>
              </w:rPr>
              <w:t>Brasil</w:t>
            </w:r>
            <w:proofErr w:type="spellEnd"/>
            <w:r>
              <w:rPr>
                <w:rFonts w:ascii="Calibri" w:eastAsia="Calibri" w:hAnsi="Calibri" w:cs="Calibri"/>
                <w:color w:val="000000"/>
              </w:rPr>
              <w:t xml:space="preserve"> has a 10,000-hectare farm known as “Fazenda São Nicolau” in the municipality of </w:t>
            </w:r>
            <w:proofErr w:type="spellStart"/>
            <w:r>
              <w:rPr>
                <w:rFonts w:ascii="Calibri" w:eastAsia="Calibri" w:hAnsi="Calibri" w:cs="Calibri"/>
                <w:color w:val="000000"/>
              </w:rPr>
              <w:t>Cotriguaçú</w:t>
            </w:r>
            <w:proofErr w:type="spellEnd"/>
            <w:r>
              <w:rPr>
                <w:rFonts w:ascii="Calibri" w:eastAsia="Calibri" w:hAnsi="Calibri" w:cs="Calibri"/>
                <w:color w:val="000000"/>
              </w:rPr>
              <w:t xml:space="preserve">, Mato Grosso state (Amazon biome). The farm has its own seedling nursery and also provides technical assistance for tree planting. </w:t>
            </w:r>
          </w:p>
          <w:p w14:paraId="0000014F" w14:textId="77777777" w:rsidR="00AC2A5E" w:rsidRDefault="009549BA">
            <w:pPr>
              <w:pBdr>
                <w:top w:val="nil"/>
                <w:left w:val="nil"/>
                <w:bottom w:val="nil"/>
                <w:right w:val="nil"/>
                <w:between w:val="nil"/>
              </w:pBdr>
              <w:spacing w:before="240" w:after="240"/>
              <w:rPr>
                <w:rFonts w:ascii="Calibri" w:eastAsia="Calibri" w:hAnsi="Calibri" w:cs="Calibri"/>
                <w:color w:val="000000"/>
              </w:rPr>
            </w:pPr>
            <w:r>
              <w:rPr>
                <w:rFonts w:ascii="Calibri" w:eastAsia="Calibri" w:hAnsi="Calibri" w:cs="Calibri"/>
                <w:color w:val="000000"/>
              </w:rPr>
              <w:t xml:space="preserve">Studies and scientific publications from the Fazenda São Nicolau project found that out of the 50 native species planted, 30 species have restoration resilience and 16 have very good restoration resilience, the main ones being </w:t>
            </w:r>
            <w:proofErr w:type="spellStart"/>
            <w:r>
              <w:rPr>
                <w:rFonts w:ascii="Calibri" w:eastAsia="Calibri" w:hAnsi="Calibri" w:cs="Calibri"/>
                <w:color w:val="000000"/>
              </w:rPr>
              <w:t>Jatoba</w:t>
            </w:r>
            <w:proofErr w:type="spellEnd"/>
            <w:r>
              <w:rPr>
                <w:rFonts w:ascii="Calibri" w:eastAsia="Calibri" w:hAnsi="Calibri" w:cs="Calibri"/>
                <w:color w:val="000000"/>
              </w:rPr>
              <w:t xml:space="preserve">, Andiroba, </w:t>
            </w:r>
            <w:proofErr w:type="spellStart"/>
            <w:r>
              <w:rPr>
                <w:rFonts w:ascii="Calibri" w:eastAsia="Calibri" w:hAnsi="Calibri" w:cs="Calibri"/>
                <w:color w:val="000000"/>
              </w:rPr>
              <w:t>Jenipapa</w:t>
            </w:r>
            <w:proofErr w:type="spellEnd"/>
            <w:r>
              <w:rPr>
                <w:rFonts w:ascii="Calibri" w:eastAsia="Calibri" w:hAnsi="Calibri" w:cs="Calibri"/>
                <w:color w:val="000000"/>
              </w:rPr>
              <w:t xml:space="preserve">, </w:t>
            </w:r>
            <w:proofErr w:type="spellStart"/>
            <w:r>
              <w:rPr>
                <w:rFonts w:ascii="Calibri" w:eastAsia="Calibri" w:hAnsi="Calibri" w:cs="Calibri"/>
                <w:color w:val="000000"/>
              </w:rPr>
              <w:t>Ingá</w:t>
            </w:r>
            <w:proofErr w:type="spellEnd"/>
            <w:r>
              <w:rPr>
                <w:rFonts w:ascii="Calibri" w:eastAsia="Calibri" w:hAnsi="Calibri" w:cs="Calibri"/>
                <w:color w:val="000000"/>
              </w:rPr>
              <w:t xml:space="preserve">, </w:t>
            </w:r>
            <w:proofErr w:type="spellStart"/>
            <w:r>
              <w:rPr>
                <w:rFonts w:ascii="Calibri" w:eastAsia="Calibri" w:hAnsi="Calibri" w:cs="Calibri"/>
                <w:color w:val="000000"/>
              </w:rPr>
              <w:t>Cajú</w:t>
            </w:r>
            <w:proofErr w:type="spellEnd"/>
            <w:r>
              <w:rPr>
                <w:rFonts w:ascii="Calibri" w:eastAsia="Calibri" w:hAnsi="Calibri" w:cs="Calibri"/>
                <w:color w:val="000000"/>
              </w:rPr>
              <w:t xml:space="preserve"> and Mutamba. Teak has the highest carbon sequestration capacity.</w:t>
            </w:r>
          </w:p>
          <w:p w14:paraId="00000150" w14:textId="77777777" w:rsidR="00AC2A5E" w:rsidRDefault="009549BA">
            <w:pPr>
              <w:pBdr>
                <w:top w:val="nil"/>
                <w:left w:val="nil"/>
                <w:bottom w:val="nil"/>
                <w:right w:val="nil"/>
                <w:between w:val="nil"/>
              </w:pBdr>
              <w:spacing w:before="240" w:after="240"/>
              <w:rPr>
                <w:rFonts w:ascii="Calibri" w:eastAsia="Calibri" w:hAnsi="Calibri" w:cs="Calibri"/>
                <w:color w:val="000000"/>
              </w:rPr>
            </w:pPr>
            <w:r>
              <w:rPr>
                <w:rFonts w:ascii="Calibri" w:eastAsia="Calibri" w:hAnsi="Calibri" w:cs="Calibri"/>
                <w:color w:val="000000"/>
              </w:rPr>
              <w:t xml:space="preserve">Potential opportunities for </w:t>
            </w:r>
            <w:proofErr w:type="spellStart"/>
            <w:r>
              <w:rPr>
                <w:rFonts w:ascii="Calibri" w:eastAsia="Calibri" w:hAnsi="Calibri" w:cs="Calibri"/>
                <w:color w:val="000000"/>
              </w:rPr>
              <w:t>Restuara</w:t>
            </w:r>
            <w:proofErr w:type="spellEnd"/>
            <w:r>
              <w:rPr>
                <w:rFonts w:ascii="Calibri" w:eastAsia="Calibri" w:hAnsi="Calibri" w:cs="Calibri"/>
                <w:color w:val="000000"/>
              </w:rPr>
              <w:t xml:space="preserve"> </w:t>
            </w:r>
            <w:proofErr w:type="spellStart"/>
            <w:r>
              <w:rPr>
                <w:rFonts w:ascii="Calibri" w:eastAsia="Calibri" w:hAnsi="Calibri" w:cs="Calibri"/>
                <w:color w:val="000000"/>
              </w:rPr>
              <w:t>Biomas</w:t>
            </w:r>
            <w:proofErr w:type="spellEnd"/>
            <w:r>
              <w:rPr>
                <w:rFonts w:ascii="Calibri" w:eastAsia="Calibri" w:hAnsi="Calibri" w:cs="Calibri"/>
                <w:color w:val="000000"/>
              </w:rPr>
              <w:t xml:space="preserve"> that the stakeholder identified include the following:</w:t>
            </w:r>
          </w:p>
          <w:p w14:paraId="00000151" w14:textId="77777777" w:rsidR="00AC2A5E" w:rsidRDefault="009549BA">
            <w:pPr>
              <w:numPr>
                <w:ilvl w:val="0"/>
                <w:numId w:val="2"/>
              </w:numPr>
              <w:pBdr>
                <w:top w:val="nil"/>
                <w:left w:val="nil"/>
                <w:bottom w:val="nil"/>
                <w:right w:val="nil"/>
                <w:between w:val="nil"/>
              </w:pBdr>
              <w:spacing w:before="240" w:after="200"/>
              <w:rPr>
                <w:rFonts w:ascii="Calibri" w:eastAsia="Calibri" w:hAnsi="Calibri" w:cs="Calibri"/>
                <w:color w:val="000000"/>
              </w:rPr>
            </w:pPr>
            <w:r>
              <w:rPr>
                <w:rFonts w:ascii="Calibri" w:eastAsia="Calibri" w:hAnsi="Calibri" w:cs="Calibri"/>
                <w:color w:val="000000"/>
              </w:rPr>
              <w:t>Support legislation revision to allow the commercialization of native timber species from restoration since the management of native species is currently only permitted in areas of primary vegetation;</w:t>
            </w:r>
          </w:p>
          <w:p w14:paraId="00000152" w14:textId="77777777" w:rsidR="00AC2A5E" w:rsidRDefault="009549BA">
            <w:pPr>
              <w:numPr>
                <w:ilvl w:val="0"/>
                <w:numId w:val="2"/>
              </w:numPr>
              <w:pBdr>
                <w:top w:val="nil"/>
                <w:left w:val="nil"/>
                <w:bottom w:val="nil"/>
                <w:right w:val="nil"/>
                <w:between w:val="nil"/>
              </w:pBdr>
              <w:spacing w:after="200"/>
              <w:rPr>
                <w:rFonts w:ascii="Calibri" w:eastAsia="Calibri" w:hAnsi="Calibri" w:cs="Calibri"/>
                <w:color w:val="000000"/>
              </w:rPr>
            </w:pPr>
            <w:r>
              <w:rPr>
                <w:rFonts w:ascii="Calibri" w:eastAsia="Calibri" w:hAnsi="Calibri" w:cs="Calibri"/>
                <w:color w:val="000000"/>
              </w:rPr>
              <w:t xml:space="preserve">Increase financial credit line accessibility for small farmers interested in restoring native forests and agroecology from Banco do </w:t>
            </w:r>
            <w:proofErr w:type="spellStart"/>
            <w:r>
              <w:rPr>
                <w:rFonts w:ascii="Calibri" w:eastAsia="Calibri" w:hAnsi="Calibri" w:cs="Calibri"/>
                <w:color w:val="000000"/>
              </w:rPr>
              <w:t>Brasil</w:t>
            </w:r>
            <w:proofErr w:type="spellEnd"/>
            <w:r>
              <w:rPr>
                <w:rFonts w:ascii="Calibri" w:eastAsia="Calibri" w:hAnsi="Calibri" w:cs="Calibri"/>
                <w:color w:val="000000"/>
              </w:rPr>
              <w:t>; and</w:t>
            </w:r>
          </w:p>
          <w:p w14:paraId="00000153" w14:textId="77777777" w:rsidR="00AC2A5E" w:rsidRDefault="009549BA">
            <w:pPr>
              <w:numPr>
                <w:ilvl w:val="0"/>
                <w:numId w:val="2"/>
              </w:numPr>
              <w:pBdr>
                <w:top w:val="nil"/>
                <w:left w:val="nil"/>
                <w:bottom w:val="nil"/>
                <w:right w:val="nil"/>
                <w:between w:val="nil"/>
              </w:pBdr>
              <w:spacing w:before="240" w:after="200"/>
              <w:rPr>
                <w:rFonts w:ascii="Calibri" w:eastAsia="Calibri" w:hAnsi="Calibri" w:cs="Calibri"/>
                <w:color w:val="000000"/>
              </w:rPr>
            </w:pPr>
            <w:r>
              <w:rPr>
                <w:rFonts w:ascii="Calibri" w:eastAsia="Calibri" w:hAnsi="Calibri" w:cs="Calibri"/>
                <w:color w:val="000000"/>
              </w:rPr>
              <w:t xml:space="preserve">Provide capacity building for intermediate staff that normally work with Forest Engineers (who develop the projects) and technicians who plant the trees. Project Coordinators are responsible for project administration and logistics and are in high demand in </w:t>
            </w:r>
            <w:proofErr w:type="spellStart"/>
            <w:r>
              <w:rPr>
                <w:rFonts w:ascii="Calibri" w:eastAsia="Calibri" w:hAnsi="Calibri" w:cs="Calibri"/>
                <w:color w:val="000000"/>
              </w:rPr>
              <w:t>Cotriguaçú</w:t>
            </w:r>
            <w:proofErr w:type="spellEnd"/>
            <w:r>
              <w:rPr>
                <w:rFonts w:ascii="Calibri" w:eastAsia="Calibri" w:hAnsi="Calibri" w:cs="Calibri"/>
                <w:color w:val="000000"/>
              </w:rPr>
              <w:t xml:space="preserve"> municipality.     </w:t>
            </w:r>
          </w:p>
        </w:tc>
      </w:tr>
      <w:tr w:rsidR="00AC2A5E" w14:paraId="6D56ABBD" w14:textId="77777777">
        <w:trPr>
          <w:trHeight w:val="1296"/>
        </w:trPr>
        <w:tc>
          <w:tcPr>
            <w:tcW w:w="2190" w:type="dxa"/>
            <w:vAlign w:val="center"/>
          </w:tcPr>
          <w:p w14:paraId="00000154"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lastRenderedPageBreak/>
              <w:t>Company name not disclosed</w:t>
            </w:r>
            <w:r>
              <w:rPr>
                <w:rFonts w:ascii="Calibri" w:eastAsia="Calibri" w:hAnsi="Calibri" w:cs="Calibri"/>
                <w:color w:val="000000"/>
              </w:rPr>
              <w:t xml:space="preserve"> </w:t>
            </w:r>
          </w:p>
          <w:p w14:paraId="00000155" w14:textId="77777777" w:rsidR="00AC2A5E" w:rsidRDefault="00AC2A5E">
            <w:pPr>
              <w:pBdr>
                <w:top w:val="nil"/>
                <w:left w:val="nil"/>
                <w:bottom w:val="nil"/>
                <w:right w:val="nil"/>
                <w:between w:val="nil"/>
              </w:pBdr>
              <w:rPr>
                <w:rFonts w:ascii="Calibri" w:eastAsia="Calibri" w:hAnsi="Calibri" w:cs="Calibri"/>
                <w:color w:val="000000"/>
              </w:rPr>
            </w:pPr>
          </w:p>
          <w:p w14:paraId="00000156"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(consultancy specialized on developing carbon-based restoration projects)</w:t>
            </w:r>
          </w:p>
        </w:tc>
        <w:tc>
          <w:tcPr>
            <w:tcW w:w="2308" w:type="dxa"/>
            <w:vAlign w:val="center"/>
          </w:tcPr>
          <w:p w14:paraId="00000157"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Online interview conducted on (26/04/2024) using Google Meet. Notes were captured during the meeting with consent.</w:t>
            </w:r>
          </w:p>
        </w:tc>
        <w:tc>
          <w:tcPr>
            <w:tcW w:w="5492" w:type="dxa"/>
            <w:vAlign w:val="center"/>
          </w:tcPr>
          <w:p w14:paraId="00000158"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The person interviewed did not wish to disclose the name of the company due to commercial reasons. Hence the information from the interview should be used as a general guide on how Restaura Biomas could foster carbon-based restoration projects in Brazil. The consultancy has started operations in Brazil recently by focusing on carbon markets &amp; decarbonization technologies. The company business model includes: (</w:t>
            </w:r>
            <w:proofErr w:type="spellStart"/>
            <w:r>
              <w:rPr>
                <w:rFonts w:ascii="Calibri" w:eastAsia="Calibri" w:hAnsi="Calibri" w:cs="Calibri"/>
                <w:color w:val="000000"/>
              </w:rPr>
              <w:t>i</w:t>
            </w:r>
            <w:proofErr w:type="spellEnd"/>
            <w:r>
              <w:rPr>
                <w:rFonts w:ascii="Calibri" w:eastAsia="Calibri" w:hAnsi="Calibri" w:cs="Calibri"/>
                <w:color w:val="000000"/>
              </w:rPr>
              <w:t xml:space="preserve">) sourcing regions for project development, (ii) designing projects through technical and feasibility analysis, (iii) structuring projects by managing carbon sellers and buyers, (iv) developing and commercializing projects (registry and validation as well as monitoring and verification) and (v) carbon trading and sales. </w:t>
            </w:r>
          </w:p>
          <w:p w14:paraId="00000159"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Restaura Biomas has the potential to contribute by improving the overall business environment of restoration in Brazil. This will be done by improving policy coherence (Component 1), strengthening restoration supply chains (Component 2) and developing financial mechanisms to address the high cost of restoration (Component 3).</w:t>
            </w:r>
          </w:p>
        </w:tc>
      </w:tr>
      <w:tr w:rsidR="00AC2A5E" w14:paraId="31076FD7" w14:textId="77777777">
        <w:trPr>
          <w:trHeight w:val="1296"/>
        </w:trPr>
        <w:tc>
          <w:tcPr>
            <w:tcW w:w="2190" w:type="dxa"/>
            <w:vAlign w:val="center"/>
          </w:tcPr>
          <w:p w14:paraId="0000015A" w14:textId="77777777" w:rsidR="00AC2A5E" w:rsidRDefault="009549BA">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IDH</w:t>
            </w:r>
          </w:p>
        </w:tc>
        <w:tc>
          <w:tcPr>
            <w:tcW w:w="2308" w:type="dxa"/>
            <w:vAlign w:val="center"/>
          </w:tcPr>
          <w:p w14:paraId="0000015B"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Online interview conducted on (28/03/2024) using Zoom. Notes were captured during the meeting with consent.</w:t>
            </w:r>
          </w:p>
        </w:tc>
        <w:tc>
          <w:tcPr>
            <w:tcW w:w="5492" w:type="dxa"/>
            <w:vAlign w:val="center"/>
          </w:tcPr>
          <w:p w14:paraId="0000015C"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IDH is a sustainable trade initiative based in the Netherlands that works with business, finance, and public institutions to increase the sustainability of international supply chains. In Brazil, IDH has developed pilots using the Verified Sourcing Areas (VSA) model to increase land use for sustainable commodity production and improve connection with buyers.</w:t>
            </w:r>
          </w:p>
          <w:p w14:paraId="0000015D" w14:textId="77777777" w:rsidR="00AC2A5E" w:rsidRDefault="00AC2A5E">
            <w:pPr>
              <w:pBdr>
                <w:top w:val="nil"/>
                <w:left w:val="nil"/>
                <w:bottom w:val="nil"/>
                <w:right w:val="nil"/>
                <w:between w:val="nil"/>
              </w:pBdr>
              <w:rPr>
                <w:rFonts w:ascii="Calibri" w:eastAsia="Calibri" w:hAnsi="Calibri" w:cs="Calibri"/>
                <w:color w:val="000000"/>
              </w:rPr>
            </w:pPr>
          </w:p>
          <w:p w14:paraId="0000015E"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stakeholder identified the following barriers to ecosystem restoration and the scaling of investment for the same cause: </w:t>
            </w:r>
          </w:p>
          <w:p w14:paraId="0000015F" w14:textId="77777777" w:rsidR="00AC2A5E" w:rsidRDefault="00AC2A5E">
            <w:pPr>
              <w:pBdr>
                <w:top w:val="nil"/>
                <w:left w:val="nil"/>
                <w:bottom w:val="nil"/>
                <w:right w:val="nil"/>
                <w:between w:val="nil"/>
              </w:pBdr>
              <w:rPr>
                <w:rFonts w:ascii="Calibri" w:eastAsia="Calibri" w:hAnsi="Calibri" w:cs="Calibri"/>
                <w:color w:val="000000"/>
              </w:rPr>
            </w:pPr>
          </w:p>
          <w:p w14:paraId="00000160" w14:textId="77777777" w:rsidR="00AC2A5E" w:rsidRDefault="009549BA">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Smallholders struggle to maintain a concerted restoration effort given issues in succession and therefore permanence of the smallholding</w:t>
            </w:r>
          </w:p>
          <w:p w14:paraId="00000161" w14:textId="77777777" w:rsidR="00AC2A5E" w:rsidRDefault="009549BA">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Poor linkages between private finance and public policy conjoined with a lack of investment expertise for first-time investors</w:t>
            </w:r>
          </w:p>
          <w:p w14:paraId="00000162" w14:textId="77777777" w:rsidR="00AC2A5E" w:rsidRDefault="009549BA">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Onerous M&amp;E requirements combined with projects that are both too small in funding terms and too short in contract length</w:t>
            </w:r>
          </w:p>
          <w:p w14:paraId="00000163" w14:textId="77777777" w:rsidR="00AC2A5E" w:rsidRDefault="009549BA">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Enforcement is difficult as penalties are often unfulfilled. </w:t>
            </w:r>
          </w:p>
          <w:p w14:paraId="00000164" w14:textId="77777777" w:rsidR="00AC2A5E" w:rsidRDefault="00AC2A5E">
            <w:pPr>
              <w:pBdr>
                <w:top w:val="nil"/>
                <w:left w:val="nil"/>
                <w:bottom w:val="nil"/>
                <w:right w:val="nil"/>
                <w:between w:val="nil"/>
              </w:pBdr>
              <w:rPr>
                <w:rFonts w:ascii="Calibri" w:eastAsia="Calibri" w:hAnsi="Calibri" w:cs="Calibri"/>
                <w:color w:val="000000"/>
              </w:rPr>
            </w:pPr>
          </w:p>
          <w:p w14:paraId="00000165"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IDH recognized the synergies between the Restaura Biomas program and their work in Brazil. By further strengthening value chains and demonstrating to farmers the benefits of transitioning to restoration initiatives, Restaura Biomas would directly complement the work carried out by IDH.</w:t>
            </w:r>
          </w:p>
        </w:tc>
      </w:tr>
      <w:tr w:rsidR="00AC2A5E" w14:paraId="055A6074" w14:textId="77777777">
        <w:trPr>
          <w:trHeight w:val="1296"/>
        </w:trPr>
        <w:tc>
          <w:tcPr>
            <w:tcW w:w="2190" w:type="dxa"/>
            <w:vAlign w:val="center"/>
          </w:tcPr>
          <w:p w14:paraId="00000166" w14:textId="77777777" w:rsidR="00AC2A5E" w:rsidRDefault="009549BA">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lastRenderedPageBreak/>
              <w:t>AGRI3</w:t>
            </w:r>
          </w:p>
        </w:tc>
        <w:tc>
          <w:tcPr>
            <w:tcW w:w="2308" w:type="dxa"/>
            <w:vAlign w:val="center"/>
          </w:tcPr>
          <w:p w14:paraId="00000167"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Online interview conducted on (28/03/2024) using Zoom. Notes were captured during the meeting with consent.</w:t>
            </w:r>
          </w:p>
        </w:tc>
        <w:tc>
          <w:tcPr>
            <w:tcW w:w="5492" w:type="dxa"/>
            <w:vAlign w:val="center"/>
          </w:tcPr>
          <w:p w14:paraId="00000168"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AGRI3 is an impact fund that works with financial institutions to provide blended finance to companies supporting key impact areas on restoration and sustainability. The fund supports participating companies and farmers by providing guarantees to banks for commercial loans. While the Fund’s guarantee sizes typically range from USD 3 - 15 million, their new program allows smaller guarantee sizes of USD 500,000. There is also a technical assistance fund linked with AGRI3 for pre- and post-investment assistance provision. AGRI3 provides loans to farmers and/or companies that work with mid- to large-scale farmers who farm on biodegraded lands in Brazil. </w:t>
            </w:r>
          </w:p>
          <w:p w14:paraId="00000169" w14:textId="77777777" w:rsidR="00AC2A5E" w:rsidRDefault="00AC2A5E">
            <w:pPr>
              <w:pBdr>
                <w:top w:val="nil"/>
                <w:left w:val="nil"/>
                <w:bottom w:val="nil"/>
                <w:right w:val="nil"/>
                <w:between w:val="nil"/>
              </w:pBdr>
              <w:rPr>
                <w:rFonts w:ascii="Calibri" w:eastAsia="Calibri" w:hAnsi="Calibri" w:cs="Calibri"/>
                <w:color w:val="000000"/>
              </w:rPr>
            </w:pPr>
          </w:p>
          <w:p w14:paraId="0000016A"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stakeholder believes Restaura Biomas funding could complement their work through the provision of funding initiatives around pastureland along with support for CAR verification for farmers. Additionally, identifying areas in which technical assistance could facilitate the transition to restoration initiatives for farmers is also crucial. </w:t>
            </w:r>
          </w:p>
          <w:p w14:paraId="0000016B" w14:textId="77777777" w:rsidR="00AC2A5E" w:rsidRDefault="00AC2A5E">
            <w:pPr>
              <w:pBdr>
                <w:top w:val="nil"/>
                <w:left w:val="nil"/>
                <w:bottom w:val="nil"/>
                <w:right w:val="nil"/>
                <w:between w:val="nil"/>
              </w:pBdr>
              <w:rPr>
                <w:rFonts w:ascii="Calibri" w:eastAsia="Calibri" w:hAnsi="Calibri" w:cs="Calibri"/>
                <w:color w:val="000000"/>
              </w:rPr>
            </w:pPr>
          </w:p>
          <w:p w14:paraId="0000016C"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Competing with the interest rates offered by alternative loan programs, such as subsidized loan programs for farmers which have historically been very competitive, was identified as a key challenge to scaling investment in ecosystem restoration in the country. Farmers are typically unwilling to commit to certain KPIs and the conversion of land to sustainable practices without highly concessional rates given the provision of alternative schemes. </w:t>
            </w:r>
          </w:p>
        </w:tc>
      </w:tr>
      <w:tr w:rsidR="00AC2A5E" w14:paraId="7732F158" w14:textId="77777777">
        <w:trPr>
          <w:trHeight w:val="1296"/>
        </w:trPr>
        <w:tc>
          <w:tcPr>
            <w:tcW w:w="2190" w:type="dxa"/>
            <w:vAlign w:val="center"/>
          </w:tcPr>
          <w:p w14:paraId="0000016D" w14:textId="77777777" w:rsidR="00AC2A5E" w:rsidRDefault="009549BA">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WBCSD</w:t>
            </w:r>
          </w:p>
        </w:tc>
        <w:tc>
          <w:tcPr>
            <w:tcW w:w="2308" w:type="dxa"/>
            <w:vAlign w:val="center"/>
          </w:tcPr>
          <w:p w14:paraId="0000016E" w14:textId="77777777" w:rsidR="00AC2A5E" w:rsidRDefault="009549BA">
            <w:pPr>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Online interview conducted on (08/04/2024) using Zoom. Notes were captured during the meeting with consent.</w:t>
            </w:r>
          </w:p>
        </w:tc>
        <w:tc>
          <w:tcPr>
            <w:tcW w:w="5492" w:type="dxa"/>
            <w:vAlign w:val="center"/>
          </w:tcPr>
          <w:p w14:paraId="0000016F"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WBCSD Soft Commodities Forum (SCF) is a collaborative enterprise between six agribusinesses seeking to halt soy-driven deforestation in the Cerrado. SCF members distribute financial incentives to producers in their Farmer First Clusters in order to induce vegetation preservation, sustainable practices, and restoration practices. WBCSD is also actively involved in aligning transparency standards for the soy supply chain.</w:t>
            </w:r>
          </w:p>
          <w:p w14:paraId="00000170" w14:textId="77777777" w:rsidR="00AC2A5E" w:rsidRDefault="00AC2A5E">
            <w:pPr>
              <w:pBdr>
                <w:top w:val="nil"/>
                <w:left w:val="nil"/>
                <w:bottom w:val="nil"/>
                <w:right w:val="nil"/>
                <w:between w:val="nil"/>
              </w:pBdr>
              <w:rPr>
                <w:rFonts w:ascii="Calibri" w:eastAsia="Calibri" w:hAnsi="Calibri" w:cs="Calibri"/>
                <w:color w:val="000000"/>
              </w:rPr>
            </w:pPr>
          </w:p>
          <w:p w14:paraId="00000171" w14:textId="77777777" w:rsidR="00AC2A5E" w:rsidRDefault="009549BA">
            <w:pPr>
              <w:pBdr>
                <w:top w:val="nil"/>
                <w:left w:val="nil"/>
                <w:bottom w:val="nil"/>
                <w:right w:val="nil"/>
                <w:between w:val="nil"/>
              </w:pBdr>
              <w:spacing w:after="200"/>
              <w:rPr>
                <w:rFonts w:ascii="Calibri" w:eastAsia="Calibri" w:hAnsi="Calibri" w:cs="Calibri"/>
                <w:color w:val="000000"/>
              </w:rPr>
            </w:pPr>
            <w:r>
              <w:rPr>
                <w:rFonts w:ascii="Calibri" w:eastAsia="Calibri" w:hAnsi="Calibri" w:cs="Calibri"/>
                <w:color w:val="000000"/>
              </w:rPr>
              <w:t>Key challenges to the SCF’s program include:</w:t>
            </w:r>
          </w:p>
          <w:p w14:paraId="00000172" w14:textId="77777777" w:rsidR="00AC2A5E" w:rsidRDefault="009549BA">
            <w:pPr>
              <w:numPr>
                <w:ilvl w:val="0"/>
                <w:numId w:val="6"/>
              </w:numPr>
              <w:pBdr>
                <w:top w:val="nil"/>
                <w:left w:val="nil"/>
                <w:bottom w:val="nil"/>
                <w:right w:val="nil"/>
                <w:between w:val="nil"/>
              </w:pBdr>
              <w:spacing w:after="200"/>
              <w:rPr>
                <w:rFonts w:ascii="Calibri" w:eastAsia="Calibri" w:hAnsi="Calibri" w:cs="Calibri"/>
                <w:color w:val="000000"/>
              </w:rPr>
            </w:pPr>
            <w:r>
              <w:rPr>
                <w:rFonts w:ascii="Calibri" w:eastAsia="Calibri" w:hAnsi="Calibri" w:cs="Calibri"/>
                <w:color w:val="000000"/>
              </w:rPr>
              <w:t>Encouraging landowners/producers to interact with the project given that land conservation is less lucrative than land clearing;</w:t>
            </w:r>
          </w:p>
          <w:p w14:paraId="00000173" w14:textId="77777777" w:rsidR="00AC2A5E" w:rsidRDefault="009549BA">
            <w:pPr>
              <w:numPr>
                <w:ilvl w:val="0"/>
                <w:numId w:val="6"/>
              </w:numPr>
              <w:pBdr>
                <w:top w:val="nil"/>
                <w:left w:val="nil"/>
                <w:bottom w:val="nil"/>
                <w:right w:val="nil"/>
                <w:between w:val="nil"/>
              </w:pBdr>
              <w:spacing w:after="200"/>
              <w:rPr>
                <w:rFonts w:ascii="Calibri" w:eastAsia="Calibri" w:hAnsi="Calibri" w:cs="Calibri"/>
                <w:color w:val="000000"/>
              </w:rPr>
            </w:pPr>
            <w:r>
              <w:rPr>
                <w:rFonts w:ascii="Calibri" w:eastAsia="Calibri" w:hAnsi="Calibri" w:cs="Calibri"/>
                <w:color w:val="000000"/>
              </w:rPr>
              <w:t>A lack of awareness and local expertise on the benefits associated with land conservation; and</w:t>
            </w:r>
          </w:p>
          <w:p w14:paraId="00000174" w14:textId="77777777" w:rsidR="00AC2A5E" w:rsidRDefault="009549BA">
            <w:pPr>
              <w:numPr>
                <w:ilvl w:val="0"/>
                <w:numId w:val="6"/>
              </w:numPr>
              <w:pBdr>
                <w:top w:val="nil"/>
                <w:left w:val="nil"/>
                <w:bottom w:val="nil"/>
                <w:right w:val="nil"/>
                <w:between w:val="nil"/>
              </w:pBdr>
              <w:spacing w:after="200"/>
              <w:rPr>
                <w:rFonts w:ascii="Calibri" w:eastAsia="Calibri" w:hAnsi="Calibri" w:cs="Calibri"/>
                <w:color w:val="000000"/>
              </w:rPr>
            </w:pPr>
            <w:r>
              <w:rPr>
                <w:rFonts w:ascii="Calibri" w:eastAsia="Calibri" w:hAnsi="Calibri" w:cs="Calibri"/>
                <w:color w:val="000000"/>
              </w:rPr>
              <w:t>Financial issues associated with the high upfront costs of restoration.</w:t>
            </w:r>
          </w:p>
          <w:p w14:paraId="00000175" w14:textId="77777777" w:rsidR="00AC2A5E" w:rsidRDefault="00AC2A5E">
            <w:pPr>
              <w:pBdr>
                <w:top w:val="nil"/>
                <w:left w:val="nil"/>
                <w:bottom w:val="nil"/>
                <w:right w:val="nil"/>
                <w:between w:val="nil"/>
              </w:pBdr>
              <w:rPr>
                <w:rFonts w:ascii="Calibri" w:eastAsia="Calibri" w:hAnsi="Calibri" w:cs="Calibri"/>
                <w:color w:val="000000"/>
              </w:rPr>
            </w:pPr>
          </w:p>
          <w:p w14:paraId="00000176"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stakeholder thought that their program could benefit </w:t>
            </w:r>
            <w:r>
              <w:rPr>
                <w:rFonts w:ascii="Calibri" w:eastAsia="Calibri" w:hAnsi="Calibri" w:cs="Calibri"/>
                <w:color w:val="000000"/>
              </w:rPr>
              <w:lastRenderedPageBreak/>
              <w:t>from Restaura Biomas’ efforts to inform how to geospatially concentrate restoration efforts and development of local engagement materials. More specifically, the scaling of restoration incentives for landowners would be directly aligned with the Farmer First Clusters initiative administered by the organization’s SCF.</w:t>
            </w:r>
          </w:p>
        </w:tc>
      </w:tr>
      <w:tr w:rsidR="00AC2A5E" w14:paraId="7861A770" w14:textId="77777777">
        <w:trPr>
          <w:trHeight w:val="1296"/>
        </w:trPr>
        <w:tc>
          <w:tcPr>
            <w:tcW w:w="2190" w:type="dxa"/>
            <w:vAlign w:val="center"/>
          </w:tcPr>
          <w:p w14:paraId="00000177" w14:textId="77777777" w:rsidR="00AC2A5E" w:rsidRDefault="009549BA">
            <w:pPr>
              <w:rPr>
                <w:rFonts w:ascii="Calibri" w:eastAsia="Calibri" w:hAnsi="Calibri" w:cs="Calibri"/>
                <w:b/>
              </w:rPr>
            </w:pPr>
            <w:r>
              <w:rPr>
                <w:rFonts w:ascii="Calibri" w:eastAsia="Calibri" w:hAnsi="Calibri" w:cs="Calibri"/>
                <w:b/>
              </w:rPr>
              <w:lastRenderedPageBreak/>
              <w:t xml:space="preserve">Advisory committee composed of 19 organizations: 7 public organization (MMA; SFB; ICMBio; IBAMA; MAPA; MDA; MPI/Funai), 6 NGOs (CI; TNC; WRI; WWF; SOBRE; </w:t>
            </w:r>
            <w:proofErr w:type="spellStart"/>
            <w:r>
              <w:rPr>
                <w:rFonts w:ascii="Calibri" w:eastAsia="Calibri" w:hAnsi="Calibri" w:cs="Calibri"/>
                <w:b/>
              </w:rPr>
              <w:t>Coalizão</w:t>
            </w:r>
            <w:proofErr w:type="spellEnd"/>
            <w:r>
              <w:rPr>
                <w:rFonts w:ascii="Calibri" w:eastAsia="Calibri" w:hAnsi="Calibri" w:cs="Calibri"/>
                <w:b/>
              </w:rPr>
              <w:t xml:space="preserve"> </w:t>
            </w:r>
            <w:proofErr w:type="spellStart"/>
            <w:r>
              <w:rPr>
                <w:rFonts w:ascii="Calibri" w:eastAsia="Calibri" w:hAnsi="Calibri" w:cs="Calibri"/>
                <w:b/>
              </w:rPr>
              <w:t>Brasil</w:t>
            </w:r>
            <w:proofErr w:type="spellEnd"/>
            <w:r>
              <w:rPr>
                <w:rFonts w:ascii="Calibri" w:eastAsia="Calibri" w:hAnsi="Calibri" w:cs="Calibri"/>
                <w:b/>
              </w:rPr>
              <w:t xml:space="preserve"> </w:t>
            </w:r>
            <w:proofErr w:type="spellStart"/>
            <w:r>
              <w:rPr>
                <w:rFonts w:ascii="Calibri" w:eastAsia="Calibri" w:hAnsi="Calibri" w:cs="Calibri"/>
                <w:b/>
              </w:rPr>
              <w:t>Clima</w:t>
            </w:r>
            <w:proofErr w:type="spellEnd"/>
            <w:r>
              <w:rPr>
                <w:rFonts w:ascii="Calibri" w:eastAsia="Calibri" w:hAnsi="Calibri" w:cs="Calibri"/>
                <w:b/>
              </w:rPr>
              <w:t xml:space="preserve">, </w:t>
            </w:r>
            <w:proofErr w:type="spellStart"/>
            <w:r>
              <w:rPr>
                <w:rFonts w:ascii="Calibri" w:eastAsia="Calibri" w:hAnsi="Calibri" w:cs="Calibri"/>
                <w:b/>
              </w:rPr>
              <w:t>Florestas</w:t>
            </w:r>
            <w:proofErr w:type="spellEnd"/>
            <w:r>
              <w:rPr>
                <w:rFonts w:ascii="Calibri" w:eastAsia="Calibri" w:hAnsi="Calibri" w:cs="Calibri"/>
                <w:b/>
              </w:rPr>
              <w:t xml:space="preserve"> e Agricultura)_ and 6 restoration networks from all biomes)</w:t>
            </w:r>
          </w:p>
        </w:tc>
        <w:tc>
          <w:tcPr>
            <w:tcW w:w="2308" w:type="dxa"/>
            <w:vAlign w:val="center"/>
          </w:tcPr>
          <w:p w14:paraId="00000178" w14:textId="77777777" w:rsidR="00AC2A5E" w:rsidRDefault="009549BA">
            <w:pPr>
              <w:rPr>
                <w:rFonts w:ascii="Calibri" w:eastAsia="Calibri" w:hAnsi="Calibri" w:cs="Calibri"/>
              </w:rPr>
            </w:pPr>
            <w:r>
              <w:rPr>
                <w:rFonts w:ascii="Calibri" w:eastAsia="Calibri" w:hAnsi="Calibri" w:cs="Calibri"/>
              </w:rPr>
              <w:t>5 virtual meetings (21/Nov, 19/Dec, 16/Jan, 20/Feb and 21 May) and a 3-day in-person workshop in Brasilia, in addition to email interactions throughout the PPG phase</w:t>
            </w:r>
          </w:p>
        </w:tc>
        <w:tc>
          <w:tcPr>
            <w:tcW w:w="5492" w:type="dxa"/>
            <w:vAlign w:val="center"/>
          </w:tcPr>
          <w:p w14:paraId="00000179" w14:textId="77777777" w:rsidR="00AC2A5E" w:rsidRDefault="009549BA">
            <w:pPr>
              <w:rPr>
                <w:rFonts w:ascii="Calibri" w:eastAsia="Calibri" w:hAnsi="Calibri" w:cs="Calibri"/>
              </w:rPr>
            </w:pPr>
            <w:r>
              <w:rPr>
                <w:rFonts w:ascii="Calibri" w:eastAsia="Calibri" w:hAnsi="Calibri" w:cs="Calibri"/>
              </w:rPr>
              <w:t xml:space="preserve">The advisory committee contributed to the refinement of the Theory of Change, to the definition of the method for defining territories, to the study on the restoration chain, and to the proposition of the MEAL system. </w:t>
            </w:r>
          </w:p>
          <w:p w14:paraId="0000017A" w14:textId="77777777" w:rsidR="00AC2A5E" w:rsidRDefault="009549BA">
            <w:r>
              <w:rPr>
                <w:rFonts w:ascii="Calibri" w:eastAsia="Calibri" w:hAnsi="Calibri" w:cs="Calibri"/>
              </w:rPr>
              <w:t>In the face-to-face meeting, the committee dedicated itself to deepening and detailing all components.</w:t>
            </w:r>
          </w:p>
          <w:p w14:paraId="0000017B" w14:textId="77777777" w:rsidR="00AC2A5E" w:rsidRDefault="009549BA">
            <w:pPr>
              <w:rPr>
                <w:rFonts w:ascii="Calibri" w:eastAsia="Calibri" w:hAnsi="Calibri" w:cs="Calibri"/>
              </w:rPr>
            </w:pPr>
            <w:r>
              <w:rPr>
                <w:rFonts w:ascii="Calibri" w:eastAsia="Calibri" w:hAnsi="Calibri" w:cs="Calibri"/>
              </w:rPr>
              <w:t>The contributions generated extensive reports, one for each meeting that is available in the documentation of the project preparation process.</w:t>
            </w:r>
          </w:p>
        </w:tc>
      </w:tr>
    </w:tbl>
    <w:p w14:paraId="0000017C" w14:textId="77777777" w:rsidR="00AC2A5E" w:rsidRDefault="00AC2A5E">
      <w:pPr>
        <w:pBdr>
          <w:top w:val="nil"/>
          <w:left w:val="nil"/>
          <w:bottom w:val="nil"/>
          <w:right w:val="nil"/>
          <w:between w:val="nil"/>
        </w:pBdr>
        <w:rPr>
          <w:rFonts w:ascii="Calibri" w:eastAsia="Calibri" w:hAnsi="Calibri" w:cs="Calibri"/>
          <w:color w:val="000000"/>
          <w:sz w:val="24"/>
          <w:szCs w:val="24"/>
        </w:rPr>
      </w:pPr>
    </w:p>
    <w:p w14:paraId="0000017D" w14:textId="77777777" w:rsidR="00AC2A5E" w:rsidRDefault="009549BA">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b. Project Disclosure</w:t>
      </w:r>
    </w:p>
    <w:p w14:paraId="0000017E"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Disclosing project information is essential for meaningful consultation on project design and for stakeholders to understand the potential opportunities of the project, and the risks and impacts of the project. </w:t>
      </w:r>
    </w:p>
    <w:p w14:paraId="0000017F" w14:textId="77777777" w:rsidR="00AC2A5E" w:rsidRDefault="00AC2A5E">
      <w:pPr>
        <w:pBdr>
          <w:top w:val="nil"/>
          <w:left w:val="nil"/>
          <w:bottom w:val="nil"/>
          <w:right w:val="nil"/>
          <w:between w:val="nil"/>
        </w:pBdr>
        <w:rPr>
          <w:rFonts w:ascii="Calibri" w:eastAsia="Calibri" w:hAnsi="Calibri" w:cs="Calibri"/>
          <w:color w:val="000000"/>
          <w:sz w:val="24"/>
          <w:szCs w:val="24"/>
        </w:rPr>
      </w:pPr>
    </w:p>
    <w:p w14:paraId="00000180"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Confirm that the following information was shared with stakeholders in a timely manner and in an appropriate form and language during the PPG/PPF Phase:</w:t>
      </w:r>
    </w:p>
    <w:p w14:paraId="00000181" w14:textId="77777777" w:rsidR="00AC2A5E" w:rsidRDefault="00AC2A5E">
      <w:pPr>
        <w:pBdr>
          <w:top w:val="nil"/>
          <w:left w:val="nil"/>
          <w:bottom w:val="nil"/>
          <w:right w:val="nil"/>
          <w:between w:val="nil"/>
        </w:pBdr>
        <w:rPr>
          <w:rFonts w:ascii="Calibri" w:eastAsia="Calibri" w:hAnsi="Calibri" w:cs="Calibri"/>
          <w:color w:val="000000"/>
          <w:sz w:val="24"/>
          <w:szCs w:val="24"/>
        </w:rPr>
      </w:pPr>
    </w:p>
    <w:tbl>
      <w:tblPr>
        <w:tblStyle w:val="aff2"/>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5"/>
        <w:gridCol w:w="4680"/>
      </w:tblGrid>
      <w:tr w:rsidR="00AC2A5E" w14:paraId="5561783C" w14:textId="77777777">
        <w:tc>
          <w:tcPr>
            <w:tcW w:w="5305" w:type="dxa"/>
          </w:tcPr>
          <w:p w14:paraId="00000182" w14:textId="77777777" w:rsidR="00AC2A5E" w:rsidRDefault="009549BA">
            <w:pPr>
              <w:pBdr>
                <w:top w:val="nil"/>
                <w:left w:val="nil"/>
                <w:bottom w:val="nil"/>
                <w:right w:val="nil"/>
                <w:between w:val="nil"/>
              </w:pBdr>
              <w:spacing w:before="60" w:after="60"/>
              <w:rPr>
                <w:rFonts w:ascii="Calibri" w:eastAsia="Calibri" w:hAnsi="Calibri" w:cs="Calibri"/>
                <w:b/>
                <w:color w:val="000000"/>
                <w:sz w:val="24"/>
                <w:szCs w:val="24"/>
              </w:rPr>
            </w:pPr>
            <w:r>
              <w:rPr>
                <w:rFonts w:ascii="Calibri" w:eastAsia="Calibri" w:hAnsi="Calibri" w:cs="Calibri"/>
                <w:b/>
                <w:color w:val="000000"/>
                <w:sz w:val="24"/>
                <w:szCs w:val="24"/>
              </w:rPr>
              <w:t xml:space="preserve">Information </w:t>
            </w:r>
          </w:p>
        </w:tc>
        <w:tc>
          <w:tcPr>
            <w:tcW w:w="4680" w:type="dxa"/>
          </w:tcPr>
          <w:p w14:paraId="00000183" w14:textId="77777777" w:rsidR="00AC2A5E" w:rsidRDefault="009549BA">
            <w:pPr>
              <w:pBdr>
                <w:top w:val="nil"/>
                <w:left w:val="nil"/>
                <w:bottom w:val="nil"/>
                <w:right w:val="nil"/>
                <w:between w:val="nil"/>
              </w:pBdr>
              <w:spacing w:before="60" w:after="60"/>
              <w:rPr>
                <w:rFonts w:ascii="Calibri" w:eastAsia="Calibri" w:hAnsi="Calibri" w:cs="Calibri"/>
                <w:b/>
                <w:color w:val="000000"/>
                <w:sz w:val="24"/>
                <w:szCs w:val="24"/>
              </w:rPr>
            </w:pPr>
            <w:r>
              <w:rPr>
                <w:rFonts w:ascii="Calibri" w:eastAsia="Calibri" w:hAnsi="Calibri" w:cs="Calibri"/>
                <w:b/>
                <w:color w:val="000000"/>
                <w:sz w:val="24"/>
                <w:szCs w:val="24"/>
              </w:rPr>
              <w:t xml:space="preserve">When, How and Where this was shared? </w:t>
            </w:r>
          </w:p>
        </w:tc>
      </w:tr>
      <w:tr w:rsidR="00AC2A5E" w14:paraId="174E7C14" w14:textId="77777777">
        <w:tc>
          <w:tcPr>
            <w:tcW w:w="5305" w:type="dxa"/>
          </w:tcPr>
          <w:p w14:paraId="00000184" w14:textId="77777777" w:rsidR="00AC2A5E" w:rsidRDefault="009549BA">
            <w:p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w:t>
            </w:r>
            <w:r>
              <w:rPr>
                <w:color w:val="000000"/>
              </w:rPr>
              <w:t xml:space="preserve"> </w:t>
            </w:r>
            <w:r>
              <w:rPr>
                <w:rFonts w:ascii="Calibri" w:eastAsia="Calibri" w:hAnsi="Calibri" w:cs="Calibri"/>
                <w:color w:val="000000"/>
              </w:rPr>
              <w:t>The purpose, nature and scale of the project</w:t>
            </w:r>
          </w:p>
        </w:tc>
        <w:tc>
          <w:tcPr>
            <w:tcW w:w="4680" w:type="dxa"/>
          </w:tcPr>
          <w:p w14:paraId="00000185" w14:textId="77777777" w:rsidR="00AC2A5E" w:rsidRDefault="009549BA">
            <w:pPr>
              <w:pBdr>
                <w:top w:val="nil"/>
                <w:left w:val="nil"/>
                <w:bottom w:val="nil"/>
                <w:right w:val="nil"/>
                <w:between w:val="nil"/>
              </w:pBdr>
              <w:shd w:val="clear" w:color="auto" w:fill="FFFFFF"/>
              <w:spacing w:before="60" w:after="60" w:line="276" w:lineRule="auto"/>
              <w:rPr>
                <w:rFonts w:ascii="Calibri" w:eastAsia="Calibri" w:hAnsi="Calibri" w:cs="Calibri"/>
                <w:color w:val="000000"/>
              </w:rPr>
            </w:pPr>
            <w:r>
              <w:rPr>
                <w:rFonts w:ascii="Calibri" w:eastAsia="Calibri" w:hAnsi="Calibri" w:cs="Calibri"/>
                <w:color w:val="000000"/>
              </w:rPr>
              <w:t xml:space="preserve">The purpose, nature and scale of Restaura Biomas were shared with the relevant stakeholders through a written, online document ahead of meetings, with oral explanation also given during the meetings. Stakeholders were also prompted to ask any additional questions and/or share additional concerns at the beginning of the meeting. In addition to online meetings with the advisory committee, a three-day face-to-face meeting was held to present, discuss and collect input for the preparation of the project proposal. </w:t>
            </w:r>
          </w:p>
        </w:tc>
      </w:tr>
      <w:tr w:rsidR="00AC2A5E" w14:paraId="38FABC6B" w14:textId="77777777">
        <w:tc>
          <w:tcPr>
            <w:tcW w:w="5305" w:type="dxa"/>
          </w:tcPr>
          <w:p w14:paraId="00000186" w14:textId="77777777" w:rsidR="00AC2A5E" w:rsidRDefault="009549BA">
            <w:p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w:t>
            </w:r>
            <w:r>
              <w:rPr>
                <w:color w:val="000000"/>
              </w:rPr>
              <w:t xml:space="preserve"> </w:t>
            </w:r>
            <w:r>
              <w:rPr>
                <w:rFonts w:ascii="Calibri" w:eastAsia="Calibri" w:hAnsi="Calibri" w:cs="Calibri"/>
                <w:color w:val="000000"/>
              </w:rPr>
              <w:t>The duration of proposed project activities</w:t>
            </w:r>
          </w:p>
        </w:tc>
        <w:tc>
          <w:tcPr>
            <w:tcW w:w="4680" w:type="dxa"/>
          </w:tcPr>
          <w:p w14:paraId="00000187" w14:textId="77777777" w:rsidR="00AC2A5E" w:rsidRDefault="009549BA">
            <w:p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As per the above.</w:t>
            </w:r>
          </w:p>
        </w:tc>
      </w:tr>
      <w:tr w:rsidR="00AC2A5E" w14:paraId="4ABB56C1" w14:textId="77777777">
        <w:tc>
          <w:tcPr>
            <w:tcW w:w="5305" w:type="dxa"/>
          </w:tcPr>
          <w:p w14:paraId="00000188" w14:textId="77777777" w:rsidR="00AC2A5E" w:rsidRDefault="009549BA">
            <w:p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w:t>
            </w:r>
            <w:r>
              <w:rPr>
                <w:color w:val="000000"/>
              </w:rPr>
              <w:t xml:space="preserve"> </w:t>
            </w:r>
            <w:r>
              <w:rPr>
                <w:rFonts w:ascii="Calibri" w:eastAsia="Calibri" w:hAnsi="Calibri" w:cs="Calibri"/>
                <w:color w:val="000000"/>
              </w:rPr>
              <w:t>Information from the environmental and social safeguard screening process, regarding potential risks and impacts of the project on stakeholders, including:</w:t>
            </w:r>
          </w:p>
          <w:p w14:paraId="00000189" w14:textId="77777777" w:rsidR="00AC2A5E" w:rsidRDefault="009549BA">
            <w:pPr>
              <w:numPr>
                <w:ilvl w:val="0"/>
                <w:numId w:val="4"/>
              </w:numPr>
              <w:pBdr>
                <w:top w:val="nil"/>
                <w:left w:val="nil"/>
                <w:bottom w:val="nil"/>
                <w:right w:val="nil"/>
                <w:between w:val="nil"/>
              </w:pBdr>
              <w:spacing w:before="60" w:after="60"/>
              <w:ind w:left="420"/>
              <w:rPr>
                <w:rFonts w:ascii="Calibri" w:eastAsia="Calibri" w:hAnsi="Calibri" w:cs="Calibri"/>
                <w:color w:val="000000"/>
              </w:rPr>
            </w:pPr>
            <w:r>
              <w:rPr>
                <w:rFonts w:ascii="Calibri" w:eastAsia="Calibri" w:hAnsi="Calibri" w:cs="Calibri"/>
                <w:color w:val="000000"/>
              </w:rPr>
              <w:lastRenderedPageBreak/>
              <w:t>Proposals for mitigating risks and impacts</w:t>
            </w:r>
          </w:p>
          <w:p w14:paraId="0000018A" w14:textId="77777777" w:rsidR="00AC2A5E" w:rsidRDefault="009549BA">
            <w:pPr>
              <w:numPr>
                <w:ilvl w:val="0"/>
                <w:numId w:val="4"/>
              </w:numPr>
              <w:pBdr>
                <w:top w:val="nil"/>
                <w:left w:val="nil"/>
                <w:bottom w:val="nil"/>
                <w:right w:val="nil"/>
                <w:between w:val="nil"/>
              </w:pBdr>
              <w:spacing w:before="60" w:after="60"/>
              <w:ind w:left="420"/>
              <w:rPr>
                <w:rFonts w:ascii="Calibri" w:eastAsia="Calibri" w:hAnsi="Calibri" w:cs="Calibri"/>
                <w:color w:val="000000"/>
              </w:rPr>
            </w:pPr>
            <w:r>
              <w:rPr>
                <w:rFonts w:ascii="Calibri" w:eastAsia="Calibri" w:hAnsi="Calibri" w:cs="Calibri"/>
                <w:color w:val="000000"/>
              </w:rPr>
              <w:t>Potential risks and impacts that might disproportionately affect vulnerable and disadvantaged groups</w:t>
            </w:r>
          </w:p>
          <w:p w14:paraId="0000018B" w14:textId="77777777" w:rsidR="00AC2A5E" w:rsidRDefault="009549BA">
            <w:pPr>
              <w:numPr>
                <w:ilvl w:val="0"/>
                <w:numId w:val="4"/>
              </w:numPr>
              <w:pBdr>
                <w:top w:val="nil"/>
                <w:left w:val="nil"/>
                <w:bottom w:val="nil"/>
                <w:right w:val="nil"/>
                <w:between w:val="nil"/>
              </w:pBdr>
              <w:spacing w:before="60" w:after="60"/>
              <w:ind w:left="420"/>
              <w:rPr>
                <w:rFonts w:ascii="Calibri" w:eastAsia="Calibri" w:hAnsi="Calibri" w:cs="Calibri"/>
                <w:color w:val="000000"/>
              </w:rPr>
            </w:pPr>
            <w:r>
              <w:rPr>
                <w:rFonts w:ascii="Calibri" w:eastAsia="Calibri" w:hAnsi="Calibri" w:cs="Calibri"/>
                <w:color w:val="000000"/>
              </w:rPr>
              <w:t>Description of differentiated measures to be taken to avoid and minimize disproportionate risks and impacts</w:t>
            </w:r>
          </w:p>
        </w:tc>
        <w:tc>
          <w:tcPr>
            <w:tcW w:w="4680" w:type="dxa"/>
          </w:tcPr>
          <w:p w14:paraId="0000018C" w14:textId="77777777" w:rsidR="00AC2A5E" w:rsidRDefault="00000000">
            <w:pPr>
              <w:pBdr>
                <w:top w:val="nil"/>
                <w:left w:val="nil"/>
                <w:bottom w:val="nil"/>
                <w:right w:val="nil"/>
                <w:between w:val="nil"/>
              </w:pBdr>
              <w:spacing w:before="60" w:after="60"/>
              <w:rPr>
                <w:rFonts w:ascii="Calibri" w:eastAsia="Calibri" w:hAnsi="Calibri" w:cs="Calibri"/>
                <w:color w:val="000000"/>
              </w:rPr>
            </w:pPr>
            <w:sdt>
              <w:sdtPr>
                <w:tag w:val="goog_rdk_6"/>
                <w:id w:val="204913026"/>
              </w:sdtPr>
              <w:sdtContent/>
            </w:sdt>
            <w:sdt>
              <w:sdtPr>
                <w:tag w:val="goog_rdk_7"/>
                <w:id w:val="552043036"/>
              </w:sdtPr>
              <w:sdtContent/>
            </w:sdt>
            <w:sdt>
              <w:sdtPr>
                <w:tag w:val="goog_rdk_8"/>
                <w:id w:val="-1062788871"/>
              </w:sdtPr>
              <w:sdtContent/>
            </w:sdt>
            <w:sdt>
              <w:sdtPr>
                <w:tag w:val="goog_rdk_9"/>
                <w:id w:val="988833526"/>
              </w:sdtPr>
              <w:sdtContent/>
            </w:sdt>
            <w:sdt>
              <w:sdtPr>
                <w:tag w:val="goog_rdk_10"/>
                <w:id w:val="833889348"/>
              </w:sdtPr>
              <w:sdtContent/>
            </w:sdt>
            <w:r w:rsidR="009549BA">
              <w:rPr>
                <w:rFonts w:ascii="Calibri" w:eastAsia="Calibri" w:hAnsi="Calibri" w:cs="Calibri"/>
                <w:color w:val="000000"/>
              </w:rPr>
              <w:t xml:space="preserve">The project’s risks and impacts on stakeholders were discussed during advisory committee  meetings, with explicit discussion topics including working with indigenous peoples and local </w:t>
            </w:r>
            <w:r w:rsidR="009549BA">
              <w:rPr>
                <w:rFonts w:ascii="Calibri" w:eastAsia="Calibri" w:hAnsi="Calibri" w:cs="Calibri"/>
                <w:color w:val="000000"/>
              </w:rPr>
              <w:lastRenderedPageBreak/>
              <w:t xml:space="preserve">communities in Brazil. Broader information on safeguarding procedures linked with the project were also shared with stakeholders when relevant. </w:t>
            </w:r>
            <w:proofErr w:type="spellStart"/>
            <w:r w:rsidR="009549BA">
              <w:rPr>
                <w:rFonts w:ascii="Calibri" w:eastAsia="Calibri" w:hAnsi="Calibri" w:cs="Calibri"/>
                <w:color w:val="000000"/>
              </w:rPr>
              <w:t>Terranomics</w:t>
            </w:r>
            <w:proofErr w:type="spellEnd"/>
            <w:r w:rsidR="009549BA">
              <w:rPr>
                <w:rFonts w:ascii="Calibri" w:eastAsia="Calibri" w:hAnsi="Calibri" w:cs="Calibri"/>
                <w:color w:val="000000"/>
              </w:rPr>
              <w:t xml:space="preserve"> discussed the potential impacts of the project on Indigenous and local communities and best practices for engaging these groups during interviews with stakeholders from AGRI3, JBS, IDH, and Vale.</w:t>
            </w:r>
          </w:p>
          <w:p w14:paraId="0000018D" w14:textId="77777777" w:rsidR="00AC2A5E" w:rsidRDefault="009549BA">
            <w:p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Further details on environmental and social safeguarding plans will be shared during the implementation stage.</w:t>
            </w:r>
          </w:p>
        </w:tc>
      </w:tr>
      <w:tr w:rsidR="00AC2A5E" w14:paraId="0FFC14BD" w14:textId="77777777">
        <w:tc>
          <w:tcPr>
            <w:tcW w:w="5305" w:type="dxa"/>
          </w:tcPr>
          <w:p w14:paraId="0000018E" w14:textId="77777777" w:rsidR="00AC2A5E" w:rsidRDefault="009549BA">
            <w:p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lastRenderedPageBreak/>
              <w:t>☐</w:t>
            </w:r>
            <w:r>
              <w:rPr>
                <w:color w:val="000000"/>
              </w:rPr>
              <w:t xml:space="preserve"> </w:t>
            </w:r>
            <w:r>
              <w:rPr>
                <w:rFonts w:ascii="Calibri" w:eastAsia="Calibri" w:hAnsi="Calibri" w:cs="Calibri"/>
                <w:color w:val="000000"/>
              </w:rPr>
              <w:t>The proposed stakeholder engagement process, highlighting ways in which stakeholders can participate and contribute during project design and/or implementation</w:t>
            </w:r>
          </w:p>
        </w:tc>
        <w:tc>
          <w:tcPr>
            <w:tcW w:w="4680" w:type="dxa"/>
          </w:tcPr>
          <w:p w14:paraId="0000018F" w14:textId="77777777" w:rsidR="00AC2A5E" w:rsidRDefault="009549BA">
            <w:p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The ways in which the project seeks to have an ongoing dialogue with stakeholders and work collaboratively with relevant stakeholders was discussed. Further information on stakeholder engagement and participation plans will be shared during the implementation.</w:t>
            </w:r>
          </w:p>
        </w:tc>
      </w:tr>
      <w:tr w:rsidR="00AC2A5E" w14:paraId="54B45C58" w14:textId="77777777">
        <w:tc>
          <w:tcPr>
            <w:tcW w:w="5305" w:type="dxa"/>
          </w:tcPr>
          <w:p w14:paraId="00000190" w14:textId="77777777" w:rsidR="00AC2A5E" w:rsidRDefault="009549BA">
            <w:p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w:t>
            </w:r>
            <w:r>
              <w:rPr>
                <w:color w:val="000000"/>
              </w:rPr>
              <w:t xml:space="preserve"> </w:t>
            </w:r>
            <w:r>
              <w:rPr>
                <w:rFonts w:ascii="Calibri" w:eastAsia="Calibri" w:hAnsi="Calibri" w:cs="Calibri"/>
                <w:color w:val="000000"/>
              </w:rPr>
              <w:t xml:space="preserve">The time and venue of proposed public consultation meetings, and the process by which meetings will be notified, summarized and reported </w:t>
            </w:r>
          </w:p>
        </w:tc>
        <w:tc>
          <w:tcPr>
            <w:tcW w:w="4680" w:type="dxa"/>
          </w:tcPr>
          <w:p w14:paraId="00000191" w14:textId="77777777" w:rsidR="00AC2A5E" w:rsidRDefault="009549BA">
            <w:p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A kick-off workshop will be held in the first three months of project implementation with relevant stakeholders and interested parties invited to attend. From there on, periodic workshops will be held to review progress, discuss lessons learned, and identify opportunities for adaptive management. Information on the time and venues of these meetings and workshops will be shared with the relevant parties in a timely manner.</w:t>
            </w:r>
          </w:p>
          <w:p w14:paraId="00000192" w14:textId="77777777" w:rsidR="00AC2A5E" w:rsidRDefault="009549BA">
            <w:p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In the PPG preparation phase, in addition to online meetings with the advisory committee, a three-day face-to-face meeting was held to present, discuss and collect input for the preparation of the project full proposal. The advisory committee will be part of the execution arrangement that will continue into the project implementation phase</w:t>
            </w:r>
          </w:p>
        </w:tc>
      </w:tr>
      <w:tr w:rsidR="00AC2A5E" w14:paraId="264772F6" w14:textId="77777777">
        <w:tc>
          <w:tcPr>
            <w:tcW w:w="5305" w:type="dxa"/>
          </w:tcPr>
          <w:p w14:paraId="00000193" w14:textId="77777777" w:rsidR="00AC2A5E" w:rsidRDefault="009549BA">
            <w:p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w:t>
            </w:r>
            <w:r>
              <w:rPr>
                <w:color w:val="000000"/>
              </w:rPr>
              <w:t xml:space="preserve"> </w:t>
            </w:r>
            <w:r>
              <w:rPr>
                <w:rFonts w:ascii="Calibri" w:eastAsia="Calibri" w:hAnsi="Calibri" w:cs="Calibri"/>
                <w:color w:val="000000"/>
              </w:rPr>
              <w:t>The process and means by which grievances can be raised and addressed</w:t>
            </w:r>
          </w:p>
        </w:tc>
        <w:tc>
          <w:tcPr>
            <w:tcW w:w="4680" w:type="dxa"/>
          </w:tcPr>
          <w:p w14:paraId="00000194" w14:textId="77777777" w:rsidR="00AC2A5E" w:rsidRDefault="009549BA">
            <w:pPr>
              <w:widowControl/>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 xml:space="preserve">This has been developed as part of the Accountability and Grievances Mechanism document and will be shared during implementation. </w:t>
            </w:r>
          </w:p>
        </w:tc>
      </w:tr>
    </w:tbl>
    <w:p w14:paraId="00000195" w14:textId="77777777" w:rsidR="00AC2A5E" w:rsidRDefault="00AC2A5E">
      <w:pPr>
        <w:pBdr>
          <w:top w:val="nil"/>
          <w:left w:val="nil"/>
          <w:bottom w:val="nil"/>
          <w:right w:val="nil"/>
          <w:between w:val="nil"/>
        </w:pBdr>
        <w:rPr>
          <w:rFonts w:ascii="Calibri" w:eastAsia="Calibri" w:hAnsi="Calibri" w:cs="Calibri"/>
          <w:b/>
          <w:color w:val="000000"/>
          <w:sz w:val="24"/>
          <w:szCs w:val="24"/>
        </w:rPr>
      </w:pPr>
    </w:p>
    <w:p w14:paraId="00000196" w14:textId="77777777" w:rsidR="00AC2A5E" w:rsidRDefault="009549BA">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c. Reporting of Indicators During PPG/PPF</w:t>
      </w:r>
    </w:p>
    <w:tbl>
      <w:tblPr>
        <w:tblStyle w:val="aff3"/>
        <w:tblW w:w="10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5"/>
        <w:gridCol w:w="3372"/>
      </w:tblGrid>
      <w:tr w:rsidR="00AC2A5E" w14:paraId="1E121CCA" w14:textId="77777777">
        <w:trPr>
          <w:trHeight w:val="732"/>
        </w:trPr>
        <w:tc>
          <w:tcPr>
            <w:tcW w:w="6655" w:type="dxa"/>
            <w:shd w:val="clear" w:color="auto" w:fill="C6D9F1"/>
          </w:tcPr>
          <w:p w14:paraId="00000197"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Number of stakeholder entities (disaggregated by type) involved in the project PPG phase</w:t>
            </w:r>
          </w:p>
        </w:tc>
        <w:tc>
          <w:tcPr>
            <w:tcW w:w="3372" w:type="dxa"/>
            <w:vAlign w:val="center"/>
          </w:tcPr>
          <w:p w14:paraId="00000198"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Academia: 4</w:t>
            </w:r>
          </w:p>
          <w:p w14:paraId="00000199"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Government: 11</w:t>
            </w:r>
          </w:p>
          <w:p w14:paraId="0000019A"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NGOs/CSOs: 23</w:t>
            </w:r>
          </w:p>
          <w:p w14:paraId="0000019B"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Indigenous/traditional communities: 0</w:t>
            </w:r>
          </w:p>
          <w:p w14:paraId="0000019C"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Private sector: 10</w:t>
            </w:r>
          </w:p>
        </w:tc>
      </w:tr>
      <w:tr w:rsidR="00AC2A5E" w14:paraId="37E7278F" w14:textId="77777777">
        <w:trPr>
          <w:trHeight w:val="837"/>
        </w:trPr>
        <w:tc>
          <w:tcPr>
            <w:tcW w:w="6655" w:type="dxa"/>
            <w:shd w:val="clear" w:color="auto" w:fill="C6D9F1"/>
          </w:tcPr>
          <w:p w14:paraId="0000019D"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Number of persons (disaggregated by gender) who participated in the project PPG phase</w:t>
            </w:r>
          </w:p>
        </w:tc>
        <w:tc>
          <w:tcPr>
            <w:tcW w:w="3372" w:type="dxa"/>
            <w:vAlign w:val="center"/>
          </w:tcPr>
          <w:p w14:paraId="0000019E" w14:textId="77777777" w:rsidR="00AC2A5E" w:rsidRDefault="009549BA">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55 women, 45 men (100 people total)</w:t>
            </w:r>
          </w:p>
          <w:p w14:paraId="0000019F" w14:textId="77777777" w:rsidR="00AC2A5E" w:rsidRDefault="00AC2A5E">
            <w:pPr>
              <w:pBdr>
                <w:top w:val="nil"/>
                <w:left w:val="nil"/>
                <w:bottom w:val="nil"/>
                <w:right w:val="nil"/>
                <w:between w:val="nil"/>
              </w:pBdr>
              <w:rPr>
                <w:rFonts w:ascii="Calibri" w:eastAsia="Calibri" w:hAnsi="Calibri" w:cs="Calibri"/>
                <w:i/>
                <w:color w:val="000000"/>
              </w:rPr>
            </w:pPr>
          </w:p>
        </w:tc>
      </w:tr>
      <w:tr w:rsidR="00AC2A5E" w14:paraId="39E558F0" w14:textId="77777777">
        <w:tc>
          <w:tcPr>
            <w:tcW w:w="6655" w:type="dxa"/>
            <w:shd w:val="clear" w:color="auto" w:fill="C6D9F1"/>
          </w:tcPr>
          <w:p w14:paraId="000001A0"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lastRenderedPageBreak/>
              <w:t>Number of engagements (meetings, workshops, consultations, etc.) with stakeholders during PPG phase</w:t>
            </w:r>
          </w:p>
        </w:tc>
        <w:tc>
          <w:tcPr>
            <w:tcW w:w="3372" w:type="dxa"/>
            <w:vAlign w:val="center"/>
          </w:tcPr>
          <w:p w14:paraId="000001A1" w14:textId="77777777" w:rsidR="00AC2A5E" w:rsidRDefault="009549BA">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29</w:t>
            </w:r>
          </w:p>
        </w:tc>
      </w:tr>
    </w:tbl>
    <w:p w14:paraId="000001A2" w14:textId="77777777" w:rsidR="00AC2A5E" w:rsidRDefault="00AC2A5E">
      <w:pPr>
        <w:pBdr>
          <w:top w:val="nil"/>
          <w:left w:val="nil"/>
          <w:bottom w:val="nil"/>
          <w:right w:val="nil"/>
          <w:between w:val="nil"/>
        </w:pBdr>
        <w:spacing w:before="44" w:line="268" w:lineRule="auto"/>
        <w:ind w:right="114"/>
        <w:rPr>
          <w:rFonts w:ascii="Calibri" w:eastAsia="Calibri" w:hAnsi="Calibri" w:cs="Calibri"/>
          <w:b/>
          <w:color w:val="000000"/>
          <w:sz w:val="24"/>
          <w:szCs w:val="24"/>
        </w:rPr>
      </w:pPr>
    </w:p>
    <w:p w14:paraId="000001A3" w14:textId="77777777" w:rsidR="00AC2A5E" w:rsidRDefault="009549BA">
      <w:pPr>
        <w:pBdr>
          <w:top w:val="nil"/>
          <w:left w:val="nil"/>
          <w:bottom w:val="nil"/>
          <w:right w:val="nil"/>
          <w:between w:val="nil"/>
        </w:pBdr>
        <w:spacing w:before="44" w:line="268" w:lineRule="auto"/>
        <w:ind w:right="114"/>
        <w:rPr>
          <w:rFonts w:ascii="Calibri" w:eastAsia="Calibri" w:hAnsi="Calibri" w:cs="Calibri"/>
          <w:b/>
          <w:color w:val="000000"/>
          <w:sz w:val="24"/>
          <w:szCs w:val="24"/>
        </w:rPr>
      </w:pPr>
      <w:r>
        <w:rPr>
          <w:rFonts w:ascii="Calibri" w:eastAsia="Calibri" w:hAnsi="Calibri" w:cs="Calibri"/>
          <w:b/>
          <w:color w:val="000000"/>
          <w:sz w:val="24"/>
          <w:szCs w:val="24"/>
        </w:rPr>
        <w:t>d. Lessons Learned during PPG/PPF:</w:t>
      </w:r>
    </w:p>
    <w:p w14:paraId="000001A4" w14:textId="77777777" w:rsidR="00AC2A5E" w:rsidRDefault="009549BA">
      <w:pPr>
        <w:pBdr>
          <w:top w:val="nil"/>
          <w:left w:val="nil"/>
          <w:bottom w:val="nil"/>
          <w:right w:val="nil"/>
          <w:between w:val="nil"/>
        </w:pBdr>
        <w:spacing w:before="44" w:line="268" w:lineRule="auto"/>
        <w:ind w:right="114"/>
        <w:rPr>
          <w:rFonts w:ascii="Calibri" w:eastAsia="Calibri" w:hAnsi="Calibri" w:cs="Calibri"/>
          <w:color w:val="000000"/>
          <w:sz w:val="24"/>
          <w:szCs w:val="24"/>
        </w:rPr>
      </w:pPr>
      <w:r>
        <w:rPr>
          <w:rFonts w:ascii="Calibri" w:eastAsia="Calibri" w:hAnsi="Calibri" w:cs="Calibri"/>
          <w:i/>
          <w:color w:val="000000"/>
          <w:sz w:val="24"/>
          <w:szCs w:val="24"/>
        </w:rPr>
        <w:t>What went well and did not go well during the stakeholder engagements? What would you continue to do or do differently during implementation phase to have better stakeholder engagements?</w:t>
      </w:r>
    </w:p>
    <w:p w14:paraId="000001A5" w14:textId="77777777" w:rsidR="00AC2A5E" w:rsidRDefault="009549BA">
      <w:pPr>
        <w:pBdr>
          <w:top w:val="nil"/>
          <w:left w:val="nil"/>
          <w:bottom w:val="nil"/>
          <w:right w:val="nil"/>
          <w:between w:val="nil"/>
        </w:pBdr>
        <w:spacing w:before="120" w:after="120"/>
        <w:ind w:right="114"/>
        <w:jc w:val="both"/>
        <w:rPr>
          <w:rFonts w:ascii="Calibri" w:eastAsia="Calibri" w:hAnsi="Calibri" w:cs="Calibri"/>
          <w:color w:val="000000"/>
        </w:rPr>
      </w:pPr>
      <w:r>
        <w:rPr>
          <w:rFonts w:ascii="Calibri" w:eastAsia="Calibri" w:hAnsi="Calibri" w:cs="Calibri"/>
          <w:color w:val="000000"/>
        </w:rPr>
        <w:t>Engagement of local communities</w:t>
      </w:r>
      <w:sdt>
        <w:sdtPr>
          <w:tag w:val="goog_rdk_11"/>
          <w:id w:val="1562596631"/>
        </w:sdtPr>
        <w:sdtContent/>
      </w:sdt>
      <w:sdt>
        <w:sdtPr>
          <w:tag w:val="goog_rdk_12"/>
          <w:id w:val="-1208489305"/>
        </w:sdtPr>
        <w:sdtContent/>
      </w:sdt>
      <w:sdt>
        <w:sdtPr>
          <w:tag w:val="goog_rdk_13"/>
          <w:id w:val="1763637491"/>
        </w:sdtPr>
        <w:sdtContent/>
      </w:sdt>
      <w:r>
        <w:rPr>
          <w:rFonts w:ascii="Calibri" w:eastAsia="Calibri" w:hAnsi="Calibri" w:cs="Calibri"/>
          <w:color w:val="000000"/>
        </w:rPr>
        <w:t xml:space="preserve"> for this project was affected by the delay in determining project sites and activities. This delay limited the number and diversity of stakeholders we could engage. </w:t>
      </w:r>
      <w:r>
        <w:rPr>
          <w:rFonts w:ascii="Calibri" w:eastAsia="Calibri" w:hAnsi="Calibri" w:cs="Calibri"/>
        </w:rPr>
        <w:t xml:space="preserve">Due to the decision to determine sites for direct restoration during the project implementation phase and the fact that the project is more focused on supporting policy implementation, there was no engagement of local communities at the project site area level. </w:t>
      </w:r>
      <w:r>
        <w:rPr>
          <w:rFonts w:ascii="Calibri" w:eastAsia="Calibri" w:hAnsi="Calibri" w:cs="Calibri"/>
          <w:color w:val="000000"/>
        </w:rPr>
        <w:t>The stakeholders we engaged were asked about their experiences working in restoration in Brazil at a national and regional level.</w:t>
      </w:r>
    </w:p>
    <w:p w14:paraId="000001A6" w14:textId="77777777" w:rsidR="00AC2A5E" w:rsidRDefault="009549BA">
      <w:pPr>
        <w:pBdr>
          <w:top w:val="nil"/>
          <w:left w:val="nil"/>
          <w:bottom w:val="nil"/>
          <w:right w:val="nil"/>
          <w:between w:val="nil"/>
        </w:pBdr>
        <w:spacing w:before="120" w:after="120"/>
        <w:ind w:right="114"/>
        <w:jc w:val="both"/>
        <w:rPr>
          <w:rFonts w:ascii="Calibri" w:eastAsia="Calibri" w:hAnsi="Calibri" w:cs="Calibri"/>
          <w:color w:val="000000"/>
        </w:rPr>
      </w:pPr>
      <w:r>
        <w:rPr>
          <w:rFonts w:ascii="Calibri" w:eastAsia="Calibri" w:hAnsi="Calibri" w:cs="Calibri"/>
          <w:color w:val="000000"/>
        </w:rPr>
        <w:t>Most of the consultations with stakeholders during PPG phase were conducted online to ensure efficiency and a diversity of stakeholders. Stakeholder engagement largely included NGOs and financial institutions due to the lessons learned that they can share from similar initiatives. Stakeholder discussions also focused on supply chains and financial incentives as this was identified as a major challenge for the project to overcome. The consultations also involved the nineteen institutions that make up the advisory committee in a three-day face-to-face meeting to gather input for writing the project proposal. In addition, consultations were conducted to carry out technical studies that identified subsidies for the project in terms of the production chain for the recovery of native vegetation, financial incentives, and MEAL.</w:t>
      </w:r>
    </w:p>
    <w:p w14:paraId="000001A7" w14:textId="77777777" w:rsidR="00AC2A5E" w:rsidRDefault="009549BA">
      <w:pPr>
        <w:pBdr>
          <w:top w:val="nil"/>
          <w:left w:val="nil"/>
          <w:bottom w:val="nil"/>
          <w:right w:val="nil"/>
          <w:between w:val="nil"/>
        </w:pBdr>
        <w:spacing w:before="120" w:after="120"/>
        <w:ind w:right="114"/>
        <w:jc w:val="both"/>
        <w:rPr>
          <w:rFonts w:ascii="Calibri" w:eastAsia="Calibri" w:hAnsi="Calibri" w:cs="Calibri"/>
          <w:color w:val="000000"/>
        </w:rPr>
      </w:pPr>
      <w:r>
        <w:rPr>
          <w:rFonts w:ascii="Calibri" w:eastAsia="Calibri" w:hAnsi="Calibri" w:cs="Calibri"/>
          <w:color w:val="000000"/>
        </w:rPr>
        <w:t xml:space="preserve">Key recommendations from these engagements include the need to increase access to finance, facilitate market access for non-timber forest products, invest in research and development to enhance ecosystem resilience, and combine restoration efforts with conventional practices like cattle ranching. The most significant challenge will be creating financial incentives to make ecosystem restoration and sustainable agriculture more financially viable than traditional agricultural practices such as cattle ranching. By addressing operational risks, regulating the carbon credit market, and strengthening policy coherence, Restaura Biomas can create an enabling environment for restoration initiatives. </w:t>
      </w:r>
    </w:p>
    <w:p w14:paraId="000001A8" w14:textId="77777777" w:rsidR="00AC2A5E" w:rsidRDefault="009549BA">
      <w:pPr>
        <w:pBdr>
          <w:top w:val="nil"/>
          <w:left w:val="nil"/>
          <w:bottom w:val="nil"/>
          <w:right w:val="nil"/>
          <w:between w:val="nil"/>
        </w:pBdr>
        <w:spacing w:before="120" w:after="120"/>
        <w:ind w:right="114"/>
        <w:jc w:val="both"/>
        <w:rPr>
          <w:rFonts w:ascii="Calibri" w:eastAsia="Calibri" w:hAnsi="Calibri" w:cs="Calibri"/>
          <w:color w:val="000000"/>
        </w:rPr>
      </w:pPr>
      <w:r>
        <w:rPr>
          <w:rFonts w:ascii="Calibri" w:eastAsia="Calibri" w:hAnsi="Calibri" w:cs="Calibri"/>
          <w:color w:val="000000"/>
        </w:rPr>
        <w:t>During implementation, Restaura Biomas will have on-the-ground consultations with farmers and people involved in restoration supply chains (i.e. seedling suppliers, restoration networks, and Indigenous and local communities) since these groups are key to implementing the project. This is already being conducted through Component 2 (strengthening restoration networks. In future consultations, closer discussions with the following groups will be helpful:</w:t>
      </w:r>
    </w:p>
    <w:p w14:paraId="000001A9" w14:textId="77777777" w:rsidR="00AC2A5E" w:rsidRDefault="009549BA">
      <w:pPr>
        <w:numPr>
          <w:ilvl w:val="0"/>
          <w:numId w:val="7"/>
        </w:numPr>
        <w:pBdr>
          <w:top w:val="nil"/>
          <w:left w:val="nil"/>
          <w:bottom w:val="nil"/>
          <w:right w:val="nil"/>
          <w:between w:val="nil"/>
        </w:pBdr>
        <w:spacing w:before="120" w:after="120"/>
        <w:ind w:right="114"/>
        <w:jc w:val="both"/>
        <w:rPr>
          <w:rFonts w:ascii="Calibri" w:eastAsia="Calibri" w:hAnsi="Calibri" w:cs="Calibri"/>
          <w:color w:val="000000"/>
        </w:rPr>
      </w:pPr>
      <w:r>
        <w:rPr>
          <w:rFonts w:ascii="Calibri" w:eastAsia="Calibri" w:hAnsi="Calibri" w:cs="Calibri"/>
          <w:b/>
          <w:color w:val="000000"/>
        </w:rPr>
        <w:t>Restoration networks:</w:t>
      </w:r>
      <w:r>
        <w:rPr>
          <w:rFonts w:ascii="Calibri" w:eastAsia="Calibri" w:hAnsi="Calibri" w:cs="Calibri"/>
          <w:color w:val="000000"/>
        </w:rPr>
        <w:t xml:space="preserve"> Successfully engaging with restoration networks is essential to achieving the PROVEG and PLANAVEG goals and ensuring the long-term success of the project. The project team has already engaged restoration networks in all six biomes. Engaging restoration networks will help the Restaura Biomas project team understand the finance and technical assistance needs of these organizations. Restoration networks can also share lessons learned to inform the design of restoration activities. Through engaging these networks, the project development team can also ascertain the impact that they can have in terms of creating livelihood opportunities for local communities and Indigenous peoples.</w:t>
      </w:r>
    </w:p>
    <w:p w14:paraId="000001AA" w14:textId="77777777" w:rsidR="00AC2A5E" w:rsidRDefault="009549BA">
      <w:pPr>
        <w:numPr>
          <w:ilvl w:val="0"/>
          <w:numId w:val="7"/>
        </w:numPr>
        <w:pBdr>
          <w:top w:val="nil"/>
          <w:left w:val="nil"/>
          <w:bottom w:val="nil"/>
          <w:right w:val="nil"/>
          <w:between w:val="nil"/>
        </w:pBdr>
        <w:spacing w:before="120" w:after="120"/>
        <w:ind w:right="114"/>
        <w:jc w:val="both"/>
        <w:rPr>
          <w:rFonts w:ascii="Calibri" w:eastAsia="Calibri" w:hAnsi="Calibri" w:cs="Calibri"/>
          <w:color w:val="000000"/>
        </w:rPr>
      </w:pPr>
      <w:r>
        <w:rPr>
          <w:rFonts w:ascii="Calibri" w:eastAsia="Calibri" w:hAnsi="Calibri" w:cs="Calibri"/>
          <w:b/>
          <w:color w:val="000000"/>
        </w:rPr>
        <w:t>Indigenous peoples, local communities, and women:</w:t>
      </w:r>
      <w:r>
        <w:rPr>
          <w:rFonts w:ascii="Calibri" w:eastAsia="Calibri" w:hAnsi="Calibri" w:cs="Calibri"/>
          <w:color w:val="000000"/>
        </w:rPr>
        <w:t xml:space="preserve"> During the PPG phase information on these stakeholder groups was collected through engaging NGOs and CSOs working with these communities and peoples since the sites for direct restoration activities will be determined during the project implementation phase. However, once Restaura Biomas determines sites for restoration activities, it will be possible to conduct more direct engagement with Indigenous peoples, local communities, and women using the Indigenous Peoples Plan and Gender Mainstreaming Plan to inform this. </w:t>
      </w:r>
    </w:p>
    <w:p w14:paraId="000001AB" w14:textId="77777777" w:rsidR="00AC2A5E" w:rsidRDefault="009549BA">
      <w:pPr>
        <w:numPr>
          <w:ilvl w:val="0"/>
          <w:numId w:val="7"/>
        </w:numPr>
        <w:pBdr>
          <w:top w:val="nil"/>
          <w:left w:val="nil"/>
          <w:bottom w:val="nil"/>
          <w:right w:val="nil"/>
          <w:between w:val="nil"/>
        </w:pBdr>
        <w:spacing w:before="120" w:after="120"/>
        <w:ind w:right="114"/>
        <w:jc w:val="both"/>
        <w:rPr>
          <w:rFonts w:ascii="Calibri" w:eastAsia="Calibri" w:hAnsi="Calibri" w:cs="Calibri"/>
          <w:color w:val="000000"/>
        </w:rPr>
        <w:sectPr w:rsidR="00AC2A5E">
          <w:headerReference w:type="even" r:id="rId11"/>
          <w:headerReference w:type="default" r:id="rId12"/>
          <w:footerReference w:type="even" r:id="rId13"/>
          <w:footerReference w:type="default" r:id="rId14"/>
          <w:headerReference w:type="first" r:id="rId15"/>
          <w:footerReference w:type="first" r:id="rId16"/>
          <w:pgSz w:w="11910" w:h="16840"/>
          <w:pgMar w:top="851" w:right="853" w:bottom="980" w:left="1020" w:header="0" w:footer="288" w:gutter="0"/>
          <w:pgNumType w:start="1"/>
          <w:cols w:space="720"/>
        </w:sectPr>
      </w:pPr>
      <w:r>
        <w:rPr>
          <w:rFonts w:ascii="Calibri" w:eastAsia="Calibri" w:hAnsi="Calibri" w:cs="Calibri"/>
          <w:b/>
          <w:color w:val="000000"/>
        </w:rPr>
        <w:t>Farmers and others involved in restoration supply chains:</w:t>
      </w:r>
      <w:r>
        <w:rPr>
          <w:rFonts w:ascii="Calibri" w:eastAsia="Calibri" w:hAnsi="Calibri" w:cs="Calibri"/>
          <w:color w:val="000000"/>
        </w:rPr>
        <w:t xml:space="preserve"> Stakeholders engaged during the PPG phase identified farmers as the most difficult yet most important stakeholders to support restoration efforts. </w:t>
      </w:r>
      <w:r>
        <w:rPr>
          <w:rFonts w:ascii="Calibri" w:eastAsia="Calibri" w:hAnsi="Calibri" w:cs="Calibri"/>
          <w:color w:val="000000"/>
        </w:rPr>
        <w:lastRenderedPageBreak/>
        <w:t>By engaging farmers and other stakeholders involved in restoration supply chains (e.g. seedling suppliers), Restaura Biomas can understand the key gaps in restoration supply chains and barriers for farmers to adopt sustainable farming practices.</w:t>
      </w:r>
    </w:p>
    <w:p w14:paraId="000001AC" w14:textId="77777777" w:rsidR="00AC2A5E" w:rsidRDefault="009549BA">
      <w:pPr>
        <w:pBdr>
          <w:top w:val="nil"/>
          <w:left w:val="nil"/>
          <w:bottom w:val="single" w:sz="4" w:space="1" w:color="000000"/>
          <w:right w:val="nil"/>
          <w:between w:val="nil"/>
        </w:pBdr>
        <w:rPr>
          <w:rFonts w:ascii="Calibri" w:eastAsia="Calibri" w:hAnsi="Calibri" w:cs="Calibri"/>
          <w:b/>
          <w:color w:val="000000"/>
          <w:sz w:val="28"/>
          <w:szCs w:val="28"/>
        </w:rPr>
      </w:pPr>
      <w:bookmarkStart w:id="0" w:name="_heading=h.gjdgxs" w:colFirst="0" w:colLast="0"/>
      <w:bookmarkEnd w:id="0"/>
      <w:r>
        <w:rPr>
          <w:rFonts w:ascii="Calibri" w:eastAsia="Calibri" w:hAnsi="Calibri" w:cs="Calibri"/>
          <w:b/>
          <w:color w:val="000000"/>
          <w:sz w:val="28"/>
          <w:szCs w:val="28"/>
        </w:rPr>
        <w:lastRenderedPageBreak/>
        <w:t>SECTION V: Stakeholder Engagement in the Implementation Phase</w:t>
      </w:r>
    </w:p>
    <w:p w14:paraId="000001AD" w14:textId="77777777" w:rsidR="00AC2A5E" w:rsidRDefault="00AC2A5E">
      <w:pPr>
        <w:pBdr>
          <w:top w:val="nil"/>
          <w:left w:val="nil"/>
          <w:bottom w:val="nil"/>
          <w:right w:val="nil"/>
          <w:between w:val="nil"/>
        </w:pBdr>
        <w:rPr>
          <w:rFonts w:ascii="Calibri" w:eastAsia="Calibri" w:hAnsi="Calibri" w:cs="Calibri"/>
          <w:color w:val="000000"/>
          <w:sz w:val="24"/>
          <w:szCs w:val="24"/>
        </w:rPr>
      </w:pPr>
    </w:p>
    <w:tbl>
      <w:tblPr>
        <w:tblStyle w:val="aff4"/>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6"/>
        <w:gridCol w:w="2344"/>
        <w:gridCol w:w="1595"/>
        <w:gridCol w:w="2193"/>
        <w:gridCol w:w="2151"/>
      </w:tblGrid>
      <w:tr w:rsidR="00AC2A5E" w14:paraId="731DA8AC" w14:textId="77777777">
        <w:trPr>
          <w:trHeight w:val="924"/>
        </w:trPr>
        <w:tc>
          <w:tcPr>
            <w:tcW w:w="1746" w:type="dxa"/>
            <w:shd w:val="clear" w:color="auto" w:fill="C6D9F1"/>
            <w:vAlign w:val="center"/>
          </w:tcPr>
          <w:p w14:paraId="000001AE"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Stakeholder</w:t>
            </w:r>
          </w:p>
          <w:p w14:paraId="000001AF"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Name</w:t>
            </w:r>
          </w:p>
        </w:tc>
        <w:tc>
          <w:tcPr>
            <w:tcW w:w="2344" w:type="dxa"/>
            <w:shd w:val="clear" w:color="auto" w:fill="C6D9F1"/>
            <w:vAlign w:val="center"/>
          </w:tcPr>
          <w:p w14:paraId="000001B0"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Method of Engagement </w:t>
            </w:r>
          </w:p>
        </w:tc>
        <w:tc>
          <w:tcPr>
            <w:tcW w:w="1595" w:type="dxa"/>
            <w:shd w:val="clear" w:color="auto" w:fill="C6D9F1"/>
            <w:vAlign w:val="center"/>
          </w:tcPr>
          <w:p w14:paraId="000001B1"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Location and Frequency</w:t>
            </w:r>
          </w:p>
        </w:tc>
        <w:tc>
          <w:tcPr>
            <w:tcW w:w="2193" w:type="dxa"/>
            <w:shd w:val="clear" w:color="auto" w:fill="C6D9F1"/>
            <w:vAlign w:val="center"/>
          </w:tcPr>
          <w:p w14:paraId="000001B2"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Resources Required</w:t>
            </w:r>
          </w:p>
        </w:tc>
        <w:tc>
          <w:tcPr>
            <w:tcW w:w="2151" w:type="dxa"/>
            <w:shd w:val="clear" w:color="auto" w:fill="C6D9F1"/>
            <w:vAlign w:val="center"/>
          </w:tcPr>
          <w:p w14:paraId="000001B3"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Budget</w:t>
            </w:r>
          </w:p>
        </w:tc>
      </w:tr>
      <w:tr w:rsidR="00AC2A5E" w14:paraId="53DCD44E" w14:textId="77777777">
        <w:trPr>
          <w:trHeight w:val="1296"/>
        </w:trPr>
        <w:tc>
          <w:tcPr>
            <w:tcW w:w="1746" w:type="dxa"/>
          </w:tcPr>
          <w:p w14:paraId="000001B4"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Name the key stakeholder and group type to be engaged. Add columns as necessary.</w:t>
            </w:r>
          </w:p>
        </w:tc>
        <w:tc>
          <w:tcPr>
            <w:tcW w:w="2344" w:type="dxa"/>
          </w:tcPr>
          <w:p w14:paraId="000001B5"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How will you involve and engage this stakeholder? (meeting, consultation, workshop, discussion, etc)</w:t>
            </w:r>
          </w:p>
          <w:p w14:paraId="000001B6" w14:textId="77777777" w:rsidR="00AC2A5E" w:rsidRDefault="00AC2A5E">
            <w:pPr>
              <w:pBdr>
                <w:top w:val="nil"/>
                <w:left w:val="nil"/>
                <w:bottom w:val="nil"/>
                <w:right w:val="nil"/>
                <w:between w:val="nil"/>
              </w:pBdr>
              <w:rPr>
                <w:rFonts w:ascii="Calibri" w:eastAsia="Calibri" w:hAnsi="Calibri" w:cs="Calibri"/>
                <w:i/>
                <w:color w:val="000000"/>
                <w:sz w:val="20"/>
                <w:szCs w:val="20"/>
              </w:rPr>
            </w:pPr>
          </w:p>
          <w:p w14:paraId="000001B7"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What special measures would be taken to include disadvantaged/vulnerable individuals/groups? (e.g. women, minorities, elderly, youth, etc.)?</w:t>
            </w:r>
          </w:p>
          <w:p w14:paraId="000001B8" w14:textId="77777777" w:rsidR="00AC2A5E" w:rsidRDefault="00AC2A5E">
            <w:pPr>
              <w:pBdr>
                <w:top w:val="nil"/>
                <w:left w:val="nil"/>
                <w:bottom w:val="nil"/>
                <w:right w:val="nil"/>
                <w:between w:val="nil"/>
              </w:pBdr>
              <w:rPr>
                <w:rFonts w:ascii="Calibri" w:eastAsia="Calibri" w:hAnsi="Calibri" w:cs="Calibri"/>
                <w:i/>
                <w:color w:val="000000"/>
                <w:sz w:val="20"/>
                <w:szCs w:val="20"/>
              </w:rPr>
            </w:pPr>
          </w:p>
          <w:p w14:paraId="000001B9"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What steps would be taken to seek consent, if needed.</w:t>
            </w:r>
          </w:p>
          <w:p w14:paraId="000001BA" w14:textId="77777777" w:rsidR="00AC2A5E" w:rsidRDefault="00AC2A5E">
            <w:pPr>
              <w:pBdr>
                <w:top w:val="nil"/>
                <w:left w:val="nil"/>
                <w:bottom w:val="nil"/>
                <w:right w:val="nil"/>
                <w:between w:val="nil"/>
              </w:pBdr>
              <w:rPr>
                <w:rFonts w:ascii="Calibri" w:eastAsia="Calibri" w:hAnsi="Calibri" w:cs="Calibri"/>
                <w:i/>
                <w:color w:val="000000"/>
                <w:sz w:val="20"/>
                <w:szCs w:val="20"/>
              </w:rPr>
            </w:pPr>
          </w:p>
          <w:p w14:paraId="000001BB"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Who will engage the stakeholders e.g. project staff, facilitators, etc.?</w:t>
            </w:r>
          </w:p>
          <w:p w14:paraId="000001BC" w14:textId="77777777" w:rsidR="00AC2A5E" w:rsidRDefault="00AC2A5E">
            <w:pPr>
              <w:pBdr>
                <w:top w:val="nil"/>
                <w:left w:val="nil"/>
                <w:bottom w:val="nil"/>
                <w:right w:val="nil"/>
                <w:between w:val="nil"/>
              </w:pBdr>
              <w:rPr>
                <w:rFonts w:ascii="Calibri" w:eastAsia="Calibri" w:hAnsi="Calibri" w:cs="Calibri"/>
                <w:i/>
                <w:color w:val="000000"/>
                <w:sz w:val="20"/>
                <w:szCs w:val="20"/>
              </w:rPr>
            </w:pPr>
          </w:p>
          <w:p w14:paraId="000001BD"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Reminder: Disclosure of project information continues throughout implementation so be sure to cater for this.</w:t>
            </w:r>
          </w:p>
        </w:tc>
        <w:tc>
          <w:tcPr>
            <w:tcW w:w="1595" w:type="dxa"/>
          </w:tcPr>
          <w:p w14:paraId="000001BE"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 xml:space="preserve">Where and When will you engage with this stakeholder? </w:t>
            </w:r>
          </w:p>
          <w:p w14:paraId="000001BF" w14:textId="77777777" w:rsidR="00AC2A5E" w:rsidRDefault="00AC2A5E">
            <w:pPr>
              <w:pBdr>
                <w:top w:val="nil"/>
                <w:left w:val="nil"/>
                <w:bottom w:val="nil"/>
                <w:right w:val="nil"/>
                <w:between w:val="nil"/>
              </w:pBdr>
              <w:rPr>
                <w:rFonts w:ascii="Calibri" w:eastAsia="Calibri" w:hAnsi="Calibri" w:cs="Calibri"/>
                <w:i/>
                <w:color w:val="000000"/>
                <w:sz w:val="20"/>
                <w:szCs w:val="20"/>
              </w:rPr>
            </w:pPr>
          </w:p>
        </w:tc>
        <w:tc>
          <w:tcPr>
            <w:tcW w:w="2193" w:type="dxa"/>
          </w:tcPr>
          <w:p w14:paraId="000001C0"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What materials (presentations, websites, brochures, surveys, translation) are needed?</w:t>
            </w:r>
          </w:p>
          <w:p w14:paraId="000001C1"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What personnel are needed to lead and monitor these engagements?</w:t>
            </w:r>
          </w:p>
        </w:tc>
        <w:tc>
          <w:tcPr>
            <w:tcW w:w="2151" w:type="dxa"/>
          </w:tcPr>
          <w:p w14:paraId="000001C2" w14:textId="77777777" w:rsidR="00AC2A5E" w:rsidRDefault="009549BA">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How much will this engagement cost? Consider resources required, staff, transportation, etc.</w:t>
            </w:r>
          </w:p>
        </w:tc>
      </w:tr>
      <w:tr w:rsidR="00AC2A5E" w14:paraId="2A5B5F14" w14:textId="77777777">
        <w:trPr>
          <w:trHeight w:val="1296"/>
        </w:trPr>
        <w:tc>
          <w:tcPr>
            <w:tcW w:w="1746" w:type="dxa"/>
            <w:tcMar>
              <w:top w:w="100" w:type="dxa"/>
              <w:left w:w="100" w:type="dxa"/>
              <w:bottom w:w="100" w:type="dxa"/>
              <w:right w:w="100" w:type="dxa"/>
            </w:tcMar>
          </w:tcPr>
          <w:p w14:paraId="000001C3" w14:textId="77777777" w:rsidR="00AC2A5E" w:rsidRDefault="009549B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S</w:t>
            </w:r>
            <w:sdt>
              <w:sdtPr>
                <w:tag w:val="goog_rdk_14"/>
                <w:id w:val="-1282257545"/>
              </w:sdtPr>
              <w:sdtContent/>
            </w:sdt>
            <w:sdt>
              <w:sdtPr>
                <w:tag w:val="goog_rdk_15"/>
                <w:id w:val="449059777"/>
              </w:sdtPr>
              <w:sdtContent/>
            </w:sdt>
            <w:sdt>
              <w:sdtPr>
                <w:tag w:val="goog_rdk_16"/>
                <w:id w:val="340584876"/>
              </w:sdtPr>
              <w:sdtContent/>
            </w:sdt>
            <w:sdt>
              <w:sdtPr>
                <w:tag w:val="goog_rdk_17"/>
                <w:id w:val="-925265560"/>
              </w:sdtPr>
              <w:sdtContent/>
            </w:sdt>
            <w:r>
              <w:rPr>
                <w:rFonts w:ascii="Calibri" w:eastAsia="Calibri" w:hAnsi="Calibri" w:cs="Calibri"/>
                <w:color w:val="000000"/>
                <w:sz w:val="20"/>
                <w:szCs w:val="20"/>
              </w:rPr>
              <w:t>ubnational government departments at the state and local levels.</w:t>
            </w:r>
          </w:p>
        </w:tc>
        <w:tc>
          <w:tcPr>
            <w:tcW w:w="2344" w:type="dxa"/>
            <w:tcMar>
              <w:top w:w="100" w:type="dxa"/>
              <w:left w:w="100" w:type="dxa"/>
              <w:bottom w:w="100" w:type="dxa"/>
              <w:right w:w="100" w:type="dxa"/>
            </w:tcMar>
          </w:tcPr>
          <w:p w14:paraId="000001C4"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WRI-</w:t>
            </w:r>
            <w:proofErr w:type="spellStart"/>
            <w:r>
              <w:rPr>
                <w:rFonts w:ascii="Calibri" w:eastAsia="Calibri" w:hAnsi="Calibri" w:cs="Calibri"/>
                <w:color w:val="000000"/>
                <w:sz w:val="20"/>
                <w:szCs w:val="20"/>
              </w:rPr>
              <w:t>Brasil</w:t>
            </w:r>
            <w:proofErr w:type="spellEnd"/>
            <w:r>
              <w:rPr>
                <w:rFonts w:ascii="Calibri" w:eastAsia="Calibri" w:hAnsi="Calibri" w:cs="Calibri"/>
                <w:color w:val="000000"/>
                <w:sz w:val="20"/>
                <w:szCs w:val="20"/>
              </w:rPr>
              <w:t xml:space="preserve"> will build off the engagement of government agencies during PPG phase during implementation of various government-sponsored programs. It is likely that this will be carried out using virtual and in-person meetings, consultations, and workshops. </w:t>
            </w:r>
          </w:p>
        </w:tc>
        <w:tc>
          <w:tcPr>
            <w:tcW w:w="1595" w:type="dxa"/>
          </w:tcPr>
          <w:p w14:paraId="000001C5" w14:textId="77777777" w:rsidR="00AC2A5E" w:rsidRDefault="009549BA">
            <w:pPr>
              <w:widowContro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0"/>
                <w:szCs w:val="20"/>
              </w:rPr>
              <w:t>Virtual or in-person, during kick-off and then on an ad hoc basis</w:t>
            </w:r>
          </w:p>
        </w:tc>
        <w:tc>
          <w:tcPr>
            <w:tcW w:w="2193" w:type="dxa"/>
          </w:tcPr>
          <w:p w14:paraId="000001C6"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Presentations</w:t>
            </w:r>
          </w:p>
          <w:p w14:paraId="000001C7"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1C8"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WRI project implementation staff  </w:t>
            </w:r>
          </w:p>
          <w:p w14:paraId="000001C9" w14:textId="77777777" w:rsidR="00AC2A5E" w:rsidRDefault="00AC2A5E">
            <w:pPr>
              <w:widowControl/>
              <w:pBdr>
                <w:top w:val="nil"/>
                <w:left w:val="nil"/>
                <w:bottom w:val="nil"/>
                <w:right w:val="nil"/>
                <w:between w:val="nil"/>
              </w:pBdr>
              <w:jc w:val="center"/>
              <w:rPr>
                <w:rFonts w:ascii="Calibri" w:eastAsia="Calibri" w:hAnsi="Calibri" w:cs="Calibri"/>
                <w:color w:val="000000"/>
                <w:sz w:val="20"/>
                <w:szCs w:val="20"/>
              </w:rPr>
            </w:pPr>
          </w:p>
          <w:p w14:paraId="000001CA" w14:textId="77777777" w:rsidR="00AC2A5E" w:rsidRDefault="00AC2A5E">
            <w:pPr>
              <w:widowControl/>
              <w:pBdr>
                <w:top w:val="nil"/>
                <w:left w:val="nil"/>
                <w:bottom w:val="nil"/>
                <w:right w:val="nil"/>
                <w:between w:val="nil"/>
              </w:pBdr>
              <w:jc w:val="center"/>
              <w:rPr>
                <w:rFonts w:ascii="Calibri" w:eastAsia="Calibri" w:hAnsi="Calibri" w:cs="Calibri"/>
                <w:color w:val="000000"/>
                <w:sz w:val="20"/>
                <w:szCs w:val="20"/>
              </w:rPr>
            </w:pPr>
          </w:p>
        </w:tc>
        <w:tc>
          <w:tcPr>
            <w:tcW w:w="2151" w:type="dxa"/>
          </w:tcPr>
          <w:p w14:paraId="000001CB"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Mariana Olivera and the Food, Land, and Water Director will each allocate 14.28% of their time toward this stakeholder group. Additionally, the Project Lead Manager will support this engagement.</w:t>
            </w:r>
          </w:p>
          <w:p w14:paraId="000001CC"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1CD" w14:textId="77777777" w:rsidR="00AC2A5E" w:rsidRDefault="009549BA">
            <w:pPr>
              <w:widowContro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0"/>
                <w:szCs w:val="20"/>
              </w:rPr>
              <w:t xml:space="preserve">For any in-person meetings that require travel and further logistics, this has been integrated into the budget for 14.28% of the Engagement Travels line budget. </w:t>
            </w:r>
          </w:p>
        </w:tc>
      </w:tr>
      <w:tr w:rsidR="00AC2A5E" w14:paraId="0E5B397E" w14:textId="77777777">
        <w:trPr>
          <w:trHeight w:val="1296"/>
        </w:trPr>
        <w:tc>
          <w:tcPr>
            <w:tcW w:w="1746" w:type="dxa"/>
            <w:tcMar>
              <w:top w:w="100" w:type="dxa"/>
              <w:left w:w="100" w:type="dxa"/>
              <w:bottom w:w="100" w:type="dxa"/>
              <w:right w:w="100" w:type="dxa"/>
            </w:tcMar>
          </w:tcPr>
          <w:p w14:paraId="000001CE"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Indigenous peoples and traditional communities (</w:t>
            </w:r>
            <w:proofErr w:type="spellStart"/>
            <w:r>
              <w:rPr>
                <w:rFonts w:ascii="Calibri" w:eastAsia="Calibri" w:hAnsi="Calibri" w:cs="Calibri"/>
                <w:color w:val="000000"/>
                <w:sz w:val="20"/>
                <w:szCs w:val="20"/>
              </w:rPr>
              <w:t>quilombolas</w:t>
            </w:r>
            <w:proofErr w:type="spellEnd"/>
            <w:r>
              <w:rPr>
                <w:rFonts w:ascii="Calibri" w:eastAsia="Calibri" w:hAnsi="Calibri" w:cs="Calibri"/>
                <w:color w:val="000000"/>
                <w:sz w:val="20"/>
                <w:szCs w:val="20"/>
              </w:rPr>
              <w:t>)</w:t>
            </w:r>
          </w:p>
        </w:tc>
        <w:tc>
          <w:tcPr>
            <w:tcW w:w="2344" w:type="dxa"/>
          </w:tcPr>
          <w:p w14:paraId="000001CF"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Typically, they will be engaged on an informal basis via meetings, workshops, and</w:t>
            </w:r>
          </w:p>
          <w:p w14:paraId="000001D0"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conference calls. </w:t>
            </w:r>
          </w:p>
          <w:p w14:paraId="000001D1"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1D2"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Engagement of IPs and </w:t>
            </w:r>
            <w:proofErr w:type="spellStart"/>
            <w:r>
              <w:rPr>
                <w:rFonts w:ascii="Calibri" w:eastAsia="Calibri" w:hAnsi="Calibri" w:cs="Calibri"/>
                <w:color w:val="000000"/>
                <w:sz w:val="20"/>
                <w:szCs w:val="20"/>
              </w:rPr>
              <w:t>quilombolas</w:t>
            </w:r>
            <w:proofErr w:type="spellEnd"/>
            <w:r>
              <w:rPr>
                <w:rFonts w:ascii="Calibri" w:eastAsia="Calibri" w:hAnsi="Calibri" w:cs="Calibri"/>
                <w:color w:val="000000"/>
                <w:sz w:val="20"/>
                <w:szCs w:val="20"/>
              </w:rPr>
              <w:t xml:space="preserve"> will ensure that any activities respect their traditional way of life as detailed in the Indigenous Peoples Plan. </w:t>
            </w:r>
          </w:p>
        </w:tc>
        <w:tc>
          <w:tcPr>
            <w:tcW w:w="1595" w:type="dxa"/>
          </w:tcPr>
          <w:p w14:paraId="000001D3" w14:textId="77777777" w:rsidR="00AC2A5E" w:rsidRDefault="009549BA">
            <w:pPr>
              <w:widowContro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0"/>
                <w:szCs w:val="20"/>
              </w:rPr>
              <w:t xml:space="preserve">Virtual or in-person, will be done on an ad-hoc basis </w:t>
            </w:r>
          </w:p>
        </w:tc>
        <w:tc>
          <w:tcPr>
            <w:tcW w:w="2193" w:type="dxa"/>
            <w:tcMar>
              <w:top w:w="100" w:type="dxa"/>
              <w:left w:w="100" w:type="dxa"/>
              <w:bottom w:w="100" w:type="dxa"/>
              <w:right w:w="100" w:type="dxa"/>
            </w:tcMar>
          </w:tcPr>
          <w:p w14:paraId="000001D4"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4"/>
                <w:szCs w:val="24"/>
              </w:rPr>
              <w:t>Engagement will be done in accordance with the project’s Indigenous Peoples Plan.</w:t>
            </w:r>
            <w:r>
              <w:rPr>
                <w:rFonts w:ascii="Calibri" w:eastAsia="Calibri" w:hAnsi="Calibri" w:cs="Calibri"/>
                <w:color w:val="000000"/>
                <w:sz w:val="20"/>
                <w:szCs w:val="20"/>
              </w:rPr>
              <w:t xml:space="preserve"> This will be managed by WRI. </w:t>
            </w:r>
          </w:p>
        </w:tc>
        <w:tc>
          <w:tcPr>
            <w:tcW w:w="2151" w:type="dxa"/>
          </w:tcPr>
          <w:p w14:paraId="000001D5"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Mariana Olivera and the Food, Land, and Water Director will each allocate 14.28% of their time toward this stakeholder group. Additionally, the Project Lead Manager will support this engagement.</w:t>
            </w:r>
          </w:p>
          <w:p w14:paraId="000001D6"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1D7"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For any in-person meetings that require travel and further logistics, this has been integrated into the budget for 14.28% of the Engagement Travels line budget. </w:t>
            </w:r>
          </w:p>
        </w:tc>
      </w:tr>
      <w:tr w:rsidR="00AC2A5E" w14:paraId="5CB9453A" w14:textId="77777777">
        <w:trPr>
          <w:trHeight w:val="1296"/>
        </w:trPr>
        <w:tc>
          <w:tcPr>
            <w:tcW w:w="1746" w:type="dxa"/>
            <w:tcMar>
              <w:top w:w="100" w:type="dxa"/>
              <w:left w:w="100" w:type="dxa"/>
              <w:bottom w:w="100" w:type="dxa"/>
              <w:right w:w="100" w:type="dxa"/>
            </w:tcMar>
          </w:tcPr>
          <w:p w14:paraId="000001D8"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Local communities</w:t>
            </w:r>
          </w:p>
        </w:tc>
        <w:tc>
          <w:tcPr>
            <w:tcW w:w="2344" w:type="dxa"/>
          </w:tcPr>
          <w:p w14:paraId="000001D9" w14:textId="77777777" w:rsidR="00AC2A5E" w:rsidRDefault="009549BA">
            <w:pPr>
              <w:widowControl/>
              <w:rPr>
                <w:rFonts w:ascii="Calibri" w:eastAsia="Calibri" w:hAnsi="Calibri" w:cs="Calibri"/>
                <w:color w:val="000000"/>
                <w:sz w:val="20"/>
                <w:szCs w:val="20"/>
              </w:rPr>
            </w:pPr>
            <w:r>
              <w:rPr>
                <w:rFonts w:ascii="Calibri" w:eastAsia="Calibri" w:hAnsi="Calibri" w:cs="Calibri"/>
                <w:color w:val="000000"/>
                <w:sz w:val="20"/>
                <w:szCs w:val="20"/>
              </w:rPr>
              <w:t>Typically, they will be engaged on an informal basis via meetings, workshops, and</w:t>
            </w:r>
          </w:p>
          <w:p w14:paraId="000001DA" w14:textId="77777777" w:rsidR="00AC2A5E" w:rsidRDefault="009549BA">
            <w:pPr>
              <w:widowControl/>
              <w:rPr>
                <w:rFonts w:ascii="Calibri" w:eastAsia="Calibri" w:hAnsi="Calibri" w:cs="Calibri"/>
                <w:color w:val="000000"/>
                <w:sz w:val="20"/>
                <w:szCs w:val="20"/>
              </w:rPr>
            </w:pPr>
            <w:r>
              <w:rPr>
                <w:rFonts w:ascii="Calibri" w:eastAsia="Calibri" w:hAnsi="Calibri" w:cs="Calibri"/>
                <w:color w:val="000000"/>
                <w:sz w:val="20"/>
                <w:szCs w:val="20"/>
              </w:rPr>
              <w:t xml:space="preserve">conference calls. </w:t>
            </w:r>
          </w:p>
          <w:p w14:paraId="000001DB" w14:textId="77777777" w:rsidR="00AC2A5E" w:rsidRDefault="00AC2A5E">
            <w:pPr>
              <w:widowControl/>
              <w:rPr>
                <w:rFonts w:ascii="Calibri" w:eastAsia="Calibri" w:hAnsi="Calibri" w:cs="Calibri"/>
                <w:color w:val="000000"/>
                <w:sz w:val="20"/>
                <w:szCs w:val="20"/>
              </w:rPr>
            </w:pPr>
          </w:p>
          <w:p w14:paraId="000001DC" w14:textId="77777777" w:rsidR="00AC2A5E" w:rsidRDefault="009549BA">
            <w:pPr>
              <w:widowControl/>
              <w:rPr>
                <w:rFonts w:ascii="Calibri" w:eastAsia="Calibri" w:hAnsi="Calibri" w:cs="Calibri"/>
                <w:color w:val="000000"/>
                <w:sz w:val="20"/>
                <w:szCs w:val="20"/>
              </w:rPr>
            </w:pPr>
            <w:r>
              <w:rPr>
                <w:rFonts w:ascii="Calibri" w:eastAsia="Calibri" w:hAnsi="Calibri" w:cs="Calibri"/>
                <w:color w:val="000000"/>
                <w:sz w:val="20"/>
                <w:szCs w:val="20"/>
              </w:rPr>
              <w:t xml:space="preserve">Local communities will be engaged to ensure that project activities respect their traditional way of life and livelihoods. </w:t>
            </w:r>
          </w:p>
        </w:tc>
        <w:tc>
          <w:tcPr>
            <w:tcW w:w="1595" w:type="dxa"/>
          </w:tcPr>
          <w:p w14:paraId="000001DD" w14:textId="77777777" w:rsidR="00AC2A5E" w:rsidRDefault="009549BA">
            <w:pPr>
              <w:widowControl/>
              <w:rPr>
                <w:rFonts w:ascii="Calibri" w:eastAsia="Calibri" w:hAnsi="Calibri" w:cs="Calibri"/>
                <w:color w:val="000000"/>
                <w:sz w:val="20"/>
                <w:szCs w:val="20"/>
              </w:rPr>
            </w:pPr>
            <w:r>
              <w:rPr>
                <w:rFonts w:ascii="Calibri" w:eastAsia="Calibri" w:hAnsi="Calibri" w:cs="Calibri"/>
                <w:color w:val="000000"/>
                <w:sz w:val="20"/>
                <w:szCs w:val="20"/>
              </w:rPr>
              <w:t xml:space="preserve">In-person engagements done on an ad-hoc basis </w:t>
            </w:r>
          </w:p>
        </w:tc>
        <w:tc>
          <w:tcPr>
            <w:tcW w:w="2193" w:type="dxa"/>
            <w:tcMar>
              <w:top w:w="100" w:type="dxa"/>
              <w:left w:w="100" w:type="dxa"/>
              <w:bottom w:w="100" w:type="dxa"/>
              <w:right w:w="100" w:type="dxa"/>
            </w:tcMar>
          </w:tcPr>
          <w:p w14:paraId="000001DE" w14:textId="77777777" w:rsidR="00AC2A5E" w:rsidRDefault="009549BA">
            <w:pPr>
              <w:widowControl/>
              <w:rPr>
                <w:rFonts w:ascii="Calibri" w:eastAsia="Calibri" w:hAnsi="Calibri" w:cs="Calibri"/>
                <w:color w:val="000000"/>
                <w:sz w:val="20"/>
                <w:szCs w:val="20"/>
              </w:rPr>
            </w:pPr>
            <w:r>
              <w:rPr>
                <w:rFonts w:ascii="Calibri" w:eastAsia="Calibri" w:hAnsi="Calibri" w:cs="Calibri"/>
                <w:color w:val="000000"/>
                <w:sz w:val="20"/>
                <w:szCs w:val="20"/>
              </w:rPr>
              <w:t xml:space="preserve">There will be no formalized resources required, and any engagement materials will be produced on an ad-hoc basis. This will be managed by WRI. </w:t>
            </w:r>
          </w:p>
        </w:tc>
        <w:tc>
          <w:tcPr>
            <w:tcW w:w="2151" w:type="dxa"/>
          </w:tcPr>
          <w:p w14:paraId="000001DF" w14:textId="77777777" w:rsidR="00AC2A5E" w:rsidRDefault="009549BA">
            <w:pPr>
              <w:widowControl/>
              <w:rPr>
                <w:rFonts w:ascii="Calibri" w:eastAsia="Calibri" w:hAnsi="Calibri" w:cs="Calibri"/>
                <w:color w:val="000000"/>
                <w:sz w:val="20"/>
                <w:szCs w:val="20"/>
              </w:rPr>
            </w:pPr>
            <w:r>
              <w:rPr>
                <w:rFonts w:ascii="Calibri" w:eastAsia="Calibri" w:hAnsi="Calibri" w:cs="Calibri"/>
                <w:color w:val="000000"/>
                <w:sz w:val="20"/>
                <w:szCs w:val="20"/>
              </w:rPr>
              <w:t>Mariana Olivera and the Food, Land, and Water Director will each allocate 14.28% of their time toward this stakeholder group. Additionally, the Project Lead Manager will support this engagement.</w:t>
            </w:r>
          </w:p>
          <w:p w14:paraId="000001E0" w14:textId="77777777" w:rsidR="00AC2A5E" w:rsidRDefault="009549BA">
            <w:pPr>
              <w:widowControl/>
              <w:rPr>
                <w:rFonts w:ascii="Calibri" w:eastAsia="Calibri" w:hAnsi="Calibri" w:cs="Calibri"/>
                <w:color w:val="000000"/>
                <w:sz w:val="20"/>
                <w:szCs w:val="20"/>
              </w:rPr>
            </w:pPr>
            <w:r>
              <w:rPr>
                <w:rFonts w:ascii="Calibri" w:eastAsia="Calibri" w:hAnsi="Calibri" w:cs="Calibri"/>
                <w:color w:val="000000"/>
                <w:sz w:val="20"/>
                <w:szCs w:val="20"/>
              </w:rPr>
              <w:t xml:space="preserve">For any in-person meetings that require travel and further logistics, this has been integrated into the budget for 14.28% of the Engagement Travels line budget. </w:t>
            </w:r>
          </w:p>
        </w:tc>
      </w:tr>
      <w:tr w:rsidR="00AC2A5E" w14:paraId="4AA1B396" w14:textId="77777777">
        <w:trPr>
          <w:trHeight w:val="1296"/>
        </w:trPr>
        <w:tc>
          <w:tcPr>
            <w:tcW w:w="1746" w:type="dxa"/>
            <w:tcMar>
              <w:top w:w="100" w:type="dxa"/>
              <w:left w:w="100" w:type="dxa"/>
              <w:bottom w:w="100" w:type="dxa"/>
              <w:right w:w="100" w:type="dxa"/>
            </w:tcMar>
          </w:tcPr>
          <w:p w14:paraId="000001E1"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Restoration networks</w:t>
            </w:r>
          </w:p>
        </w:tc>
        <w:tc>
          <w:tcPr>
            <w:tcW w:w="2344" w:type="dxa"/>
          </w:tcPr>
          <w:p w14:paraId="000001E2"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They must remain on the advisory committee that will be maintained during the implementation of the project.</w:t>
            </w:r>
          </w:p>
          <w:p w14:paraId="000001E3"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1E4"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Typically, these organizations will be engaged on an informal basis via meetings, workshops</w:t>
            </w:r>
          </w:p>
          <w:p w14:paraId="000001E5"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conference calls. </w:t>
            </w:r>
          </w:p>
          <w:p w14:paraId="000001E6"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1E7"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For some interactions, they may be engaged where support is needed </w:t>
            </w:r>
            <w:r>
              <w:rPr>
                <w:rFonts w:ascii="Calibri" w:eastAsia="Calibri" w:hAnsi="Calibri" w:cs="Calibri"/>
                <w:color w:val="000000"/>
                <w:sz w:val="20"/>
                <w:szCs w:val="20"/>
              </w:rPr>
              <w:lastRenderedPageBreak/>
              <w:t>in terms of identifying sites for direct implementation and activities at these sites.</w:t>
            </w:r>
            <w:r>
              <w:rPr>
                <w:color w:val="000000"/>
              </w:rPr>
              <w:t xml:space="preserve"> </w:t>
            </w:r>
            <w:r>
              <w:rPr>
                <w:rFonts w:ascii="Calibri" w:eastAsia="Calibri" w:hAnsi="Calibri" w:cs="Calibri"/>
                <w:color w:val="000000"/>
                <w:sz w:val="20"/>
                <w:szCs w:val="20"/>
              </w:rPr>
              <w:t>The advisory council will have an important role in engaging, from the institutions that make it up, local institutions and interested parties in the areas where the project activities will be carried out.</w:t>
            </w:r>
          </w:p>
        </w:tc>
        <w:tc>
          <w:tcPr>
            <w:tcW w:w="1595" w:type="dxa"/>
          </w:tcPr>
          <w:p w14:paraId="000001E8" w14:textId="77777777" w:rsidR="00AC2A5E" w:rsidRDefault="009549BA">
            <w:pPr>
              <w:widowContro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0"/>
                <w:szCs w:val="20"/>
              </w:rPr>
              <w:lastRenderedPageBreak/>
              <w:t xml:space="preserve">Virtual or in-person, will be done on an ad-hoc basis </w:t>
            </w:r>
          </w:p>
        </w:tc>
        <w:tc>
          <w:tcPr>
            <w:tcW w:w="2193" w:type="dxa"/>
            <w:tcMar>
              <w:top w:w="100" w:type="dxa"/>
              <w:left w:w="100" w:type="dxa"/>
              <w:bottom w:w="100" w:type="dxa"/>
              <w:right w:w="100" w:type="dxa"/>
            </w:tcMar>
          </w:tcPr>
          <w:p w14:paraId="000001E9"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There will be no formalized resources required, and any engagement materials will be produced on an ad-hoc basis. This will be managed by WRI. </w:t>
            </w:r>
          </w:p>
        </w:tc>
        <w:tc>
          <w:tcPr>
            <w:tcW w:w="2151" w:type="dxa"/>
          </w:tcPr>
          <w:p w14:paraId="000001EA"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Mariana Olivera and the Food, Land, and Water Director will each allocate 14.28% of their time toward this stakeholder group. Additionally, the Project Lead Manager will support this engagement.</w:t>
            </w:r>
          </w:p>
          <w:p w14:paraId="000001EB"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1EC"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For any in-person meetings that require travel and further logistics, this has been integrated into the </w:t>
            </w:r>
            <w:r>
              <w:rPr>
                <w:rFonts w:ascii="Calibri" w:eastAsia="Calibri" w:hAnsi="Calibri" w:cs="Calibri"/>
                <w:color w:val="000000"/>
                <w:sz w:val="20"/>
                <w:szCs w:val="20"/>
              </w:rPr>
              <w:lastRenderedPageBreak/>
              <w:t xml:space="preserve">budget for 14.28% of the Engagement Travels line budget. </w:t>
            </w:r>
          </w:p>
        </w:tc>
      </w:tr>
      <w:tr w:rsidR="00AC2A5E" w14:paraId="38736273" w14:textId="77777777">
        <w:trPr>
          <w:trHeight w:val="1296"/>
        </w:trPr>
        <w:tc>
          <w:tcPr>
            <w:tcW w:w="1746" w:type="dxa"/>
            <w:tcMar>
              <w:top w:w="100" w:type="dxa"/>
              <w:left w:w="100" w:type="dxa"/>
              <w:bottom w:w="100" w:type="dxa"/>
              <w:right w:w="100" w:type="dxa"/>
            </w:tcMar>
          </w:tcPr>
          <w:p w14:paraId="000001ED"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Farmers</w:t>
            </w:r>
          </w:p>
        </w:tc>
        <w:tc>
          <w:tcPr>
            <w:tcW w:w="2344" w:type="dxa"/>
          </w:tcPr>
          <w:p w14:paraId="000001EE"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Typically, farmers will be engaged on an informal basis via meetings and workshops. Engagement could also happen through technical assistance bodies which could promote one-on-one support as well as workshops.</w:t>
            </w:r>
          </w:p>
          <w:p w14:paraId="000001EF"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1F0" w14:textId="77777777" w:rsidR="00AC2A5E" w:rsidRDefault="00AC2A5E">
            <w:pPr>
              <w:widowControl/>
              <w:pBdr>
                <w:top w:val="nil"/>
                <w:left w:val="nil"/>
                <w:bottom w:val="nil"/>
                <w:right w:val="nil"/>
                <w:between w:val="nil"/>
              </w:pBdr>
              <w:rPr>
                <w:rFonts w:ascii="Calibri" w:eastAsia="Calibri" w:hAnsi="Calibri" w:cs="Calibri"/>
                <w:color w:val="000000"/>
                <w:sz w:val="24"/>
                <w:szCs w:val="24"/>
              </w:rPr>
            </w:pPr>
          </w:p>
        </w:tc>
        <w:tc>
          <w:tcPr>
            <w:tcW w:w="1595" w:type="dxa"/>
          </w:tcPr>
          <w:p w14:paraId="000001F1" w14:textId="77777777" w:rsidR="00AC2A5E" w:rsidRDefault="009549BA">
            <w:pPr>
              <w:widowContro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0"/>
                <w:szCs w:val="20"/>
              </w:rPr>
              <w:t xml:space="preserve">Engagement will largely be in-person to prevent connectivity issues. Engagement will be done on an ad-hoc basis </w:t>
            </w:r>
          </w:p>
        </w:tc>
        <w:tc>
          <w:tcPr>
            <w:tcW w:w="2193" w:type="dxa"/>
            <w:tcMar>
              <w:top w:w="100" w:type="dxa"/>
              <w:left w:w="100" w:type="dxa"/>
              <w:bottom w:w="100" w:type="dxa"/>
              <w:right w:w="100" w:type="dxa"/>
            </w:tcMar>
          </w:tcPr>
          <w:p w14:paraId="000001F2"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There will be no formalized resources required, and any engagement materials will be produced on an ad-hoc basis. This will be managed by WRI. </w:t>
            </w:r>
          </w:p>
        </w:tc>
        <w:tc>
          <w:tcPr>
            <w:tcW w:w="2151" w:type="dxa"/>
          </w:tcPr>
          <w:p w14:paraId="000001F3"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Mariana Olivera and the Food, Land, and Water Director will each allocate 14.28% of their time toward this stakeholder group. Additionally, the Project Lead Manager will support this engagement. </w:t>
            </w:r>
          </w:p>
          <w:p w14:paraId="000001F4"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1F5"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For any in-person meetings that require travel and further logistics, this has been integrated into the budget for 14.28% of the Engagement Travels line budget. </w:t>
            </w:r>
          </w:p>
        </w:tc>
      </w:tr>
      <w:tr w:rsidR="00AC2A5E" w14:paraId="3D94B144" w14:textId="77777777">
        <w:trPr>
          <w:trHeight w:val="1296"/>
        </w:trPr>
        <w:tc>
          <w:tcPr>
            <w:tcW w:w="1746" w:type="dxa"/>
            <w:tcMar>
              <w:top w:w="100" w:type="dxa"/>
              <w:left w:w="100" w:type="dxa"/>
              <w:bottom w:w="100" w:type="dxa"/>
              <w:right w:w="100" w:type="dxa"/>
            </w:tcMar>
          </w:tcPr>
          <w:p w14:paraId="000001F6"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Private sector </w:t>
            </w:r>
            <w:proofErr w:type="spellStart"/>
            <w:r>
              <w:rPr>
                <w:rFonts w:ascii="Calibri" w:eastAsia="Calibri" w:hAnsi="Calibri" w:cs="Calibri"/>
                <w:color w:val="000000"/>
                <w:sz w:val="20"/>
                <w:szCs w:val="20"/>
              </w:rPr>
              <w:t>offtakers</w:t>
            </w:r>
            <w:proofErr w:type="spellEnd"/>
            <w:r>
              <w:rPr>
                <w:rFonts w:ascii="Calibri" w:eastAsia="Calibri" w:hAnsi="Calibri" w:cs="Calibri"/>
                <w:color w:val="000000"/>
                <w:sz w:val="20"/>
                <w:szCs w:val="20"/>
              </w:rPr>
              <w:t xml:space="preserve"> and restoration companies</w:t>
            </w:r>
          </w:p>
        </w:tc>
        <w:tc>
          <w:tcPr>
            <w:tcW w:w="2344" w:type="dxa"/>
          </w:tcPr>
          <w:p w14:paraId="000001F7"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Restaura Biomas will build off initial relationships with relevant private sector stakeholders and engage them in a variety of emails, discussions, meetings, consultations and workshops. </w:t>
            </w:r>
          </w:p>
        </w:tc>
        <w:tc>
          <w:tcPr>
            <w:tcW w:w="1595" w:type="dxa"/>
          </w:tcPr>
          <w:p w14:paraId="000001F8" w14:textId="77777777" w:rsidR="00AC2A5E" w:rsidRDefault="009549BA">
            <w:pPr>
              <w:widowContro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0"/>
                <w:szCs w:val="20"/>
              </w:rPr>
              <w:t>Virtual or in-person, will be engaged on an ad-hoc basis</w:t>
            </w:r>
          </w:p>
        </w:tc>
        <w:tc>
          <w:tcPr>
            <w:tcW w:w="2193" w:type="dxa"/>
          </w:tcPr>
          <w:p w14:paraId="000001F9"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Workshops, publications, and presentations that focus on financial transaction structures, restoration supply chains, and sustainable NTFPs.</w:t>
            </w:r>
          </w:p>
          <w:p w14:paraId="000001FA"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1FB"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This will be carried out by WRI. </w:t>
            </w:r>
          </w:p>
        </w:tc>
        <w:tc>
          <w:tcPr>
            <w:tcW w:w="2151" w:type="dxa"/>
          </w:tcPr>
          <w:p w14:paraId="000001FC"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Mariana Olivera and the Food, Land, and Water Director will each allocate 14.28% of their time toward this stakeholder group. Additionally, the Project Lead Manager will support this engagement.</w:t>
            </w:r>
          </w:p>
          <w:p w14:paraId="000001FD"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1FE"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For any in-person meetings that require travel and further logistics, this has been integrated into the budget for 14.28% of the Engagement Travels line budget. </w:t>
            </w:r>
          </w:p>
        </w:tc>
      </w:tr>
      <w:tr w:rsidR="00AC2A5E" w14:paraId="0C614F3B" w14:textId="77777777">
        <w:trPr>
          <w:trHeight w:val="1296"/>
        </w:trPr>
        <w:tc>
          <w:tcPr>
            <w:tcW w:w="1746" w:type="dxa"/>
            <w:tcMar>
              <w:top w:w="100" w:type="dxa"/>
              <w:left w:w="100" w:type="dxa"/>
              <w:bottom w:w="100" w:type="dxa"/>
              <w:right w:w="100" w:type="dxa"/>
            </w:tcMar>
          </w:tcPr>
          <w:p w14:paraId="000001FF" w14:textId="77777777" w:rsidR="00AC2A5E" w:rsidRDefault="009549BA">
            <w:pPr>
              <w:widowControl/>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Financial institutions</w:t>
            </w:r>
          </w:p>
        </w:tc>
        <w:tc>
          <w:tcPr>
            <w:tcW w:w="2344" w:type="dxa"/>
          </w:tcPr>
          <w:p w14:paraId="00000200"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Restaura Biomas does not require private financing at this time, however it may seek private financing in the future in order to scale up project activities and impact. </w:t>
            </w:r>
          </w:p>
          <w:p w14:paraId="00000201"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202"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On a case-by-case basis, there could also be opportunities to partner in financing one-off transactions with these financial institutions. </w:t>
            </w:r>
          </w:p>
        </w:tc>
        <w:tc>
          <w:tcPr>
            <w:tcW w:w="1595" w:type="dxa"/>
          </w:tcPr>
          <w:p w14:paraId="00000203" w14:textId="22C48268"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If the project seeks private financing, this will be carried out on an ad-hoc basis.</w:t>
            </w:r>
          </w:p>
          <w:p w14:paraId="00000204"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tc>
        <w:tc>
          <w:tcPr>
            <w:tcW w:w="2193" w:type="dxa"/>
          </w:tcPr>
          <w:p w14:paraId="00000205"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Potential resources required include financial presentations and reports, financial and risk reporting about restoration opportunities, and social and environmental impact reporting. WRI will be responsible for preparing necessary resources if the project engages financial institutions.</w:t>
            </w:r>
          </w:p>
          <w:p w14:paraId="00000206"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tc>
        <w:tc>
          <w:tcPr>
            <w:tcW w:w="2151" w:type="dxa"/>
          </w:tcPr>
          <w:p w14:paraId="00000207"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Mariana Olivera and the Food, Land, and Water Director will each allocate 14.28% of their time toward this stakeholder group. Additionally, the Project Lead Manager will support this engagement.</w:t>
            </w:r>
          </w:p>
          <w:p w14:paraId="00000208" w14:textId="77777777" w:rsidR="00AC2A5E" w:rsidRDefault="00AC2A5E">
            <w:pPr>
              <w:widowControl/>
              <w:pBdr>
                <w:top w:val="nil"/>
                <w:left w:val="nil"/>
                <w:bottom w:val="nil"/>
                <w:right w:val="nil"/>
                <w:between w:val="nil"/>
              </w:pBdr>
              <w:rPr>
                <w:rFonts w:ascii="Calibri" w:eastAsia="Calibri" w:hAnsi="Calibri" w:cs="Calibri"/>
                <w:color w:val="000000"/>
                <w:sz w:val="20"/>
                <w:szCs w:val="20"/>
              </w:rPr>
            </w:pPr>
          </w:p>
          <w:p w14:paraId="00000209"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For any in-person meetings that require travel and further logistics, this has been integrated into the budget for 14.28% of the Engagement Travels line budget. </w:t>
            </w:r>
          </w:p>
        </w:tc>
      </w:tr>
      <w:tr w:rsidR="00AC2A5E" w14:paraId="0C292F87" w14:textId="77777777">
        <w:trPr>
          <w:trHeight w:val="1296"/>
        </w:trPr>
        <w:tc>
          <w:tcPr>
            <w:tcW w:w="1746" w:type="dxa"/>
            <w:tcMar>
              <w:top w:w="100" w:type="dxa"/>
              <w:left w:w="100" w:type="dxa"/>
              <w:bottom w:w="100" w:type="dxa"/>
              <w:right w:w="100" w:type="dxa"/>
            </w:tcMar>
          </w:tcPr>
          <w:p w14:paraId="0000020A" w14:textId="77777777" w:rsidR="00AC2A5E" w:rsidRDefault="009549BA">
            <w:pPr>
              <w:rPr>
                <w:rFonts w:ascii="Calibri" w:eastAsia="Calibri" w:hAnsi="Calibri" w:cs="Calibri"/>
                <w:sz w:val="20"/>
                <w:szCs w:val="20"/>
              </w:rPr>
            </w:pPr>
            <w:r>
              <w:rPr>
                <w:rFonts w:ascii="Calibri" w:eastAsia="Calibri" w:hAnsi="Calibri" w:cs="Calibri"/>
                <w:sz w:val="20"/>
                <w:szCs w:val="20"/>
              </w:rPr>
              <w:t>Advisory committee composed of public organizations, NGOs and restoration networks</w:t>
            </w:r>
          </w:p>
        </w:tc>
        <w:tc>
          <w:tcPr>
            <w:tcW w:w="2344" w:type="dxa"/>
          </w:tcPr>
          <w:p w14:paraId="0000020B" w14:textId="23861538" w:rsidR="00AC2A5E" w:rsidRDefault="009549BA">
            <w:pPr>
              <w:rPr>
                <w:rFonts w:ascii="Calibri" w:eastAsia="Calibri" w:hAnsi="Calibri" w:cs="Calibri"/>
                <w:sz w:val="20"/>
                <w:szCs w:val="20"/>
              </w:rPr>
            </w:pPr>
            <w:r>
              <w:rPr>
                <w:rFonts w:ascii="Calibri" w:eastAsia="Calibri" w:hAnsi="Calibri" w:cs="Calibri"/>
                <w:sz w:val="20"/>
                <w:szCs w:val="20"/>
              </w:rPr>
              <w:t xml:space="preserve">Given the successful experience with the committee advisory, it is cited as part of the implementation arrangement in the </w:t>
            </w:r>
            <w:r w:rsidR="00064A4F">
              <w:rPr>
                <w:rFonts w:ascii="Calibri" w:eastAsia="Calibri" w:hAnsi="Calibri" w:cs="Calibri"/>
                <w:sz w:val="20"/>
                <w:szCs w:val="20"/>
              </w:rPr>
              <w:t>ProDoc</w:t>
            </w:r>
            <w:r>
              <w:rPr>
                <w:rFonts w:ascii="Calibri" w:eastAsia="Calibri" w:hAnsi="Calibri" w:cs="Calibri"/>
                <w:sz w:val="20"/>
                <w:szCs w:val="20"/>
              </w:rPr>
              <w:t>.</w:t>
            </w:r>
          </w:p>
          <w:p w14:paraId="0000020C" w14:textId="77777777" w:rsidR="00AC2A5E" w:rsidRDefault="009549B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Its operation will be defined. There should be a means of communication via email, with virtual meetings and, if possible and necessary, a face-to-face meeting.</w:t>
            </w:r>
          </w:p>
        </w:tc>
        <w:tc>
          <w:tcPr>
            <w:tcW w:w="1595" w:type="dxa"/>
          </w:tcPr>
          <w:p w14:paraId="0000020D" w14:textId="77777777" w:rsidR="00AC2A5E" w:rsidRDefault="009549BA">
            <w:pPr>
              <w:rPr>
                <w:rFonts w:ascii="Calibri" w:eastAsia="Calibri" w:hAnsi="Calibri" w:cs="Calibri"/>
                <w:sz w:val="20"/>
                <w:szCs w:val="20"/>
              </w:rPr>
            </w:pPr>
            <w:r>
              <w:rPr>
                <w:rFonts w:ascii="Calibri" w:eastAsia="Calibri" w:hAnsi="Calibri" w:cs="Calibri"/>
                <w:sz w:val="20"/>
                <w:szCs w:val="20"/>
              </w:rPr>
              <w:t>The frequency of meetings will be defined when the project implementation begins, as needed.</w:t>
            </w:r>
          </w:p>
        </w:tc>
        <w:tc>
          <w:tcPr>
            <w:tcW w:w="2193" w:type="dxa"/>
          </w:tcPr>
          <w:p w14:paraId="0000020E" w14:textId="77777777" w:rsidR="00AC2A5E" w:rsidRDefault="009549BA">
            <w:pPr>
              <w:rPr>
                <w:rFonts w:ascii="Calibri" w:eastAsia="Calibri" w:hAnsi="Calibri" w:cs="Calibri"/>
                <w:sz w:val="20"/>
                <w:szCs w:val="20"/>
              </w:rPr>
            </w:pPr>
            <w:r>
              <w:rPr>
                <w:rFonts w:ascii="Calibri" w:eastAsia="Calibri" w:hAnsi="Calibri" w:cs="Calibri"/>
                <w:sz w:val="20"/>
                <w:szCs w:val="20"/>
              </w:rPr>
              <w:t>Virtual meeting</w:t>
            </w:r>
          </w:p>
          <w:p w14:paraId="0000020F" w14:textId="77777777" w:rsidR="00AC2A5E" w:rsidRDefault="00AC2A5E">
            <w:pPr>
              <w:pBdr>
                <w:top w:val="nil"/>
                <w:left w:val="nil"/>
                <w:bottom w:val="nil"/>
                <w:right w:val="nil"/>
                <w:between w:val="nil"/>
              </w:pBdr>
              <w:rPr>
                <w:rFonts w:ascii="Calibri" w:eastAsia="Calibri" w:hAnsi="Calibri" w:cs="Calibri"/>
                <w:color w:val="000000"/>
                <w:sz w:val="20"/>
                <w:szCs w:val="20"/>
              </w:rPr>
            </w:pPr>
          </w:p>
          <w:p w14:paraId="00000210" w14:textId="77777777" w:rsidR="00AC2A5E" w:rsidRDefault="009549B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Presentations, reports and other documents</w:t>
            </w:r>
          </w:p>
          <w:p w14:paraId="00000211" w14:textId="77777777" w:rsidR="00AC2A5E" w:rsidRDefault="00AC2A5E">
            <w:pPr>
              <w:rPr>
                <w:rFonts w:ascii="Calibri" w:eastAsia="Calibri" w:hAnsi="Calibri" w:cs="Calibri"/>
                <w:sz w:val="20"/>
                <w:szCs w:val="20"/>
              </w:rPr>
            </w:pPr>
          </w:p>
          <w:p w14:paraId="00000212" w14:textId="77777777" w:rsidR="00AC2A5E" w:rsidRDefault="009549BA">
            <w:r>
              <w:rPr>
                <w:rFonts w:ascii="Calibri" w:eastAsia="Calibri" w:hAnsi="Calibri" w:cs="Calibri"/>
                <w:sz w:val="20"/>
                <w:szCs w:val="20"/>
              </w:rPr>
              <w:t xml:space="preserve">MMA and WRI project implementation staff   </w:t>
            </w:r>
          </w:p>
        </w:tc>
        <w:tc>
          <w:tcPr>
            <w:tcW w:w="2151" w:type="dxa"/>
          </w:tcPr>
          <w:p w14:paraId="00000213" w14:textId="77777777" w:rsidR="00AC2A5E" w:rsidRDefault="009549BA">
            <w:pPr>
              <w:rPr>
                <w:rFonts w:ascii="Calibri" w:eastAsia="Calibri" w:hAnsi="Calibri" w:cs="Calibri"/>
                <w:sz w:val="20"/>
                <w:szCs w:val="20"/>
              </w:rPr>
            </w:pPr>
            <w:r>
              <w:rPr>
                <w:rFonts w:ascii="Calibri" w:eastAsia="Calibri" w:hAnsi="Calibri" w:cs="Calibri"/>
                <w:sz w:val="20"/>
                <w:szCs w:val="20"/>
              </w:rPr>
              <w:t>Around 12 hours per month from one person from WRI and one person from MMA</w:t>
            </w:r>
          </w:p>
        </w:tc>
      </w:tr>
    </w:tbl>
    <w:p w14:paraId="00000214" w14:textId="77777777" w:rsidR="00AC2A5E" w:rsidRDefault="00AC2A5E">
      <w:pPr>
        <w:pBdr>
          <w:top w:val="nil"/>
          <w:left w:val="nil"/>
          <w:bottom w:val="nil"/>
          <w:right w:val="nil"/>
          <w:between w:val="nil"/>
        </w:pBdr>
        <w:rPr>
          <w:rFonts w:ascii="Calibri" w:eastAsia="Calibri" w:hAnsi="Calibri" w:cs="Calibri"/>
          <w:color w:val="000000"/>
          <w:sz w:val="24"/>
          <w:szCs w:val="24"/>
        </w:rPr>
      </w:pPr>
    </w:p>
    <w:p w14:paraId="00000215" w14:textId="77777777" w:rsidR="00AC2A5E" w:rsidRDefault="009549BA">
      <w:pPr>
        <w:pBdr>
          <w:top w:val="nil"/>
          <w:left w:val="nil"/>
          <w:bottom w:val="nil"/>
          <w:right w:val="nil"/>
          <w:between w:val="nil"/>
        </w:pBdr>
        <w:rPr>
          <w:rFonts w:ascii="Calibri" w:eastAsia="Calibri" w:hAnsi="Calibri" w:cs="Calibri"/>
          <w:color w:val="000000"/>
          <w:sz w:val="24"/>
          <w:szCs w:val="24"/>
        </w:rPr>
      </w:pPr>
      <w:r>
        <w:br w:type="page"/>
      </w:r>
    </w:p>
    <w:p w14:paraId="00000216" w14:textId="77777777" w:rsidR="00AC2A5E" w:rsidRDefault="009549BA">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b/>
          <w:color w:val="000000"/>
          <w:sz w:val="28"/>
          <w:szCs w:val="28"/>
        </w:rPr>
        <w:lastRenderedPageBreak/>
        <w:t>SECTION VI: Monitoring and Reporting</w:t>
      </w:r>
    </w:p>
    <w:p w14:paraId="00000217" w14:textId="77777777" w:rsidR="00AC2A5E" w:rsidRDefault="00AC2A5E">
      <w:pPr>
        <w:pBdr>
          <w:top w:val="nil"/>
          <w:left w:val="nil"/>
          <w:bottom w:val="nil"/>
          <w:right w:val="nil"/>
          <w:between w:val="nil"/>
        </w:pBdr>
        <w:rPr>
          <w:rFonts w:ascii="Calibri" w:eastAsia="Calibri" w:hAnsi="Calibri" w:cs="Calibri"/>
          <w:color w:val="000000"/>
          <w:sz w:val="24"/>
          <w:szCs w:val="24"/>
        </w:rPr>
      </w:pPr>
    </w:p>
    <w:p w14:paraId="00000218"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The project will report on a quarterly basis (using the CI-GEF Quarterly Reporting template), progress made towards the implementation of the SEP. </w:t>
      </w:r>
    </w:p>
    <w:p w14:paraId="00000219" w14:textId="77777777" w:rsidR="00AC2A5E" w:rsidRDefault="00AC2A5E">
      <w:pPr>
        <w:pBdr>
          <w:top w:val="nil"/>
          <w:left w:val="nil"/>
          <w:bottom w:val="nil"/>
          <w:right w:val="nil"/>
          <w:between w:val="nil"/>
        </w:pBdr>
        <w:rPr>
          <w:rFonts w:ascii="Calibri" w:eastAsia="Calibri" w:hAnsi="Calibri" w:cs="Calibri"/>
          <w:color w:val="000000"/>
          <w:sz w:val="24"/>
          <w:szCs w:val="24"/>
        </w:rPr>
      </w:pPr>
    </w:p>
    <w:p w14:paraId="0000021A"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On an annual basis and using the CI-GEF Project Implementation Report (PIR) template, the following CI-GEF’s minimum indicators are to be reported. The project can include other appropriate stakeholder engagement indicators in addition to the CI-GEF’s indicators.</w:t>
      </w:r>
    </w:p>
    <w:p w14:paraId="0000021B" w14:textId="77777777" w:rsidR="00AC2A5E" w:rsidRDefault="00AC2A5E">
      <w:pPr>
        <w:pBdr>
          <w:top w:val="nil"/>
          <w:left w:val="nil"/>
          <w:bottom w:val="nil"/>
          <w:right w:val="nil"/>
          <w:between w:val="nil"/>
        </w:pBdr>
        <w:rPr>
          <w:rFonts w:ascii="Calibri" w:eastAsia="Calibri" w:hAnsi="Calibri" w:cs="Calibri"/>
          <w:color w:val="000000"/>
          <w:sz w:val="24"/>
          <w:szCs w:val="24"/>
        </w:rPr>
      </w:pPr>
    </w:p>
    <w:tbl>
      <w:tblPr>
        <w:tblStyle w:val="aff5"/>
        <w:tblW w:w="10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30"/>
        <w:gridCol w:w="2016"/>
        <w:gridCol w:w="2016"/>
      </w:tblGrid>
      <w:tr w:rsidR="00AC2A5E" w14:paraId="2310FE26" w14:textId="77777777">
        <w:trPr>
          <w:trHeight w:val="596"/>
        </w:trPr>
        <w:tc>
          <w:tcPr>
            <w:tcW w:w="6030" w:type="dxa"/>
          </w:tcPr>
          <w:p w14:paraId="0000021C" w14:textId="77777777" w:rsidR="00AC2A5E" w:rsidRDefault="009549BA">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Indicator</w:t>
            </w:r>
          </w:p>
        </w:tc>
        <w:tc>
          <w:tcPr>
            <w:tcW w:w="2016" w:type="dxa"/>
          </w:tcPr>
          <w:p w14:paraId="0000021D"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Baseline</w:t>
            </w:r>
          </w:p>
        </w:tc>
        <w:tc>
          <w:tcPr>
            <w:tcW w:w="2016" w:type="dxa"/>
          </w:tcPr>
          <w:p w14:paraId="0000021E" w14:textId="77777777" w:rsidR="00AC2A5E" w:rsidRDefault="009549BA">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Target</w:t>
            </w:r>
          </w:p>
        </w:tc>
      </w:tr>
      <w:tr w:rsidR="00AC2A5E" w14:paraId="45285238" w14:textId="77777777">
        <w:tc>
          <w:tcPr>
            <w:tcW w:w="6030" w:type="dxa"/>
          </w:tcPr>
          <w:p w14:paraId="0000021F" w14:textId="77777777" w:rsidR="00AC2A5E" w:rsidRDefault="009549BA">
            <w:pPr>
              <w:numPr>
                <w:ilvl w:val="0"/>
                <w:numId w:val="3"/>
              </w:numPr>
              <w:pBdr>
                <w:top w:val="nil"/>
                <w:left w:val="nil"/>
                <w:bottom w:val="nil"/>
                <w:right w:val="nil"/>
                <w:between w:val="nil"/>
              </w:pBdr>
              <w:ind w:left="330"/>
              <w:rPr>
                <w:rFonts w:ascii="Calibri" w:eastAsia="Calibri" w:hAnsi="Calibri" w:cs="Calibri"/>
                <w:color w:val="000000"/>
                <w:sz w:val="24"/>
                <w:szCs w:val="24"/>
              </w:rPr>
            </w:pPr>
            <w:r>
              <w:rPr>
                <w:rFonts w:ascii="Calibri" w:eastAsia="Calibri" w:hAnsi="Calibri" w:cs="Calibri"/>
                <w:color w:val="000000"/>
                <w:sz w:val="24"/>
                <w:szCs w:val="24"/>
              </w:rPr>
              <w:t>Number of stakeholder entities (disaggregated by type) involved in the project implementation phase</w:t>
            </w:r>
          </w:p>
        </w:tc>
        <w:tc>
          <w:tcPr>
            <w:tcW w:w="2016" w:type="dxa"/>
          </w:tcPr>
          <w:p w14:paraId="00000220"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Civil society (restoration networks, NGOs, academic institutions): 12</w:t>
            </w:r>
          </w:p>
          <w:p w14:paraId="00000221"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Government: 7</w:t>
            </w:r>
          </w:p>
          <w:p w14:paraId="00000222"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Private sector: 0</w:t>
            </w:r>
          </w:p>
          <w:p w14:paraId="00000223" w14:textId="77777777" w:rsidR="00AC2A5E" w:rsidRDefault="009549BA">
            <w:pPr>
              <w:pBdr>
                <w:top w:val="nil"/>
                <w:left w:val="nil"/>
                <w:bottom w:val="nil"/>
                <w:right w:val="nil"/>
                <w:between w:val="nil"/>
              </w:pBdr>
              <w:rPr>
                <w:rFonts w:ascii="Calibri" w:eastAsia="Calibri" w:hAnsi="Calibri" w:cs="Calibri"/>
                <w:color w:val="000000"/>
                <w:sz w:val="24"/>
                <w:szCs w:val="24"/>
              </w:rPr>
            </w:pPr>
            <w:r w:rsidRPr="00064A4F">
              <w:rPr>
                <w:rFonts w:ascii="Calibri" w:eastAsia="Calibri" w:hAnsi="Calibri" w:cs="Calibri"/>
                <w:b/>
                <w:bCs/>
                <w:color w:val="000000"/>
                <w:sz w:val="24"/>
                <w:szCs w:val="24"/>
              </w:rPr>
              <w:t>19</w:t>
            </w:r>
            <w:r>
              <w:rPr>
                <w:rFonts w:ascii="Calibri" w:eastAsia="Calibri" w:hAnsi="Calibri" w:cs="Calibri"/>
                <w:b/>
                <w:color w:val="000000"/>
                <w:sz w:val="24"/>
                <w:szCs w:val="24"/>
              </w:rPr>
              <w:t xml:space="preserve"> total entities</w:t>
            </w:r>
          </w:p>
        </w:tc>
        <w:tc>
          <w:tcPr>
            <w:tcW w:w="2016" w:type="dxa"/>
          </w:tcPr>
          <w:p w14:paraId="00000224"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Civil society (restoration networks, NGOs, academic institutions): 22</w:t>
            </w:r>
          </w:p>
          <w:p w14:paraId="00000225"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Government: 20</w:t>
            </w:r>
          </w:p>
          <w:p w14:paraId="00000226"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Private sector: 5</w:t>
            </w:r>
          </w:p>
          <w:p w14:paraId="00000227" w14:textId="77777777" w:rsidR="00AC2A5E" w:rsidRDefault="009549BA">
            <w:pPr>
              <w:pBdr>
                <w:top w:val="nil"/>
                <w:left w:val="nil"/>
                <w:bottom w:val="nil"/>
                <w:right w:val="nil"/>
                <w:between w:val="nil"/>
              </w:pBdr>
              <w:rPr>
                <w:rFonts w:ascii="Calibri" w:eastAsia="Calibri" w:hAnsi="Calibri" w:cs="Calibri"/>
                <w:color w:val="000000"/>
                <w:sz w:val="24"/>
                <w:szCs w:val="24"/>
              </w:rPr>
            </w:pPr>
            <w:r w:rsidRPr="00064A4F">
              <w:rPr>
                <w:rFonts w:ascii="Calibri" w:eastAsia="Calibri" w:hAnsi="Calibri" w:cs="Calibri"/>
                <w:b/>
                <w:bCs/>
                <w:color w:val="000000"/>
                <w:sz w:val="24"/>
                <w:szCs w:val="24"/>
              </w:rPr>
              <w:t>47</w:t>
            </w:r>
            <w:r>
              <w:rPr>
                <w:rFonts w:ascii="Calibri" w:eastAsia="Calibri" w:hAnsi="Calibri" w:cs="Calibri"/>
                <w:b/>
                <w:color w:val="000000"/>
                <w:sz w:val="24"/>
                <w:szCs w:val="24"/>
              </w:rPr>
              <w:t xml:space="preserve"> total entities</w:t>
            </w:r>
            <w:r>
              <w:rPr>
                <w:rFonts w:ascii="Calibri" w:eastAsia="Calibri" w:hAnsi="Calibri" w:cs="Calibri"/>
                <w:b/>
                <w:color w:val="000000"/>
                <w:sz w:val="24"/>
                <w:szCs w:val="24"/>
                <w:vertAlign w:val="superscript"/>
              </w:rPr>
              <w:footnoteReference w:id="4"/>
            </w:r>
          </w:p>
        </w:tc>
      </w:tr>
      <w:tr w:rsidR="00AC2A5E" w14:paraId="59AD33AC" w14:textId="77777777">
        <w:tc>
          <w:tcPr>
            <w:tcW w:w="6030" w:type="dxa"/>
          </w:tcPr>
          <w:p w14:paraId="00000228" w14:textId="77777777" w:rsidR="00AC2A5E" w:rsidRDefault="009549BA">
            <w:pPr>
              <w:numPr>
                <w:ilvl w:val="0"/>
                <w:numId w:val="3"/>
              </w:numPr>
              <w:pBdr>
                <w:top w:val="nil"/>
                <w:left w:val="nil"/>
                <w:bottom w:val="nil"/>
                <w:right w:val="nil"/>
                <w:between w:val="nil"/>
              </w:pBdr>
              <w:ind w:left="330"/>
              <w:rPr>
                <w:rFonts w:ascii="Calibri" w:eastAsia="Calibri" w:hAnsi="Calibri" w:cs="Calibri"/>
                <w:color w:val="000000"/>
                <w:sz w:val="24"/>
                <w:szCs w:val="24"/>
              </w:rPr>
            </w:pPr>
            <w:r>
              <w:rPr>
                <w:rFonts w:ascii="Calibri" w:eastAsia="Calibri" w:hAnsi="Calibri" w:cs="Calibri"/>
                <w:color w:val="000000"/>
                <w:sz w:val="24"/>
                <w:szCs w:val="24"/>
              </w:rPr>
              <w:t>Number of persons (disaggregated by gender) who participated in the project implementation phase</w:t>
            </w:r>
          </w:p>
        </w:tc>
        <w:tc>
          <w:tcPr>
            <w:tcW w:w="2016" w:type="dxa"/>
          </w:tcPr>
          <w:p w14:paraId="00000229"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45 women, 33 men</w:t>
            </w:r>
          </w:p>
          <w:p w14:paraId="0000022A" w14:textId="77777777" w:rsidR="00AC2A5E" w:rsidRDefault="009549BA">
            <w:pPr>
              <w:pBdr>
                <w:top w:val="nil"/>
                <w:left w:val="nil"/>
                <w:bottom w:val="nil"/>
                <w:right w:val="nil"/>
                <w:between w:val="nil"/>
              </w:pBdr>
              <w:rPr>
                <w:rFonts w:ascii="Calibri" w:eastAsia="Calibri" w:hAnsi="Calibri" w:cs="Calibri"/>
                <w:b/>
                <w:color w:val="000000"/>
                <w:sz w:val="26"/>
                <w:szCs w:val="26"/>
              </w:rPr>
            </w:pPr>
            <w:r w:rsidRPr="00064A4F">
              <w:rPr>
                <w:rFonts w:ascii="Calibri" w:eastAsia="Calibri" w:hAnsi="Calibri" w:cs="Calibri"/>
                <w:b/>
                <w:bCs/>
                <w:color w:val="000000"/>
                <w:sz w:val="24"/>
                <w:szCs w:val="24"/>
              </w:rPr>
              <w:t>78</w:t>
            </w:r>
            <w:r>
              <w:rPr>
                <w:rFonts w:ascii="Calibri" w:eastAsia="Calibri" w:hAnsi="Calibri" w:cs="Calibri"/>
                <w:b/>
                <w:color w:val="000000"/>
                <w:sz w:val="24"/>
                <w:szCs w:val="24"/>
              </w:rPr>
              <w:t xml:space="preserve"> people total</w:t>
            </w:r>
          </w:p>
        </w:tc>
        <w:tc>
          <w:tcPr>
            <w:tcW w:w="2016" w:type="dxa"/>
          </w:tcPr>
          <w:p w14:paraId="0000022B" w14:textId="77777777" w:rsidR="00AC2A5E" w:rsidRDefault="009549BA">
            <w:pPr>
              <w:pBdr>
                <w:top w:val="nil"/>
                <w:left w:val="nil"/>
                <w:bottom w:val="nil"/>
                <w:right w:val="nil"/>
                <w:between w:val="nil"/>
              </w:pBdr>
              <w:rPr>
                <w:rFonts w:ascii="Calibri" w:eastAsia="Calibri" w:hAnsi="Calibri" w:cs="Calibri"/>
                <w:color w:val="000000"/>
                <w:sz w:val="24"/>
                <w:szCs w:val="24"/>
              </w:rPr>
            </w:pPr>
            <w:r w:rsidRPr="00064A4F">
              <w:rPr>
                <w:rFonts w:ascii="Calibri" w:eastAsia="Calibri" w:hAnsi="Calibri" w:cs="Calibri"/>
                <w:bCs/>
                <w:color w:val="000000"/>
                <w:sz w:val="26"/>
                <w:szCs w:val="26"/>
              </w:rPr>
              <w:t>330</w:t>
            </w:r>
            <w:r>
              <w:rPr>
                <w:rFonts w:ascii="Calibri" w:eastAsia="Calibri" w:hAnsi="Calibri" w:cs="Calibri"/>
                <w:color w:val="000000"/>
                <w:sz w:val="24"/>
                <w:szCs w:val="24"/>
              </w:rPr>
              <w:t xml:space="preserve"> women, 330 men</w:t>
            </w:r>
          </w:p>
          <w:p w14:paraId="0000022C" w14:textId="77777777" w:rsidR="00AC2A5E" w:rsidRDefault="009549BA">
            <w:pPr>
              <w:pBdr>
                <w:top w:val="nil"/>
                <w:left w:val="nil"/>
                <w:bottom w:val="nil"/>
                <w:right w:val="nil"/>
                <w:between w:val="nil"/>
              </w:pBdr>
              <w:rPr>
                <w:rFonts w:ascii="Calibri" w:eastAsia="Calibri" w:hAnsi="Calibri" w:cs="Calibri"/>
                <w:color w:val="000000"/>
                <w:sz w:val="24"/>
                <w:szCs w:val="24"/>
              </w:rPr>
            </w:pPr>
            <w:r w:rsidRPr="00064A4F">
              <w:rPr>
                <w:rFonts w:ascii="Calibri" w:eastAsia="Calibri" w:hAnsi="Calibri" w:cs="Calibri"/>
                <w:b/>
                <w:bCs/>
                <w:color w:val="000000"/>
                <w:sz w:val="24"/>
                <w:szCs w:val="24"/>
              </w:rPr>
              <w:t>660</w:t>
            </w:r>
            <w:r>
              <w:rPr>
                <w:rFonts w:ascii="Calibri" w:eastAsia="Calibri" w:hAnsi="Calibri" w:cs="Calibri"/>
                <w:b/>
                <w:color w:val="000000"/>
                <w:sz w:val="24"/>
                <w:szCs w:val="24"/>
              </w:rPr>
              <w:t xml:space="preserve"> people total</w:t>
            </w:r>
            <w:r>
              <w:rPr>
                <w:rFonts w:ascii="Calibri" w:eastAsia="Calibri" w:hAnsi="Calibri" w:cs="Calibri"/>
                <w:b/>
                <w:color w:val="000000"/>
                <w:sz w:val="24"/>
                <w:szCs w:val="24"/>
                <w:vertAlign w:val="superscript"/>
              </w:rPr>
              <w:footnoteReference w:id="5"/>
            </w:r>
          </w:p>
        </w:tc>
      </w:tr>
      <w:tr w:rsidR="00AC2A5E" w14:paraId="0D2B7749" w14:textId="77777777">
        <w:tc>
          <w:tcPr>
            <w:tcW w:w="6030" w:type="dxa"/>
          </w:tcPr>
          <w:p w14:paraId="0000022D" w14:textId="77777777" w:rsidR="00AC2A5E" w:rsidRDefault="009549BA">
            <w:pPr>
              <w:numPr>
                <w:ilvl w:val="0"/>
                <w:numId w:val="3"/>
              </w:numPr>
              <w:pBdr>
                <w:top w:val="nil"/>
                <w:left w:val="nil"/>
                <w:bottom w:val="nil"/>
                <w:right w:val="nil"/>
                <w:between w:val="nil"/>
              </w:pBdr>
              <w:ind w:left="330"/>
              <w:rPr>
                <w:rFonts w:ascii="Calibri" w:eastAsia="Calibri" w:hAnsi="Calibri" w:cs="Calibri"/>
                <w:color w:val="000000"/>
                <w:sz w:val="24"/>
                <w:szCs w:val="24"/>
              </w:rPr>
            </w:pPr>
            <w:r>
              <w:rPr>
                <w:rFonts w:ascii="Calibri" w:eastAsia="Calibri" w:hAnsi="Calibri" w:cs="Calibri"/>
                <w:color w:val="000000"/>
                <w:sz w:val="24"/>
                <w:szCs w:val="24"/>
              </w:rPr>
              <w:t>Number of engagements (disaggregated by type of engagement) with stakeholders in the project implementation phase.</w:t>
            </w:r>
          </w:p>
        </w:tc>
        <w:tc>
          <w:tcPr>
            <w:tcW w:w="2016" w:type="dxa"/>
          </w:tcPr>
          <w:p w14:paraId="0000022E" w14:textId="77777777" w:rsidR="00AC2A5E" w:rsidRDefault="00AC2A5E">
            <w:pPr>
              <w:pBdr>
                <w:top w:val="nil"/>
                <w:left w:val="nil"/>
                <w:bottom w:val="nil"/>
                <w:right w:val="nil"/>
                <w:between w:val="nil"/>
              </w:pBdr>
              <w:rPr>
                <w:rFonts w:ascii="Calibri" w:eastAsia="Calibri" w:hAnsi="Calibri" w:cs="Calibri"/>
                <w:color w:val="000000"/>
                <w:sz w:val="24"/>
                <w:szCs w:val="24"/>
              </w:rPr>
            </w:pPr>
          </w:p>
          <w:p w14:paraId="0000022F"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Meetings: 12</w:t>
            </w:r>
          </w:p>
          <w:p w14:paraId="00000230"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Workshops: 2</w:t>
            </w:r>
          </w:p>
          <w:p w14:paraId="00000231" w14:textId="77777777" w:rsidR="00AC2A5E" w:rsidRDefault="009549BA">
            <w:pPr>
              <w:pBdr>
                <w:top w:val="nil"/>
                <w:left w:val="nil"/>
                <w:bottom w:val="nil"/>
                <w:right w:val="nil"/>
                <w:between w:val="nil"/>
              </w:pBdr>
              <w:rPr>
                <w:rFonts w:ascii="Calibri" w:eastAsia="Calibri" w:hAnsi="Calibri" w:cs="Calibri"/>
                <w:b/>
                <w:color w:val="000000"/>
                <w:sz w:val="24"/>
                <w:szCs w:val="24"/>
              </w:rPr>
            </w:pPr>
            <w:r w:rsidRPr="00064A4F">
              <w:rPr>
                <w:rFonts w:ascii="Calibri" w:eastAsia="Calibri" w:hAnsi="Calibri" w:cs="Calibri"/>
                <w:b/>
                <w:bCs/>
                <w:color w:val="000000"/>
                <w:sz w:val="24"/>
                <w:szCs w:val="24"/>
              </w:rPr>
              <w:t>14</w:t>
            </w:r>
            <w:r>
              <w:rPr>
                <w:rFonts w:ascii="Calibri" w:eastAsia="Calibri" w:hAnsi="Calibri" w:cs="Calibri"/>
                <w:b/>
                <w:color w:val="000000"/>
                <w:sz w:val="24"/>
                <w:szCs w:val="24"/>
              </w:rPr>
              <w:t xml:space="preserve"> total engagements</w:t>
            </w:r>
          </w:p>
        </w:tc>
        <w:tc>
          <w:tcPr>
            <w:tcW w:w="2016" w:type="dxa"/>
          </w:tcPr>
          <w:p w14:paraId="00000232"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Meetings (virtual/in-person): 60</w:t>
            </w:r>
          </w:p>
          <w:p w14:paraId="00000233" w14:textId="77777777" w:rsidR="00AC2A5E" w:rsidRDefault="009549BA">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Workshops: 22</w:t>
            </w:r>
          </w:p>
          <w:p w14:paraId="00000234" w14:textId="77777777" w:rsidR="00AC2A5E" w:rsidRDefault="009549BA">
            <w:pPr>
              <w:pBdr>
                <w:top w:val="nil"/>
                <w:left w:val="nil"/>
                <w:bottom w:val="nil"/>
                <w:right w:val="nil"/>
                <w:between w:val="nil"/>
              </w:pBdr>
              <w:rPr>
                <w:rFonts w:ascii="Calibri" w:eastAsia="Calibri" w:hAnsi="Calibri" w:cs="Calibri"/>
                <w:color w:val="000000"/>
                <w:sz w:val="24"/>
                <w:szCs w:val="24"/>
              </w:rPr>
            </w:pPr>
            <w:r w:rsidRPr="00064A4F">
              <w:rPr>
                <w:rFonts w:ascii="Calibri" w:eastAsia="Calibri" w:hAnsi="Calibri" w:cs="Calibri"/>
                <w:b/>
                <w:bCs/>
                <w:color w:val="000000"/>
                <w:sz w:val="24"/>
                <w:szCs w:val="24"/>
              </w:rPr>
              <w:t>82</w:t>
            </w:r>
            <w:r>
              <w:rPr>
                <w:rFonts w:ascii="Calibri" w:eastAsia="Calibri" w:hAnsi="Calibri" w:cs="Calibri"/>
                <w:b/>
                <w:color w:val="000000"/>
                <w:sz w:val="24"/>
                <w:szCs w:val="24"/>
              </w:rPr>
              <w:t xml:space="preserve"> total engagements</w:t>
            </w:r>
            <w:r>
              <w:rPr>
                <w:rFonts w:ascii="Calibri" w:eastAsia="Calibri" w:hAnsi="Calibri" w:cs="Calibri"/>
                <w:b/>
                <w:color w:val="000000"/>
                <w:sz w:val="24"/>
                <w:szCs w:val="24"/>
                <w:vertAlign w:val="superscript"/>
              </w:rPr>
              <w:footnoteReference w:id="6"/>
            </w:r>
          </w:p>
        </w:tc>
      </w:tr>
    </w:tbl>
    <w:p w14:paraId="00000235" w14:textId="77777777" w:rsidR="00AC2A5E" w:rsidRDefault="00AC2A5E">
      <w:pPr>
        <w:pBdr>
          <w:top w:val="nil"/>
          <w:left w:val="nil"/>
          <w:bottom w:val="nil"/>
          <w:right w:val="nil"/>
          <w:between w:val="nil"/>
        </w:pBdr>
        <w:rPr>
          <w:rFonts w:ascii="Calibri" w:eastAsia="Calibri" w:hAnsi="Calibri" w:cs="Calibri"/>
          <w:color w:val="000000"/>
          <w:sz w:val="24"/>
          <w:szCs w:val="24"/>
        </w:rPr>
      </w:pPr>
    </w:p>
    <w:tbl>
      <w:tblPr>
        <w:tblStyle w:val="aff6"/>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45"/>
        <w:gridCol w:w="5984"/>
      </w:tblGrid>
      <w:tr w:rsidR="00AC2A5E" w14:paraId="578BF2C6" w14:textId="77777777">
        <w:trPr>
          <w:trHeight w:val="817"/>
        </w:trPr>
        <w:tc>
          <w:tcPr>
            <w:tcW w:w="4045" w:type="dxa"/>
            <w:shd w:val="clear" w:color="auto" w:fill="C6D9F1"/>
            <w:vAlign w:val="center"/>
          </w:tcPr>
          <w:p w14:paraId="00000236" w14:textId="77777777" w:rsidR="00AC2A5E" w:rsidRDefault="009549BA">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Person responsible for implementing and monitoring the SEP:</w:t>
            </w:r>
          </w:p>
        </w:tc>
        <w:tc>
          <w:tcPr>
            <w:tcW w:w="5984" w:type="dxa"/>
            <w:vAlign w:val="center"/>
          </w:tcPr>
          <w:p w14:paraId="00000237" w14:textId="77777777" w:rsidR="00AC2A5E" w:rsidRDefault="009549BA">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20"/>
                <w:szCs w:val="20"/>
              </w:rPr>
              <w:t>Restaura Biomas Safeguards Specialist</w:t>
            </w:r>
          </w:p>
        </w:tc>
      </w:tr>
      <w:tr w:rsidR="00AC2A5E" w14:paraId="6A271939" w14:textId="77777777">
        <w:trPr>
          <w:trHeight w:val="628"/>
        </w:trPr>
        <w:tc>
          <w:tcPr>
            <w:tcW w:w="4045" w:type="dxa"/>
            <w:shd w:val="clear" w:color="auto" w:fill="C6D9F1"/>
            <w:vAlign w:val="center"/>
          </w:tcPr>
          <w:p w14:paraId="00000238" w14:textId="77777777" w:rsidR="00AC2A5E" w:rsidRDefault="009549BA">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How/Where will the approved SEP be disclosed</w:t>
            </w:r>
            <w:r>
              <w:rPr>
                <w:rFonts w:ascii="Calibri" w:eastAsia="Calibri" w:hAnsi="Calibri" w:cs="Calibri"/>
                <w:b/>
                <w:color w:val="000000"/>
                <w:sz w:val="20"/>
                <w:szCs w:val="20"/>
                <w:vertAlign w:val="superscript"/>
              </w:rPr>
              <w:footnoteReference w:id="7"/>
            </w:r>
            <w:r>
              <w:rPr>
                <w:rFonts w:ascii="Calibri" w:eastAsia="Calibri" w:hAnsi="Calibri" w:cs="Calibri"/>
                <w:b/>
                <w:color w:val="000000"/>
                <w:sz w:val="20"/>
                <w:szCs w:val="20"/>
              </w:rPr>
              <w:t>:</w:t>
            </w:r>
          </w:p>
        </w:tc>
        <w:tc>
          <w:tcPr>
            <w:tcW w:w="5984" w:type="dxa"/>
            <w:vAlign w:val="center"/>
          </w:tcPr>
          <w:p w14:paraId="00000239" w14:textId="77777777" w:rsidR="00AC2A5E" w:rsidRDefault="009549B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At the inception workshop with key stakeholders, the SEP will then be available on request to restoration networks, farmers, restoration supply chain participants, and other stakeholders upon request. </w:t>
            </w:r>
          </w:p>
        </w:tc>
      </w:tr>
      <w:tr w:rsidR="00AC2A5E" w14:paraId="78FF841C" w14:textId="77777777">
        <w:trPr>
          <w:trHeight w:val="619"/>
        </w:trPr>
        <w:tc>
          <w:tcPr>
            <w:tcW w:w="4045" w:type="dxa"/>
            <w:shd w:val="clear" w:color="auto" w:fill="C6D9F1"/>
            <w:vAlign w:val="center"/>
          </w:tcPr>
          <w:p w14:paraId="0000023A" w14:textId="77777777" w:rsidR="00AC2A5E" w:rsidRDefault="009549BA">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When will the approved SEP be disclosed:</w:t>
            </w:r>
          </w:p>
        </w:tc>
        <w:tc>
          <w:tcPr>
            <w:tcW w:w="5984" w:type="dxa"/>
            <w:vAlign w:val="center"/>
          </w:tcPr>
          <w:p w14:paraId="0000023B" w14:textId="77777777" w:rsidR="00AC2A5E" w:rsidRDefault="009549BA">
            <w:pPr>
              <w:widowControl/>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Once CEO endorsement of the project has been attained.</w:t>
            </w:r>
          </w:p>
        </w:tc>
      </w:tr>
    </w:tbl>
    <w:p w14:paraId="0000023C" w14:textId="77777777" w:rsidR="00AC2A5E" w:rsidRDefault="00AC2A5E">
      <w:pPr>
        <w:pBdr>
          <w:top w:val="nil"/>
          <w:left w:val="nil"/>
          <w:bottom w:val="nil"/>
          <w:right w:val="nil"/>
          <w:between w:val="nil"/>
        </w:pBdr>
        <w:rPr>
          <w:rFonts w:ascii="Calibri" w:eastAsia="Calibri" w:hAnsi="Calibri" w:cs="Calibri"/>
          <w:color w:val="000000"/>
          <w:sz w:val="24"/>
          <w:szCs w:val="24"/>
        </w:rPr>
      </w:pPr>
    </w:p>
    <w:sectPr w:rsidR="00AC2A5E">
      <w:pgSz w:w="11910" w:h="16840"/>
      <w:pgMar w:top="280" w:right="1020" w:bottom="1580"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43231" w14:textId="77777777" w:rsidR="00306256" w:rsidRDefault="00306256">
      <w:r>
        <w:separator/>
      </w:r>
    </w:p>
  </w:endnote>
  <w:endnote w:type="continuationSeparator" w:id="0">
    <w:p w14:paraId="05A20EB1" w14:textId="77777777" w:rsidR="00306256" w:rsidRDefault="00306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62A9EAEC-F9FF-4F79-83CB-611F1D1D132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B473194F-EF13-47FD-B0BE-FADDD168C0EC}"/>
    <w:embedItalic r:id="rId3" w:fontKey="{BE9F326B-B9F8-4D6A-A0CD-8BD173E1333F}"/>
  </w:font>
  <w:font w:name="Segoe UI">
    <w:panose1 w:val="020B0502040204020203"/>
    <w:charset w:val="00"/>
    <w:family w:val="swiss"/>
    <w:pitch w:val="variable"/>
    <w:sig w:usb0="E4002EFF" w:usb1="C000E47F" w:usb2="00000009" w:usb3="00000000" w:csb0="000001FF" w:csb1="00000000"/>
    <w:embedRegular r:id="rId4" w:fontKey="{0D9FDD29-DE61-47DC-9D99-890980B2390D}"/>
  </w:font>
  <w:font w:name="Calibri">
    <w:panose1 w:val="020F0502020204030204"/>
    <w:charset w:val="00"/>
    <w:family w:val="swiss"/>
    <w:pitch w:val="variable"/>
    <w:sig w:usb0="E4002EFF" w:usb1="C200247B" w:usb2="00000009" w:usb3="00000000" w:csb0="000001FF" w:csb1="00000000"/>
    <w:embedRegular r:id="rId5" w:fontKey="{51A38E9F-51A6-415D-A3CD-44AAB5A4620E}"/>
    <w:embedBold r:id="rId6" w:fontKey="{E3FDDE57-78CF-4CF1-B745-6F65EC6AC9EF}"/>
    <w:embedItalic r:id="rId7" w:fontKey="{079E8E76-9F96-4E00-9D52-4AA86AE812E2}"/>
    <w:embedBoldItalic r:id="rId8" w:fontKey="{A44B09EE-62D9-4BB5-81E4-5FF5108B51C1}"/>
  </w:font>
  <w:font w:name="Georgia">
    <w:panose1 w:val="02040502050405020303"/>
    <w:charset w:val="00"/>
    <w:family w:val="roman"/>
    <w:pitch w:val="variable"/>
    <w:sig w:usb0="00000287" w:usb1="00000000" w:usb2="00000000" w:usb3="00000000" w:csb0="0000009F" w:csb1="00000000"/>
    <w:embedRegular r:id="rId9" w:fontKey="{D6225969-1967-4B81-9E5D-CF98AF44306D}"/>
    <w:embedItalic r:id="rId10" w:fontKey="{DF27B34E-4BCD-4AB1-9279-CC69621E63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51" w14:textId="77777777" w:rsidR="00AC2A5E" w:rsidRDefault="00AC2A5E">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4C" w14:textId="77777777" w:rsidR="00AC2A5E" w:rsidRDefault="00AC2A5E">
    <w:pPr>
      <w:pBdr>
        <w:top w:val="nil"/>
        <w:left w:val="nil"/>
        <w:bottom w:val="nil"/>
        <w:right w:val="nil"/>
        <w:between w:val="nil"/>
      </w:pBdr>
      <w:tabs>
        <w:tab w:val="center" w:pos="4513"/>
        <w:tab w:val="right" w:pos="9026"/>
      </w:tabs>
      <w:rPr>
        <w:color w:val="000000"/>
      </w:rPr>
    </w:pPr>
  </w:p>
  <w:p w14:paraId="0000024D" w14:textId="77777777" w:rsidR="00AC2A5E" w:rsidRDefault="00AC2A5E">
    <w:pPr>
      <w:pBdr>
        <w:top w:val="single" w:sz="4" w:space="1" w:color="000000"/>
        <w:left w:val="nil"/>
        <w:bottom w:val="nil"/>
        <w:right w:val="nil"/>
        <w:between w:val="nil"/>
      </w:pBdr>
      <w:tabs>
        <w:tab w:val="center" w:pos="4513"/>
        <w:tab w:val="right" w:pos="9026"/>
      </w:tabs>
      <w:rPr>
        <w:i/>
        <w:color w:val="000000"/>
        <w:sz w:val="8"/>
        <w:szCs w:val="8"/>
      </w:rPr>
    </w:pPr>
  </w:p>
  <w:p w14:paraId="0000024E" w14:textId="0069E14F" w:rsidR="00AC2A5E" w:rsidRDefault="009549BA">
    <w:pPr>
      <w:pBdr>
        <w:top w:val="single" w:sz="4" w:space="1" w:color="000000"/>
        <w:left w:val="nil"/>
        <w:bottom w:val="nil"/>
        <w:right w:val="nil"/>
        <w:between w:val="nil"/>
      </w:pBdr>
      <w:tabs>
        <w:tab w:val="center" w:pos="4513"/>
        <w:tab w:val="right" w:pos="9026"/>
      </w:tabs>
      <w:rPr>
        <w:b/>
        <w:i/>
        <w:color w:val="000000"/>
        <w:sz w:val="20"/>
        <w:szCs w:val="20"/>
      </w:rPr>
    </w:pPr>
    <w:r>
      <w:rPr>
        <w:rFonts w:ascii="Calibri" w:eastAsia="Calibri" w:hAnsi="Calibri" w:cs="Calibri"/>
        <w:i/>
        <w:color w:val="000000"/>
        <w:sz w:val="18"/>
        <w:szCs w:val="18"/>
      </w:rPr>
      <w:t>Restaura Biomas</w:t>
    </w:r>
    <w:r>
      <w:rPr>
        <w:rFonts w:ascii="Calibri" w:eastAsia="Calibri" w:hAnsi="Calibri" w:cs="Calibri"/>
        <w:b/>
        <w:i/>
        <w:color w:val="000000"/>
        <w:sz w:val="18"/>
        <w:szCs w:val="18"/>
      </w:rPr>
      <w:t xml:space="preserve"> Stakeholder Engagement Plan</w:t>
    </w:r>
    <w:r>
      <w:rPr>
        <w:rFonts w:ascii="Calibri" w:eastAsia="Calibri" w:hAnsi="Calibri" w:cs="Calibri"/>
        <w:b/>
        <w:i/>
        <w:color w:val="000000"/>
        <w:sz w:val="18"/>
        <w:szCs w:val="18"/>
      </w:rPr>
      <w:tab/>
    </w:r>
    <w:r>
      <w:rPr>
        <w:b/>
        <w:i/>
        <w:color w:val="000000"/>
        <w:sz w:val="20"/>
        <w:szCs w:val="20"/>
      </w:rPr>
      <w:tab/>
    </w:r>
    <w:r>
      <w:rPr>
        <w:b/>
        <w:i/>
        <w:color w:val="000000"/>
        <w:sz w:val="20"/>
        <w:szCs w:val="20"/>
      </w:rPr>
      <w:fldChar w:fldCharType="begin"/>
    </w:r>
    <w:r>
      <w:rPr>
        <w:b/>
        <w:i/>
        <w:color w:val="000000"/>
        <w:sz w:val="20"/>
        <w:szCs w:val="20"/>
      </w:rPr>
      <w:instrText>PAGE</w:instrText>
    </w:r>
    <w:r>
      <w:rPr>
        <w:b/>
        <w:i/>
        <w:color w:val="000000"/>
        <w:sz w:val="20"/>
        <w:szCs w:val="20"/>
      </w:rPr>
      <w:fldChar w:fldCharType="separate"/>
    </w:r>
    <w:r w:rsidR="00064A4F">
      <w:rPr>
        <w:b/>
        <w:i/>
        <w:noProof/>
        <w:color w:val="000000"/>
        <w:sz w:val="20"/>
        <w:szCs w:val="20"/>
      </w:rPr>
      <w:t>1</w:t>
    </w:r>
    <w:r>
      <w:rPr>
        <w:b/>
        <w:i/>
        <w:color w:val="000000"/>
        <w:sz w:val="20"/>
        <w:szCs w:val="20"/>
      </w:rPr>
      <w:fldChar w:fldCharType="end"/>
    </w:r>
  </w:p>
  <w:p w14:paraId="0000024F" w14:textId="77777777" w:rsidR="00AC2A5E" w:rsidRDefault="00AC2A5E">
    <w:pPr>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50" w14:textId="77777777" w:rsidR="00AC2A5E" w:rsidRDefault="00AC2A5E">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6A181" w14:textId="77777777" w:rsidR="00306256" w:rsidRDefault="00306256">
      <w:r>
        <w:separator/>
      </w:r>
    </w:p>
  </w:footnote>
  <w:footnote w:type="continuationSeparator" w:id="0">
    <w:p w14:paraId="780156DD" w14:textId="77777777" w:rsidR="00306256" w:rsidRDefault="00306256">
      <w:r>
        <w:continuationSeparator/>
      </w:r>
    </w:p>
  </w:footnote>
  <w:footnote w:id="1">
    <w:p w14:paraId="0000023D" w14:textId="77777777" w:rsidR="00AC2A5E" w:rsidRPr="00064A4F" w:rsidRDefault="009549BA" w:rsidP="00064A4F">
      <w:pPr>
        <w:pBdr>
          <w:top w:val="nil"/>
          <w:left w:val="nil"/>
          <w:bottom w:val="nil"/>
          <w:right w:val="nil"/>
          <w:between w:val="nil"/>
        </w:pBdr>
        <w:rPr>
          <w:rFonts w:asciiTheme="minorHAnsi" w:eastAsia="Calibri" w:hAnsiTheme="minorHAnsi" w:cstheme="minorHAnsi"/>
          <w:color w:val="000000"/>
          <w:sz w:val="18"/>
          <w:szCs w:val="18"/>
        </w:rPr>
      </w:pPr>
      <w:r w:rsidRPr="00064A4F">
        <w:rPr>
          <w:rFonts w:asciiTheme="minorHAnsi" w:hAnsiTheme="minorHAnsi" w:cstheme="minorHAnsi"/>
          <w:sz w:val="18"/>
          <w:szCs w:val="18"/>
          <w:vertAlign w:val="superscript"/>
        </w:rPr>
        <w:footnoteRef/>
      </w:r>
      <w:r w:rsidRPr="00064A4F">
        <w:rPr>
          <w:rFonts w:asciiTheme="minorHAnsi" w:eastAsia="Calibri" w:hAnsiTheme="minorHAnsi" w:cstheme="minorHAnsi"/>
          <w:color w:val="000000"/>
          <w:sz w:val="18"/>
          <w:szCs w:val="18"/>
        </w:rPr>
        <w:t xml:space="preserve"> Stakeholder refers to individuals or groups who: (a) are affected or likely to be affected by the project (project-affected parties); and (b) may have an interest in the project (other interested parties).</w:t>
      </w:r>
    </w:p>
  </w:footnote>
  <w:footnote w:id="2">
    <w:p w14:paraId="0000023E" w14:textId="77777777" w:rsidR="00AC2A5E" w:rsidRPr="00064A4F" w:rsidRDefault="009549BA" w:rsidP="00064A4F">
      <w:pPr>
        <w:pBdr>
          <w:top w:val="nil"/>
          <w:left w:val="nil"/>
          <w:bottom w:val="nil"/>
          <w:right w:val="nil"/>
          <w:between w:val="nil"/>
        </w:pBdr>
        <w:rPr>
          <w:rFonts w:asciiTheme="minorHAnsi" w:eastAsia="Calibri" w:hAnsiTheme="minorHAnsi" w:cstheme="minorHAnsi"/>
          <w:color w:val="000000"/>
          <w:sz w:val="18"/>
          <w:szCs w:val="18"/>
        </w:rPr>
      </w:pPr>
      <w:r w:rsidRPr="00064A4F">
        <w:rPr>
          <w:rFonts w:asciiTheme="minorHAnsi" w:hAnsiTheme="minorHAnsi" w:cstheme="minorHAnsi"/>
          <w:sz w:val="18"/>
          <w:szCs w:val="18"/>
          <w:vertAlign w:val="superscript"/>
        </w:rPr>
        <w:footnoteRef/>
      </w:r>
      <w:r w:rsidRPr="00064A4F">
        <w:rPr>
          <w:rFonts w:asciiTheme="minorHAnsi" w:eastAsia="Calibri" w:hAnsiTheme="minorHAnsi" w:cstheme="minorHAnsi"/>
          <w:color w:val="000000"/>
          <w:sz w:val="18"/>
          <w:szCs w:val="18"/>
        </w:rPr>
        <w:t xml:space="preserve"> Disadvantaged/Vulnerable refers to those who may be more likely to be adversely affected by the project impacts and/or more limited than others in their ability to take advantage of a project’s benefits. Such an individual/group is also more likely to be excluded from/unable to participate fully in the mainstream consultation process and as such may require specific measures and/or assistance to do so. This will take into account considerations relating to age, including the elderly and minors, and including in circumstances where they may be separated from their family, the community or other individuals upon which they depend.</w:t>
      </w:r>
    </w:p>
  </w:footnote>
  <w:footnote w:id="3">
    <w:p w14:paraId="0000023F" w14:textId="77777777" w:rsidR="00AC2A5E" w:rsidRPr="00064A4F" w:rsidRDefault="009549BA" w:rsidP="00064A4F">
      <w:pPr>
        <w:pBdr>
          <w:top w:val="nil"/>
          <w:left w:val="nil"/>
          <w:bottom w:val="nil"/>
          <w:right w:val="nil"/>
          <w:between w:val="nil"/>
        </w:pBdr>
        <w:rPr>
          <w:rFonts w:asciiTheme="minorHAnsi" w:eastAsia="Calibri" w:hAnsiTheme="minorHAnsi" w:cstheme="minorHAnsi"/>
          <w:color w:val="000000"/>
          <w:sz w:val="18"/>
          <w:szCs w:val="18"/>
        </w:rPr>
      </w:pPr>
      <w:r w:rsidRPr="00064A4F">
        <w:rPr>
          <w:rFonts w:asciiTheme="minorHAnsi" w:hAnsiTheme="minorHAnsi" w:cstheme="minorHAnsi"/>
          <w:sz w:val="18"/>
          <w:szCs w:val="18"/>
          <w:vertAlign w:val="superscript"/>
        </w:rPr>
        <w:footnoteRef/>
      </w:r>
      <w:r w:rsidRPr="00064A4F">
        <w:rPr>
          <w:rFonts w:asciiTheme="minorHAnsi" w:eastAsia="Calibri" w:hAnsiTheme="minorHAnsi" w:cstheme="minorHAnsi"/>
          <w:color w:val="000000"/>
          <w:sz w:val="18"/>
          <w:szCs w:val="18"/>
        </w:rPr>
        <w:t xml:space="preserve"> Method of engagement can be face-to-face meeting, telephone call, workshop, consultation, survey, etc. </w:t>
      </w:r>
    </w:p>
  </w:footnote>
  <w:footnote w:id="4">
    <w:p w14:paraId="00000241" w14:textId="77777777" w:rsidR="00AC2A5E" w:rsidRPr="00064A4F" w:rsidRDefault="009549BA" w:rsidP="00064A4F">
      <w:pPr>
        <w:rPr>
          <w:rFonts w:asciiTheme="minorHAnsi" w:eastAsia="Calibri" w:hAnsiTheme="minorHAnsi" w:cstheme="minorHAnsi"/>
          <w:color w:val="000000"/>
          <w:sz w:val="18"/>
          <w:szCs w:val="18"/>
        </w:rPr>
      </w:pPr>
      <w:r w:rsidRPr="00064A4F">
        <w:rPr>
          <w:rFonts w:asciiTheme="minorHAnsi" w:hAnsiTheme="minorHAnsi" w:cstheme="minorHAnsi"/>
          <w:sz w:val="18"/>
          <w:szCs w:val="18"/>
          <w:vertAlign w:val="superscript"/>
        </w:rPr>
        <w:footnoteRef/>
      </w:r>
      <w:r w:rsidRPr="00064A4F">
        <w:rPr>
          <w:rFonts w:asciiTheme="minorHAnsi" w:hAnsiTheme="minorHAnsi" w:cstheme="minorHAnsi"/>
          <w:color w:val="000000"/>
          <w:sz w:val="18"/>
          <w:szCs w:val="18"/>
        </w:rPr>
        <w:t xml:space="preserve"> </w:t>
      </w:r>
      <w:r w:rsidRPr="00064A4F">
        <w:rPr>
          <w:rFonts w:asciiTheme="minorHAnsi" w:eastAsia="Calibri" w:hAnsiTheme="minorHAnsi" w:cstheme="minorHAnsi"/>
          <w:color w:val="000000"/>
          <w:sz w:val="18"/>
          <w:szCs w:val="18"/>
        </w:rPr>
        <w:t>Restaura Biomas plans to engage 2 secretariats per state, 1 federal government agency (MMA), 5 civil society organizations, 1 academic institution, 6 restoration networks (1 for each biome), and 5 private sector organizations (restoration supply chain companies and investors).</w:t>
      </w:r>
    </w:p>
  </w:footnote>
  <w:footnote w:id="5">
    <w:p w14:paraId="00000242" w14:textId="77777777" w:rsidR="00AC2A5E" w:rsidRPr="00064A4F" w:rsidRDefault="009549BA" w:rsidP="00064A4F">
      <w:pPr>
        <w:rPr>
          <w:rFonts w:asciiTheme="minorHAnsi" w:eastAsia="Calibri" w:hAnsiTheme="minorHAnsi" w:cstheme="minorHAnsi"/>
          <w:color w:val="000000"/>
          <w:sz w:val="18"/>
          <w:szCs w:val="18"/>
        </w:rPr>
      </w:pPr>
      <w:r w:rsidRPr="00064A4F">
        <w:rPr>
          <w:rFonts w:asciiTheme="minorHAnsi" w:hAnsiTheme="minorHAnsi" w:cstheme="minorHAnsi"/>
          <w:sz w:val="18"/>
          <w:szCs w:val="18"/>
          <w:vertAlign w:val="superscript"/>
        </w:rPr>
        <w:footnoteRef/>
      </w:r>
      <w:r w:rsidRPr="00064A4F">
        <w:rPr>
          <w:rFonts w:asciiTheme="minorHAnsi" w:eastAsia="Calibri" w:hAnsiTheme="minorHAnsi" w:cstheme="minorHAnsi"/>
          <w:color w:val="000000"/>
          <w:sz w:val="18"/>
          <w:szCs w:val="18"/>
        </w:rPr>
        <w:t xml:space="preserve"> Restaura Biomas plans to engage approximately 5 people per monthly online meeting (300 total for the project duration) and 15 people per workshop (330 total for the project duration).</w:t>
      </w:r>
    </w:p>
  </w:footnote>
  <w:footnote w:id="6">
    <w:p w14:paraId="00000243" w14:textId="77777777" w:rsidR="00AC2A5E" w:rsidRPr="00064A4F" w:rsidRDefault="009549BA" w:rsidP="00064A4F">
      <w:pPr>
        <w:rPr>
          <w:rFonts w:asciiTheme="minorHAnsi" w:eastAsia="Calibri" w:hAnsiTheme="minorHAnsi" w:cstheme="minorHAnsi"/>
          <w:color w:val="000000"/>
          <w:sz w:val="18"/>
          <w:szCs w:val="18"/>
        </w:rPr>
      </w:pPr>
      <w:r w:rsidRPr="00064A4F">
        <w:rPr>
          <w:rFonts w:asciiTheme="minorHAnsi" w:hAnsiTheme="minorHAnsi" w:cstheme="minorHAnsi"/>
          <w:sz w:val="18"/>
          <w:szCs w:val="18"/>
          <w:vertAlign w:val="superscript"/>
        </w:rPr>
        <w:footnoteRef/>
      </w:r>
      <w:r w:rsidRPr="00064A4F">
        <w:rPr>
          <w:rFonts w:asciiTheme="minorHAnsi" w:eastAsia="Calibri" w:hAnsiTheme="minorHAnsi" w:cstheme="minorHAnsi"/>
          <w:color w:val="000000"/>
          <w:sz w:val="18"/>
          <w:szCs w:val="18"/>
        </w:rPr>
        <w:t xml:space="preserve"> The project plans to hold 22 in-person workshops and 60 online meetings (1 per month).</w:t>
      </w:r>
    </w:p>
  </w:footnote>
  <w:footnote w:id="7">
    <w:p w14:paraId="00000240" w14:textId="77777777" w:rsidR="00AC2A5E" w:rsidRPr="00064A4F" w:rsidRDefault="009549BA" w:rsidP="00064A4F">
      <w:pPr>
        <w:pBdr>
          <w:top w:val="nil"/>
          <w:left w:val="nil"/>
          <w:bottom w:val="nil"/>
          <w:right w:val="nil"/>
          <w:between w:val="nil"/>
        </w:pBdr>
        <w:rPr>
          <w:rFonts w:asciiTheme="minorHAnsi" w:eastAsia="Calibri" w:hAnsiTheme="minorHAnsi" w:cstheme="minorHAnsi"/>
          <w:color w:val="000000"/>
          <w:sz w:val="18"/>
          <w:szCs w:val="18"/>
        </w:rPr>
      </w:pPr>
      <w:r w:rsidRPr="00064A4F">
        <w:rPr>
          <w:rFonts w:asciiTheme="minorHAnsi" w:hAnsiTheme="minorHAnsi" w:cstheme="minorHAnsi"/>
          <w:sz w:val="18"/>
          <w:szCs w:val="18"/>
          <w:vertAlign w:val="superscript"/>
        </w:rPr>
        <w:footnoteRef/>
      </w:r>
      <w:r w:rsidRPr="00064A4F">
        <w:rPr>
          <w:rFonts w:asciiTheme="minorHAnsi" w:eastAsia="Calibri" w:hAnsiTheme="minorHAnsi" w:cstheme="minorHAnsi"/>
          <w:color w:val="000000"/>
          <w:sz w:val="18"/>
          <w:szCs w:val="18"/>
        </w:rPr>
        <w:t xml:space="preserve"> Approved Safeguard plans are to be disclosed to stakeholders in a manner and form that they will understand and that is culturally appropriate. This may require translation of the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4B" w14:textId="77777777" w:rsidR="00AC2A5E" w:rsidRDefault="00AC2A5E">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44" w14:textId="77777777" w:rsidR="00AC2A5E" w:rsidRDefault="00AC2A5E">
    <w:pPr>
      <w:pBdr>
        <w:top w:val="nil"/>
        <w:left w:val="nil"/>
        <w:bottom w:val="nil"/>
        <w:right w:val="nil"/>
        <w:between w:val="nil"/>
      </w:pBdr>
      <w:tabs>
        <w:tab w:val="center" w:pos="4513"/>
        <w:tab w:val="right" w:pos="9026"/>
      </w:tabs>
      <w:rPr>
        <w:color w:val="000000"/>
      </w:rPr>
    </w:pPr>
  </w:p>
  <w:p w14:paraId="00000245" w14:textId="77777777" w:rsidR="00AC2A5E" w:rsidRDefault="009549BA">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67CBA114" wp14:editId="09EF592E">
          <wp:simplePos x="0" y="0"/>
          <wp:positionH relativeFrom="column">
            <wp:posOffset>2377757</wp:posOffset>
          </wp:positionH>
          <wp:positionV relativeFrom="paragraph">
            <wp:posOffset>10795</wp:posOffset>
          </wp:positionV>
          <wp:extent cx="1619250" cy="668655"/>
          <wp:effectExtent l="0" t="0" r="0" b="0"/>
          <wp:wrapSquare wrapText="bothSides" distT="0" distB="0" distL="114300" distR="114300"/>
          <wp:docPr id="12" name="image1.png"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generated with very high confidence"/>
                  <pic:cNvPicPr preferRelativeResize="0"/>
                </pic:nvPicPr>
                <pic:blipFill>
                  <a:blip r:embed="rId1"/>
                  <a:srcRect l="67223" t="1847" r="4582" b="89147"/>
                  <a:stretch>
                    <a:fillRect/>
                  </a:stretch>
                </pic:blipFill>
                <pic:spPr>
                  <a:xfrm>
                    <a:off x="0" y="0"/>
                    <a:ext cx="1619250" cy="668655"/>
                  </a:xfrm>
                  <a:prstGeom prst="rect">
                    <a:avLst/>
                  </a:prstGeom>
                  <a:ln/>
                </pic:spPr>
              </pic:pic>
            </a:graphicData>
          </a:graphic>
        </wp:anchor>
      </w:drawing>
    </w:r>
  </w:p>
  <w:p w14:paraId="00000246" w14:textId="77777777" w:rsidR="00AC2A5E" w:rsidRDefault="00AC2A5E">
    <w:pPr>
      <w:pBdr>
        <w:top w:val="nil"/>
        <w:left w:val="nil"/>
        <w:bottom w:val="nil"/>
        <w:right w:val="nil"/>
        <w:between w:val="nil"/>
      </w:pBdr>
      <w:tabs>
        <w:tab w:val="center" w:pos="4513"/>
        <w:tab w:val="right" w:pos="9026"/>
      </w:tabs>
      <w:rPr>
        <w:color w:val="000000"/>
      </w:rPr>
    </w:pPr>
  </w:p>
  <w:p w14:paraId="00000247" w14:textId="77777777" w:rsidR="00AC2A5E" w:rsidRDefault="00AC2A5E">
    <w:pPr>
      <w:pBdr>
        <w:top w:val="nil"/>
        <w:left w:val="nil"/>
        <w:bottom w:val="nil"/>
        <w:right w:val="nil"/>
        <w:between w:val="nil"/>
      </w:pBdr>
      <w:tabs>
        <w:tab w:val="center" w:pos="4513"/>
        <w:tab w:val="right" w:pos="9026"/>
      </w:tabs>
      <w:rPr>
        <w:color w:val="000000"/>
      </w:rPr>
    </w:pPr>
  </w:p>
  <w:p w14:paraId="00000248" w14:textId="77777777" w:rsidR="00AC2A5E" w:rsidRDefault="00AC2A5E">
    <w:pPr>
      <w:pBdr>
        <w:top w:val="nil"/>
        <w:left w:val="nil"/>
        <w:bottom w:val="nil"/>
        <w:right w:val="nil"/>
        <w:between w:val="nil"/>
      </w:pBdr>
      <w:tabs>
        <w:tab w:val="center" w:pos="4513"/>
        <w:tab w:val="right" w:pos="9026"/>
      </w:tabs>
      <w:rPr>
        <w:color w:val="000000"/>
      </w:rPr>
    </w:pPr>
  </w:p>
  <w:p w14:paraId="00000249" w14:textId="77777777" w:rsidR="00AC2A5E" w:rsidRDefault="00AC2A5E">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4A" w14:textId="77777777" w:rsidR="00AC2A5E" w:rsidRDefault="00AC2A5E">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01632"/>
    <w:multiLevelType w:val="multilevel"/>
    <w:tmpl w:val="5CC20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FE2BC4"/>
    <w:multiLevelType w:val="multilevel"/>
    <w:tmpl w:val="550E5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D17F81"/>
    <w:multiLevelType w:val="multilevel"/>
    <w:tmpl w:val="88E65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F24609"/>
    <w:multiLevelType w:val="multilevel"/>
    <w:tmpl w:val="F65CA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CA6FDD"/>
    <w:multiLevelType w:val="multilevel"/>
    <w:tmpl w:val="88D85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5782E58"/>
    <w:multiLevelType w:val="multilevel"/>
    <w:tmpl w:val="64545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58E26FE"/>
    <w:multiLevelType w:val="multilevel"/>
    <w:tmpl w:val="324CDBFE"/>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B1521E1"/>
    <w:multiLevelType w:val="multilevel"/>
    <w:tmpl w:val="BCC0C994"/>
    <w:lvl w:ilvl="0">
      <w:start w:val="1"/>
      <w:numFmt w:val="decimal"/>
      <w:pStyle w:val="heading10"/>
      <w:lvlText w:val="%1."/>
      <w:lvlJc w:val="left"/>
      <w:pPr>
        <w:tabs>
          <w:tab w:val="num" w:pos="720"/>
        </w:tabs>
        <w:ind w:left="720" w:hanging="720"/>
      </w:pPr>
    </w:lvl>
    <w:lvl w:ilvl="1">
      <w:start w:val="1"/>
      <w:numFmt w:val="decimal"/>
      <w:pStyle w:val="heading20"/>
      <w:lvlText w:val="%2."/>
      <w:lvlJc w:val="left"/>
      <w:pPr>
        <w:tabs>
          <w:tab w:val="num" w:pos="1440"/>
        </w:tabs>
        <w:ind w:left="1440" w:hanging="720"/>
      </w:pPr>
    </w:lvl>
    <w:lvl w:ilvl="2">
      <w:start w:val="1"/>
      <w:numFmt w:val="decimal"/>
      <w:pStyle w:val="heading30"/>
      <w:lvlText w:val="%3."/>
      <w:lvlJc w:val="left"/>
      <w:pPr>
        <w:tabs>
          <w:tab w:val="num" w:pos="2160"/>
        </w:tabs>
        <w:ind w:left="2160" w:hanging="720"/>
      </w:pPr>
    </w:lvl>
    <w:lvl w:ilvl="3">
      <w:start w:val="1"/>
      <w:numFmt w:val="decimal"/>
      <w:pStyle w:val="heading40"/>
      <w:lvlText w:val="%4."/>
      <w:lvlJc w:val="left"/>
      <w:pPr>
        <w:tabs>
          <w:tab w:val="num" w:pos="2880"/>
        </w:tabs>
        <w:ind w:left="2880" w:hanging="720"/>
      </w:pPr>
    </w:lvl>
    <w:lvl w:ilvl="4">
      <w:start w:val="1"/>
      <w:numFmt w:val="decimal"/>
      <w:pStyle w:val="heading50"/>
      <w:lvlText w:val="%5."/>
      <w:lvlJc w:val="left"/>
      <w:pPr>
        <w:tabs>
          <w:tab w:val="num" w:pos="3600"/>
        </w:tabs>
        <w:ind w:left="3600" w:hanging="720"/>
      </w:pPr>
    </w:lvl>
    <w:lvl w:ilvl="5">
      <w:start w:val="1"/>
      <w:numFmt w:val="decimal"/>
      <w:pStyle w:val="heading60"/>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1982032146">
    <w:abstractNumId w:val="0"/>
  </w:num>
  <w:num w:numId="2" w16cid:durableId="82073330">
    <w:abstractNumId w:val="2"/>
  </w:num>
  <w:num w:numId="3" w16cid:durableId="685637674">
    <w:abstractNumId w:val="1"/>
  </w:num>
  <w:num w:numId="4" w16cid:durableId="1200895465">
    <w:abstractNumId w:val="6"/>
  </w:num>
  <w:num w:numId="5" w16cid:durableId="209343280">
    <w:abstractNumId w:val="3"/>
  </w:num>
  <w:num w:numId="6" w16cid:durableId="1798983022">
    <w:abstractNumId w:val="5"/>
  </w:num>
  <w:num w:numId="7" w16cid:durableId="1655909583">
    <w:abstractNumId w:val="4"/>
  </w:num>
  <w:num w:numId="8" w16cid:durableId="14125113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A5E"/>
    <w:rsid w:val="00064A4F"/>
    <w:rsid w:val="002E7E58"/>
    <w:rsid w:val="00306256"/>
    <w:rsid w:val="00407089"/>
    <w:rsid w:val="00505CED"/>
    <w:rsid w:val="005801A1"/>
    <w:rsid w:val="00627964"/>
    <w:rsid w:val="00692F8F"/>
    <w:rsid w:val="006A5C61"/>
    <w:rsid w:val="006F7F7C"/>
    <w:rsid w:val="00844FAF"/>
    <w:rsid w:val="008965FF"/>
    <w:rsid w:val="008B7D06"/>
    <w:rsid w:val="009549BA"/>
    <w:rsid w:val="00AB04E2"/>
    <w:rsid w:val="00AC2A5E"/>
    <w:rsid w:val="00BB24A9"/>
    <w:rsid w:val="00C61D69"/>
    <w:rsid w:val="00CC0747"/>
    <w:rsid w:val="00CD547C"/>
    <w:rsid w:val="00F04C97"/>
    <w:rsid w:val="00F83E5A"/>
    <w:rsid w:val="00F9194D"/>
    <w:rsid w:val="00F9729E"/>
    <w:rsid w:val="00FE4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CB1A"/>
  <w15:docId w15:val="{7BE614CD-94DE-3D49-B02B-34098EA2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432" w:hanging="432"/>
      <w:outlineLvl w:val="0"/>
    </w:pPr>
    <w:rPr>
      <w:b/>
      <w:sz w:val="48"/>
      <w:szCs w:val="48"/>
    </w:rPr>
  </w:style>
  <w:style w:type="paragraph" w:styleId="Ttulo2">
    <w:name w:val="heading 2"/>
    <w:basedOn w:val="Normal"/>
    <w:next w:val="Normal"/>
    <w:uiPriority w:val="9"/>
    <w:semiHidden/>
    <w:unhideWhenUsed/>
    <w:qFormat/>
    <w:pPr>
      <w:ind w:left="576" w:hanging="576"/>
      <w:outlineLvl w:val="1"/>
    </w:pPr>
    <w:rPr>
      <w:b/>
      <w:sz w:val="40"/>
      <w:szCs w:val="40"/>
    </w:rPr>
  </w:style>
  <w:style w:type="paragraph" w:styleId="Ttulo3">
    <w:name w:val="heading 3"/>
    <w:basedOn w:val="Normal"/>
    <w:next w:val="Normal"/>
    <w:uiPriority w:val="9"/>
    <w:semiHidden/>
    <w:unhideWhenUsed/>
    <w:qFormat/>
    <w:pPr>
      <w:ind w:left="720" w:hanging="720"/>
      <w:outlineLvl w:val="2"/>
    </w:pPr>
    <w:rPr>
      <w:b/>
      <w:sz w:val="30"/>
      <w:szCs w:val="30"/>
    </w:rPr>
  </w:style>
  <w:style w:type="paragraph" w:styleId="Ttulo4">
    <w:name w:val="heading 4"/>
    <w:basedOn w:val="Normal"/>
    <w:next w:val="Normal"/>
    <w:uiPriority w:val="9"/>
    <w:semiHidden/>
    <w:unhideWhenUsed/>
    <w:qFormat/>
    <w:pPr>
      <w:spacing w:before="42"/>
      <w:ind w:left="864" w:right="713" w:hanging="864"/>
      <w:jc w:val="both"/>
      <w:outlineLvl w:val="3"/>
    </w:pPr>
  </w:style>
  <w:style w:type="paragraph" w:styleId="Ttulo5">
    <w:name w:val="heading 5"/>
    <w:basedOn w:val="Normal"/>
    <w:next w:val="Normal"/>
    <w:uiPriority w:val="9"/>
    <w:semiHidden/>
    <w:unhideWhenUsed/>
    <w:qFormat/>
    <w:pPr>
      <w:ind w:left="1008" w:hanging="1008"/>
      <w:outlineLvl w:val="4"/>
    </w:pPr>
    <w:rPr>
      <w:b/>
      <w:sz w:val="20"/>
      <w:szCs w:val="20"/>
    </w:rPr>
  </w:style>
  <w:style w:type="paragraph" w:styleId="Ttulo6">
    <w:name w:val="heading 6"/>
    <w:basedOn w:val="Normal"/>
    <w:next w:val="Normal"/>
    <w:uiPriority w:val="9"/>
    <w:semiHidden/>
    <w:unhideWhenUsed/>
    <w:qFormat/>
    <w:pPr>
      <w:keepNext/>
      <w:keepLines/>
      <w:spacing w:before="40"/>
      <w:ind w:left="1152" w:hanging="1152"/>
      <w:outlineLvl w:val="5"/>
    </w:pPr>
    <w:rPr>
      <w:rFonts w:ascii="Cambria" w:eastAsia="Cambria" w:hAnsi="Cambria" w:cs="Cambria"/>
      <w:color w:val="243F61"/>
    </w:rPr>
  </w:style>
  <w:style w:type="paragraph" w:styleId="Ttulo7">
    <w:name w:val="heading 7"/>
    <w:basedOn w:val="Normal0"/>
    <w:next w:val="Normal0"/>
    <w:link w:val="Ttulo7Car"/>
    <w:uiPriority w:val="9"/>
    <w:semiHidden/>
    <w:unhideWhenUsed/>
    <w:qFormat/>
    <w:rsid w:val="00973394"/>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0"/>
    <w:next w:val="Normal0"/>
    <w:link w:val="Ttulo8Car"/>
    <w:uiPriority w:val="9"/>
    <w:semiHidden/>
    <w:unhideWhenUsed/>
    <w:qFormat/>
    <w:rsid w:val="00973394"/>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0"/>
    <w:next w:val="Normal0"/>
    <w:link w:val="Ttulo9Car"/>
    <w:uiPriority w:val="9"/>
    <w:semiHidden/>
    <w:unhideWhenUsed/>
    <w:qFormat/>
    <w:rsid w:val="00973394"/>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uiPriority w:val="1"/>
    <w:qFormat/>
  </w:style>
  <w:style w:type="paragraph" w:customStyle="1" w:styleId="heading10">
    <w:name w:val="heading 10"/>
    <w:basedOn w:val="Normal0"/>
    <w:uiPriority w:val="1"/>
    <w:qFormat/>
    <w:pPr>
      <w:numPr>
        <w:numId w:val="8"/>
      </w:numPr>
      <w:outlineLvl w:val="0"/>
    </w:pPr>
    <w:rPr>
      <w:b/>
      <w:bCs/>
      <w:sz w:val="48"/>
      <w:szCs w:val="48"/>
    </w:rPr>
  </w:style>
  <w:style w:type="paragraph" w:customStyle="1" w:styleId="heading20">
    <w:name w:val="heading 20"/>
    <w:basedOn w:val="Normal0"/>
    <w:uiPriority w:val="1"/>
    <w:qFormat/>
    <w:pPr>
      <w:numPr>
        <w:ilvl w:val="1"/>
        <w:numId w:val="8"/>
      </w:numPr>
      <w:outlineLvl w:val="1"/>
    </w:pPr>
    <w:rPr>
      <w:b/>
      <w:bCs/>
      <w:sz w:val="40"/>
      <w:szCs w:val="40"/>
    </w:rPr>
  </w:style>
  <w:style w:type="paragraph" w:customStyle="1" w:styleId="heading30">
    <w:name w:val="heading 30"/>
    <w:basedOn w:val="Normal0"/>
    <w:uiPriority w:val="1"/>
    <w:qFormat/>
    <w:pPr>
      <w:numPr>
        <w:ilvl w:val="2"/>
        <w:numId w:val="8"/>
      </w:numPr>
      <w:outlineLvl w:val="2"/>
    </w:pPr>
    <w:rPr>
      <w:b/>
      <w:bCs/>
      <w:sz w:val="30"/>
      <w:szCs w:val="30"/>
    </w:rPr>
  </w:style>
  <w:style w:type="paragraph" w:customStyle="1" w:styleId="heading40">
    <w:name w:val="heading 40"/>
    <w:basedOn w:val="Normal0"/>
    <w:uiPriority w:val="1"/>
    <w:qFormat/>
    <w:pPr>
      <w:numPr>
        <w:ilvl w:val="3"/>
        <w:numId w:val="8"/>
      </w:numPr>
      <w:spacing w:before="42"/>
      <w:ind w:right="713"/>
      <w:jc w:val="both"/>
      <w:outlineLvl w:val="3"/>
    </w:pPr>
  </w:style>
  <w:style w:type="paragraph" w:customStyle="1" w:styleId="heading50">
    <w:name w:val="heading 50"/>
    <w:basedOn w:val="Normal0"/>
    <w:uiPriority w:val="1"/>
    <w:qFormat/>
    <w:pPr>
      <w:numPr>
        <w:ilvl w:val="4"/>
        <w:numId w:val="8"/>
      </w:numPr>
      <w:outlineLvl w:val="4"/>
    </w:pPr>
    <w:rPr>
      <w:b/>
      <w:bCs/>
      <w:sz w:val="20"/>
      <w:szCs w:val="20"/>
    </w:rPr>
  </w:style>
  <w:style w:type="paragraph" w:customStyle="1" w:styleId="heading60">
    <w:name w:val="heading 60"/>
    <w:basedOn w:val="Normal0"/>
    <w:next w:val="Normal0"/>
    <w:link w:val="Ttulo6Car"/>
    <w:uiPriority w:val="9"/>
    <w:semiHidden/>
    <w:unhideWhenUsed/>
    <w:qFormat/>
    <w:rsid w:val="00973394"/>
    <w:pPr>
      <w:keepNext/>
      <w:keepLines/>
      <w:numPr>
        <w:ilvl w:val="5"/>
        <w:numId w:val="8"/>
      </w:numPr>
      <w:spacing w:before="40"/>
      <w:outlineLvl w:val="5"/>
    </w:pPr>
    <w:rPr>
      <w:rFonts w:asciiTheme="majorHAnsi" w:eastAsiaTheme="majorEastAsia" w:hAnsiTheme="majorHAnsi" w:cstheme="majorBidi"/>
      <w:color w:val="243F60" w:themeColor="accent1" w:themeShade="7F"/>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TDC1">
    <w:name w:val="toc 1"/>
    <w:basedOn w:val="Normal0"/>
    <w:uiPriority w:val="1"/>
    <w:qFormat/>
    <w:pPr>
      <w:spacing w:before="470"/>
      <w:ind w:left="112"/>
    </w:pPr>
    <w:rPr>
      <w:b/>
      <w:bCs/>
      <w:sz w:val="30"/>
      <w:szCs w:val="30"/>
    </w:rPr>
  </w:style>
  <w:style w:type="paragraph" w:styleId="TDC2">
    <w:name w:val="toc 2"/>
    <w:basedOn w:val="Normal0"/>
    <w:uiPriority w:val="1"/>
    <w:qFormat/>
    <w:pPr>
      <w:spacing w:before="118"/>
      <w:ind w:left="792" w:hanging="680"/>
    </w:pPr>
    <w:rPr>
      <w:b/>
      <w:bCs/>
      <w:sz w:val="20"/>
      <w:szCs w:val="20"/>
    </w:rPr>
  </w:style>
  <w:style w:type="paragraph" w:styleId="TDC3">
    <w:name w:val="toc 3"/>
    <w:basedOn w:val="Normal0"/>
    <w:uiPriority w:val="1"/>
    <w:qFormat/>
    <w:pPr>
      <w:spacing w:before="120"/>
      <w:ind w:left="792" w:hanging="680"/>
    </w:pPr>
    <w:rPr>
      <w:sz w:val="20"/>
      <w:szCs w:val="20"/>
    </w:rPr>
  </w:style>
  <w:style w:type="paragraph" w:styleId="TDC4">
    <w:name w:val="toc 4"/>
    <w:basedOn w:val="Normal0"/>
    <w:uiPriority w:val="1"/>
    <w:qFormat/>
    <w:pPr>
      <w:spacing w:before="45"/>
      <w:ind w:left="112"/>
    </w:pPr>
    <w:rPr>
      <w:sz w:val="18"/>
      <w:szCs w:val="18"/>
    </w:rPr>
  </w:style>
  <w:style w:type="paragraph" w:styleId="Textoindependiente">
    <w:name w:val="Body Text"/>
    <w:basedOn w:val="Normal0"/>
    <w:link w:val="TextoindependienteCar"/>
    <w:qFormat/>
    <w:rPr>
      <w:sz w:val="20"/>
      <w:szCs w:val="20"/>
    </w:rPr>
  </w:style>
  <w:style w:type="paragraph" w:styleId="Prrafodelista">
    <w:name w:val="List Paragraph"/>
    <w:basedOn w:val="Normal0"/>
    <w:uiPriority w:val="34"/>
    <w:qFormat/>
    <w:pPr>
      <w:spacing w:before="120"/>
      <w:ind w:left="1769" w:hanging="360"/>
    </w:pPr>
  </w:style>
  <w:style w:type="paragraph" w:customStyle="1" w:styleId="TableParagraph">
    <w:name w:val="Table Paragraph"/>
    <w:basedOn w:val="Normal0"/>
    <w:uiPriority w:val="1"/>
    <w:qFormat/>
    <w:pPr>
      <w:ind w:left="55"/>
    </w:pPr>
  </w:style>
  <w:style w:type="paragraph" w:styleId="Encabezado">
    <w:name w:val="header"/>
    <w:basedOn w:val="Normal0"/>
    <w:link w:val="EncabezadoCar"/>
    <w:uiPriority w:val="99"/>
    <w:unhideWhenUsed/>
    <w:rsid w:val="004820FA"/>
    <w:pPr>
      <w:tabs>
        <w:tab w:val="center" w:pos="4513"/>
        <w:tab w:val="right" w:pos="9026"/>
      </w:tabs>
    </w:pPr>
  </w:style>
  <w:style w:type="character" w:customStyle="1" w:styleId="EncabezadoCar">
    <w:name w:val="Encabezado Car"/>
    <w:basedOn w:val="Fuentedeprrafopredeter"/>
    <w:link w:val="Encabezado"/>
    <w:uiPriority w:val="99"/>
    <w:rsid w:val="004820FA"/>
    <w:rPr>
      <w:rFonts w:ascii="Arial" w:eastAsia="Arial" w:hAnsi="Arial" w:cs="Arial"/>
    </w:rPr>
  </w:style>
  <w:style w:type="paragraph" w:styleId="Piedepgina">
    <w:name w:val="footer"/>
    <w:basedOn w:val="Normal0"/>
    <w:link w:val="PiedepginaCar"/>
    <w:uiPriority w:val="99"/>
    <w:unhideWhenUsed/>
    <w:rsid w:val="004820FA"/>
    <w:pPr>
      <w:tabs>
        <w:tab w:val="center" w:pos="4513"/>
        <w:tab w:val="right" w:pos="9026"/>
      </w:tabs>
    </w:pPr>
  </w:style>
  <w:style w:type="character" w:customStyle="1" w:styleId="PiedepginaCar">
    <w:name w:val="Pie de página Car"/>
    <w:basedOn w:val="Fuentedeprrafopredeter"/>
    <w:link w:val="Piedepgina"/>
    <w:uiPriority w:val="99"/>
    <w:rsid w:val="004820FA"/>
    <w:rPr>
      <w:rFonts w:ascii="Arial" w:eastAsia="Arial" w:hAnsi="Arial" w:cs="Arial"/>
    </w:rPr>
  </w:style>
  <w:style w:type="character" w:customStyle="1" w:styleId="Ttulo6Car">
    <w:name w:val="Título 6 Car"/>
    <w:basedOn w:val="Fuentedeprrafopredeter"/>
    <w:link w:val="heading60"/>
    <w:uiPriority w:val="9"/>
    <w:semiHidden/>
    <w:rsid w:val="00973394"/>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973394"/>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973394"/>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973394"/>
    <w:rPr>
      <w:rFonts w:asciiTheme="majorHAnsi" w:eastAsiaTheme="majorEastAsia" w:hAnsiTheme="majorHAnsi" w:cstheme="majorBidi"/>
      <w:i/>
      <w:iCs/>
      <w:color w:val="272727" w:themeColor="text1" w:themeTint="D8"/>
      <w:sz w:val="21"/>
      <w:szCs w:val="21"/>
    </w:rPr>
  </w:style>
  <w:style w:type="character" w:styleId="Refdecomentario">
    <w:name w:val="annotation reference"/>
    <w:basedOn w:val="Fuentedeprrafopredeter"/>
    <w:uiPriority w:val="99"/>
    <w:unhideWhenUsed/>
    <w:rsid w:val="00A36EA4"/>
    <w:rPr>
      <w:sz w:val="16"/>
      <w:szCs w:val="16"/>
    </w:rPr>
  </w:style>
  <w:style w:type="paragraph" w:styleId="Textocomentario">
    <w:name w:val="annotation text"/>
    <w:basedOn w:val="Normal0"/>
    <w:link w:val="TextocomentarioCar"/>
    <w:uiPriority w:val="99"/>
    <w:unhideWhenUsed/>
    <w:rsid w:val="00A36EA4"/>
    <w:rPr>
      <w:sz w:val="20"/>
      <w:szCs w:val="20"/>
    </w:rPr>
  </w:style>
  <w:style w:type="character" w:customStyle="1" w:styleId="TextocomentarioCar">
    <w:name w:val="Texto comentario Car"/>
    <w:basedOn w:val="Fuentedeprrafopredeter"/>
    <w:link w:val="Textocomentario"/>
    <w:uiPriority w:val="99"/>
    <w:rsid w:val="00A36EA4"/>
    <w:rPr>
      <w:rFonts w:ascii="Arial" w:eastAsia="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A36EA4"/>
    <w:rPr>
      <w:b/>
      <w:bCs/>
    </w:rPr>
  </w:style>
  <w:style w:type="character" w:customStyle="1" w:styleId="AsuntodelcomentarioCar">
    <w:name w:val="Asunto del comentario Car"/>
    <w:basedOn w:val="TextocomentarioCar"/>
    <w:link w:val="Asuntodelcomentario"/>
    <w:uiPriority w:val="99"/>
    <w:semiHidden/>
    <w:rsid w:val="00A36EA4"/>
    <w:rPr>
      <w:rFonts w:ascii="Arial" w:eastAsia="Arial" w:hAnsi="Arial" w:cs="Arial"/>
      <w:b/>
      <w:bCs/>
      <w:sz w:val="20"/>
      <w:szCs w:val="20"/>
    </w:rPr>
  </w:style>
  <w:style w:type="paragraph" w:styleId="Textodeglobo">
    <w:name w:val="Balloon Text"/>
    <w:basedOn w:val="Normal0"/>
    <w:link w:val="TextodegloboCar"/>
    <w:uiPriority w:val="99"/>
    <w:semiHidden/>
    <w:unhideWhenUsed/>
    <w:rsid w:val="00A36E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6EA4"/>
    <w:rPr>
      <w:rFonts w:ascii="Segoe UI" w:eastAsia="Arial" w:hAnsi="Segoe UI" w:cs="Segoe UI"/>
      <w:sz w:val="18"/>
      <w:szCs w:val="18"/>
    </w:rPr>
  </w:style>
  <w:style w:type="table" w:styleId="Tablaconcuadrcula">
    <w:name w:val="Table Grid"/>
    <w:basedOn w:val="NormalTable0"/>
    <w:uiPriority w:val="39"/>
    <w:rsid w:val="00B05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
    <w:basedOn w:val="Normal0"/>
    <w:link w:val="TextonotapieCar"/>
    <w:uiPriority w:val="99"/>
    <w:unhideWhenUsed/>
    <w:qFormat/>
    <w:rsid w:val="00B7384D"/>
    <w:rPr>
      <w:sz w:val="20"/>
      <w:szCs w:val="20"/>
    </w:rPr>
  </w:style>
  <w:style w:type="character" w:customStyle="1" w:styleId="TextonotapieCar">
    <w:name w:val="Texto nota pie Car"/>
    <w:aliases w:val="Geneva 9 Car,Font: Geneva 9 Car,Boston 10 Car,f Car,Voetnoottekst Char Car,Voetnoottekst Char1 Char Car,Voetnoottekst Char Char1 Char Car,Voetnoottekst Char1 Char Char Char Car,Voetnoottekst Char Char1 Char Char Char Car"/>
    <w:basedOn w:val="Fuentedeprrafopredeter"/>
    <w:link w:val="Textonotapie"/>
    <w:uiPriority w:val="99"/>
    <w:rsid w:val="00B7384D"/>
    <w:rPr>
      <w:rFonts w:ascii="Arial" w:eastAsia="Arial" w:hAnsi="Arial" w:cs="Arial"/>
      <w:sz w:val="20"/>
      <w:szCs w:val="20"/>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4_G,Carattere Char1,fr,BVI fnr"/>
    <w:basedOn w:val="Fuentedeprrafopredeter"/>
    <w:link w:val="ftrefChar"/>
    <w:uiPriority w:val="99"/>
    <w:unhideWhenUsed/>
    <w:qFormat/>
    <w:rsid w:val="00B7384D"/>
    <w:rPr>
      <w:vertAlign w:val="superscript"/>
    </w:rPr>
  </w:style>
  <w:style w:type="paragraph" w:styleId="Textonotaalfinal">
    <w:name w:val="endnote text"/>
    <w:basedOn w:val="Normal0"/>
    <w:link w:val="TextonotaalfinalCar"/>
    <w:uiPriority w:val="99"/>
    <w:semiHidden/>
    <w:unhideWhenUsed/>
    <w:rsid w:val="004146C6"/>
    <w:rPr>
      <w:sz w:val="20"/>
      <w:szCs w:val="20"/>
    </w:rPr>
  </w:style>
  <w:style w:type="character" w:customStyle="1" w:styleId="TextonotaalfinalCar">
    <w:name w:val="Texto nota al final Car"/>
    <w:basedOn w:val="Fuentedeprrafopredeter"/>
    <w:link w:val="Textonotaalfinal"/>
    <w:uiPriority w:val="99"/>
    <w:semiHidden/>
    <w:rsid w:val="004146C6"/>
    <w:rPr>
      <w:rFonts w:ascii="Arial" w:eastAsia="Arial" w:hAnsi="Arial" w:cs="Arial"/>
      <w:sz w:val="20"/>
      <w:szCs w:val="20"/>
    </w:rPr>
  </w:style>
  <w:style w:type="character" w:styleId="Refdenotaalfinal">
    <w:name w:val="endnote reference"/>
    <w:basedOn w:val="Fuentedeprrafopredeter"/>
    <w:uiPriority w:val="99"/>
    <w:semiHidden/>
    <w:unhideWhenUsed/>
    <w:rsid w:val="004146C6"/>
    <w:rPr>
      <w:vertAlign w:val="superscript"/>
    </w:rPr>
  </w:style>
  <w:style w:type="paragraph" w:customStyle="1" w:styleId="ftrefChar">
    <w:name w:val="ftref Char"/>
    <w:aliases w:val="4_G Char,-E Fußnotenzeichen Char,16 Point Char,Superscript 6 Point Char,Carattere Char1 Char,Carattere Char Char Carattere Carattere Char Char Char,fr Char,(NECG) Footnote Reference"/>
    <w:basedOn w:val="Normal0"/>
    <w:link w:val="Refdenotaalpie"/>
    <w:uiPriority w:val="99"/>
    <w:rsid w:val="00677B57"/>
    <w:pPr>
      <w:widowControl/>
      <w:spacing w:line="240" w:lineRule="exact"/>
    </w:pPr>
    <w:rPr>
      <w:rFonts w:asciiTheme="minorHAnsi" w:eastAsiaTheme="minorHAnsi" w:hAnsiTheme="minorHAnsi" w:cstheme="minorBidi"/>
      <w:vertAlign w:val="superscript"/>
    </w:rPr>
  </w:style>
  <w:style w:type="character" w:customStyle="1" w:styleId="TextoindependienteCar">
    <w:name w:val="Texto independiente Car"/>
    <w:basedOn w:val="Fuentedeprrafopredeter"/>
    <w:link w:val="Textoindependiente"/>
    <w:locked/>
    <w:rsid w:val="00652B62"/>
    <w:rPr>
      <w:rFonts w:ascii="Arial" w:eastAsia="Arial" w:hAnsi="Arial" w:cs="Arial"/>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Pr>
  </w:style>
  <w:style w:type="table" w:customStyle="1" w:styleId="a0">
    <w:basedOn w:val="Tablanormal"/>
    <w:tblPr>
      <w:tblStyleRowBandSize w:val="1"/>
      <w:tblStyleColBandSize w:val="1"/>
    </w:tblPr>
  </w:style>
  <w:style w:type="table" w:customStyle="1" w:styleId="a1">
    <w:basedOn w:val="Tablanormal"/>
    <w:tblPr>
      <w:tblStyleRowBandSize w:val="1"/>
      <w:tblStyleColBandSize w:val="1"/>
    </w:tblPr>
  </w:style>
  <w:style w:type="table" w:customStyle="1" w:styleId="a2">
    <w:basedOn w:val="Tablanormal"/>
    <w:tblPr>
      <w:tblStyleRowBandSize w:val="1"/>
      <w:tblStyleColBandSize w:val="1"/>
    </w:tblPr>
  </w:style>
  <w:style w:type="table" w:customStyle="1" w:styleId="a3">
    <w:basedOn w:val="Tablanormal"/>
    <w:tblPr>
      <w:tblStyleRowBandSize w:val="1"/>
      <w:tblStyleColBandSize w:val="1"/>
    </w:tblPr>
  </w:style>
  <w:style w:type="table" w:customStyle="1" w:styleId="a4">
    <w:basedOn w:val="Tablanormal"/>
    <w:tblPr>
      <w:tblStyleRowBandSize w:val="1"/>
      <w:tblStyleColBandSize w:val="1"/>
    </w:tblPr>
  </w:style>
  <w:style w:type="table" w:customStyle="1" w:styleId="a5">
    <w:basedOn w:val="Tablanormal"/>
    <w:tblPr>
      <w:tblStyleRowBandSize w:val="1"/>
      <w:tblStyleColBandSize w:val="1"/>
    </w:tblPr>
  </w:style>
  <w:style w:type="table" w:customStyle="1" w:styleId="a6">
    <w:basedOn w:val="Tablanormal"/>
    <w:tblPr>
      <w:tblStyleRowBandSize w:val="1"/>
      <w:tblStyleColBandSize w:val="1"/>
    </w:tblPr>
  </w:style>
  <w:style w:type="paragraph" w:styleId="Revisin">
    <w:name w:val="Revision"/>
    <w:hidden/>
    <w:uiPriority w:val="99"/>
    <w:semiHidden/>
    <w:rsid w:val="00245F84"/>
    <w:pPr>
      <w:widowControl/>
    </w:pPr>
  </w:style>
  <w:style w:type="table" w:customStyle="1" w:styleId="a7">
    <w:basedOn w:val="Tablanormal"/>
    <w:tblPr>
      <w:tblStyleRowBandSize w:val="1"/>
      <w:tblStyleColBandSize w:val="1"/>
      <w:tblCellMar>
        <w:left w:w="115" w:type="dxa"/>
        <w:right w:w="115" w:type="dxa"/>
      </w:tblCellMar>
    </w:tblPr>
  </w:style>
  <w:style w:type="table" w:customStyle="1" w:styleId="a8">
    <w:basedOn w:val="Tablanormal"/>
    <w:tblPr>
      <w:tblStyleRowBandSize w:val="1"/>
      <w:tblStyleColBandSize w:val="1"/>
      <w:tblCellMar>
        <w:left w:w="115" w:type="dxa"/>
        <w:right w:w="115" w:type="dxa"/>
      </w:tblCellMar>
    </w:tblPr>
  </w:style>
  <w:style w:type="table" w:customStyle="1" w:styleId="a9">
    <w:basedOn w:val="Tablanormal"/>
    <w:tblPr>
      <w:tblStyleRowBandSize w:val="1"/>
      <w:tblStyleColBandSize w:val="1"/>
      <w:tblCellMar>
        <w:left w:w="115" w:type="dxa"/>
        <w:right w:w="115" w:type="dxa"/>
      </w:tblCellMar>
    </w:tblPr>
  </w:style>
  <w:style w:type="table" w:customStyle="1" w:styleId="aa">
    <w:basedOn w:val="Tablanormal"/>
    <w:tblPr>
      <w:tblStyleRowBandSize w:val="1"/>
      <w:tblStyleColBandSize w:val="1"/>
      <w:tblCellMar>
        <w:left w:w="115" w:type="dxa"/>
        <w:right w:w="115" w:type="dxa"/>
      </w:tblCellMar>
    </w:tblPr>
  </w:style>
  <w:style w:type="table" w:customStyle="1" w:styleId="ab">
    <w:basedOn w:val="Tablanormal"/>
    <w:tblPr>
      <w:tblStyleRowBandSize w:val="1"/>
      <w:tblStyleColBandSize w:val="1"/>
      <w:tblCellMar>
        <w:left w:w="115" w:type="dxa"/>
        <w:right w:w="115" w:type="dxa"/>
      </w:tblCellMar>
    </w:tblPr>
  </w:style>
  <w:style w:type="table" w:customStyle="1" w:styleId="ac">
    <w:basedOn w:val="Tablanormal"/>
    <w:tblPr>
      <w:tblStyleRowBandSize w:val="1"/>
      <w:tblStyleColBandSize w:val="1"/>
      <w:tblCellMar>
        <w:left w:w="115" w:type="dxa"/>
        <w:right w:w="115" w:type="dxa"/>
      </w:tblCellMar>
    </w:tblPr>
  </w:style>
  <w:style w:type="table" w:customStyle="1" w:styleId="ad">
    <w:basedOn w:val="Tablanormal"/>
    <w:tblPr>
      <w:tblStyleRowBandSize w:val="1"/>
      <w:tblStyleColBandSize w:val="1"/>
      <w:tblCellMar>
        <w:left w:w="115" w:type="dxa"/>
        <w:right w:w="115" w:type="dxa"/>
      </w:tblCellMar>
    </w:tblPr>
  </w:style>
  <w:style w:type="table" w:customStyle="1" w:styleId="ae">
    <w:basedOn w:val="Tablanormal"/>
    <w:tblPr>
      <w:tblStyleRowBandSize w:val="1"/>
      <w:tblStyleColBandSize w:val="1"/>
      <w:tblCellMar>
        <w:left w:w="115" w:type="dxa"/>
        <w:right w:w="115" w:type="dxa"/>
      </w:tblCellMar>
    </w:tblPr>
  </w:style>
  <w:style w:type="table" w:customStyle="1" w:styleId="af">
    <w:basedOn w:val="Tablanormal"/>
    <w:tblPr>
      <w:tblStyleRowBandSize w:val="1"/>
      <w:tblStyleColBandSize w:val="1"/>
      <w:tblCellMar>
        <w:left w:w="115" w:type="dxa"/>
        <w:right w:w="115" w:type="dxa"/>
      </w:tblCellMar>
    </w:tblPr>
  </w:style>
  <w:style w:type="table" w:customStyle="1" w:styleId="af0">
    <w:basedOn w:val="Tablanormal"/>
    <w:tblPr>
      <w:tblStyleRowBandSize w:val="1"/>
      <w:tblStyleColBandSize w:val="1"/>
      <w:tblCellMar>
        <w:left w:w="115" w:type="dxa"/>
        <w:right w:w="115" w:type="dxa"/>
      </w:tblCellMar>
    </w:tblPr>
  </w:style>
  <w:style w:type="table" w:customStyle="1" w:styleId="af1">
    <w:basedOn w:val="Tablanormal"/>
    <w:tblPr>
      <w:tblStyleRowBandSize w:val="1"/>
      <w:tblStyleColBandSize w:val="1"/>
      <w:tblCellMar>
        <w:left w:w="115" w:type="dxa"/>
        <w:right w:w="115" w:type="dxa"/>
      </w:tblCellMar>
    </w:tblPr>
  </w:style>
  <w:style w:type="table" w:customStyle="1" w:styleId="af2">
    <w:basedOn w:val="Tablanormal"/>
    <w:tblPr>
      <w:tblStyleRowBandSize w:val="1"/>
      <w:tblStyleColBandSize w:val="1"/>
      <w:tblCellMar>
        <w:left w:w="115" w:type="dxa"/>
        <w:right w:w="115" w:type="dxa"/>
      </w:tblCellMar>
    </w:tblPr>
  </w:style>
  <w:style w:type="table" w:customStyle="1" w:styleId="af3">
    <w:basedOn w:val="Tablanormal"/>
    <w:tblPr>
      <w:tblStyleRowBandSize w:val="1"/>
      <w:tblStyleColBandSize w:val="1"/>
      <w:tblCellMar>
        <w:left w:w="115" w:type="dxa"/>
        <w:right w:w="115" w:type="dxa"/>
      </w:tblCellMar>
    </w:tblPr>
  </w:style>
  <w:style w:type="table" w:customStyle="1" w:styleId="af4">
    <w:basedOn w:val="Tablanormal"/>
    <w:tblPr>
      <w:tblStyleRowBandSize w:val="1"/>
      <w:tblStyleColBandSize w:val="1"/>
      <w:tblCellMar>
        <w:left w:w="115" w:type="dxa"/>
        <w:right w:w="115" w:type="dxa"/>
      </w:tblCellMar>
    </w:tblPr>
  </w:style>
  <w:style w:type="table" w:customStyle="1" w:styleId="af5">
    <w:basedOn w:val="Tablanormal"/>
    <w:tblPr>
      <w:tblStyleRowBandSize w:val="1"/>
      <w:tblStyleColBandSize w:val="1"/>
      <w:tblCellMar>
        <w:left w:w="115" w:type="dxa"/>
        <w:right w:w="115" w:type="dxa"/>
      </w:tblCellMar>
    </w:tblPr>
  </w:style>
  <w:style w:type="table" w:customStyle="1" w:styleId="af6">
    <w:basedOn w:val="Tablanormal"/>
    <w:tblPr>
      <w:tblStyleRowBandSize w:val="1"/>
      <w:tblStyleColBandSize w:val="1"/>
      <w:tblCellMar>
        <w:left w:w="115" w:type="dxa"/>
        <w:right w:w="115" w:type="dxa"/>
      </w:tblCellMar>
    </w:tblPr>
  </w:style>
  <w:style w:type="table" w:customStyle="1" w:styleId="af7">
    <w:basedOn w:val="Tablanormal"/>
    <w:tblPr>
      <w:tblStyleRowBandSize w:val="1"/>
      <w:tblStyleColBandSize w:val="1"/>
      <w:tblCellMar>
        <w:left w:w="115" w:type="dxa"/>
        <w:right w:w="115" w:type="dxa"/>
      </w:tblCellMar>
    </w:tblPr>
  </w:style>
  <w:style w:type="table" w:customStyle="1" w:styleId="af8">
    <w:basedOn w:val="Tablanormal"/>
    <w:tblPr>
      <w:tblStyleRowBandSize w:val="1"/>
      <w:tblStyleColBandSize w:val="1"/>
      <w:tblCellMar>
        <w:left w:w="115" w:type="dxa"/>
        <w:right w:w="115" w:type="dxa"/>
      </w:tblCellMar>
    </w:tblPr>
  </w:style>
  <w:style w:type="table" w:customStyle="1" w:styleId="af9">
    <w:basedOn w:val="Tablanormal"/>
    <w:tblPr>
      <w:tblStyleRowBandSize w:val="1"/>
      <w:tblStyleColBandSize w:val="1"/>
      <w:tblCellMar>
        <w:left w:w="115" w:type="dxa"/>
        <w:right w:w="115" w:type="dxa"/>
      </w:tblCellMar>
    </w:tblPr>
  </w:style>
  <w:style w:type="table" w:customStyle="1" w:styleId="afa">
    <w:basedOn w:val="Tablanormal"/>
    <w:tblPr>
      <w:tblStyleRowBandSize w:val="1"/>
      <w:tblStyleColBandSize w:val="1"/>
      <w:tblCellMar>
        <w:left w:w="115" w:type="dxa"/>
        <w:right w:w="115" w:type="dxa"/>
      </w:tblCellMar>
    </w:tblPr>
  </w:style>
  <w:style w:type="table" w:customStyle="1" w:styleId="afb">
    <w:basedOn w:val="Tablanormal"/>
    <w:tblPr>
      <w:tblStyleRowBandSize w:val="1"/>
      <w:tblStyleColBandSize w:val="1"/>
      <w:tblCellMar>
        <w:left w:w="115" w:type="dxa"/>
        <w:right w:w="115" w:type="dxa"/>
      </w:tblCellMar>
    </w:tblPr>
  </w:style>
  <w:style w:type="table" w:customStyle="1" w:styleId="afc">
    <w:basedOn w:val="Tablanormal"/>
    <w:tblPr>
      <w:tblStyleRowBandSize w:val="1"/>
      <w:tblStyleColBandSize w:val="1"/>
      <w:tblCellMar>
        <w:left w:w="115" w:type="dxa"/>
        <w:right w:w="115" w:type="dxa"/>
      </w:tblCellMar>
    </w:tblPr>
  </w:style>
  <w:style w:type="table" w:customStyle="1" w:styleId="afd">
    <w:basedOn w:val="Tablanormal"/>
    <w:tblPr>
      <w:tblStyleRowBandSize w:val="1"/>
      <w:tblStyleColBandSize w:val="1"/>
      <w:tblCellMar>
        <w:left w:w="115" w:type="dxa"/>
        <w:right w:w="115" w:type="dxa"/>
      </w:tblCellMar>
    </w:tblPr>
  </w:style>
  <w:style w:type="table" w:customStyle="1" w:styleId="afe">
    <w:basedOn w:val="Tablanormal"/>
    <w:tblPr>
      <w:tblStyleRowBandSize w:val="1"/>
      <w:tblStyleColBandSize w:val="1"/>
      <w:tblCellMar>
        <w:left w:w="115" w:type="dxa"/>
        <w:right w:w="115" w:type="dxa"/>
      </w:tblCellMar>
    </w:tblPr>
  </w:style>
  <w:style w:type="table" w:customStyle="1" w:styleId="aff">
    <w:basedOn w:val="Tablanormal"/>
    <w:tblPr>
      <w:tblStyleRowBandSize w:val="1"/>
      <w:tblStyleColBandSize w:val="1"/>
      <w:tblCellMar>
        <w:left w:w="115" w:type="dxa"/>
        <w:right w:w="115" w:type="dxa"/>
      </w:tblCellMar>
    </w:tblPr>
  </w:style>
  <w:style w:type="table" w:customStyle="1" w:styleId="aff0">
    <w:basedOn w:val="Tablanormal"/>
    <w:tblPr>
      <w:tblStyleRowBandSize w:val="1"/>
      <w:tblStyleColBandSize w:val="1"/>
      <w:tblCellMar>
        <w:left w:w="115" w:type="dxa"/>
        <w:right w:w="115" w:type="dxa"/>
      </w:tblCellMar>
    </w:tblPr>
  </w:style>
  <w:style w:type="table" w:customStyle="1" w:styleId="aff1">
    <w:basedOn w:val="Tablanormal"/>
    <w:tblPr>
      <w:tblStyleRowBandSize w:val="1"/>
      <w:tblStyleColBandSize w:val="1"/>
      <w:tblCellMar>
        <w:left w:w="115" w:type="dxa"/>
        <w:right w:w="115" w:type="dxa"/>
      </w:tblCellMar>
    </w:tblPr>
  </w:style>
  <w:style w:type="table" w:customStyle="1" w:styleId="aff2">
    <w:basedOn w:val="Tablanormal"/>
    <w:tblPr>
      <w:tblStyleRowBandSize w:val="1"/>
      <w:tblStyleColBandSize w:val="1"/>
      <w:tblCellMar>
        <w:left w:w="115" w:type="dxa"/>
        <w:right w:w="115" w:type="dxa"/>
      </w:tblCellMar>
    </w:tblPr>
  </w:style>
  <w:style w:type="table" w:customStyle="1" w:styleId="aff3">
    <w:basedOn w:val="Tablanormal"/>
    <w:tblPr>
      <w:tblStyleRowBandSize w:val="1"/>
      <w:tblStyleColBandSize w:val="1"/>
      <w:tblCellMar>
        <w:left w:w="115" w:type="dxa"/>
        <w:right w:w="115" w:type="dxa"/>
      </w:tblCellMar>
    </w:tblPr>
  </w:style>
  <w:style w:type="table" w:customStyle="1" w:styleId="aff4">
    <w:basedOn w:val="Tablanormal"/>
    <w:tblPr>
      <w:tblStyleRowBandSize w:val="1"/>
      <w:tblStyleColBandSize w:val="1"/>
      <w:tblCellMar>
        <w:left w:w="115" w:type="dxa"/>
        <w:right w:w="115" w:type="dxa"/>
      </w:tblCellMar>
    </w:tblPr>
  </w:style>
  <w:style w:type="table" w:customStyle="1" w:styleId="aff5">
    <w:basedOn w:val="Tablanormal"/>
    <w:tblPr>
      <w:tblStyleRowBandSize w:val="1"/>
      <w:tblStyleColBandSize w:val="1"/>
      <w:tblCellMar>
        <w:left w:w="115" w:type="dxa"/>
        <w:right w:w="115" w:type="dxa"/>
      </w:tblCellMar>
    </w:tblPr>
  </w:style>
  <w:style w:type="table" w:customStyle="1" w:styleId="aff6">
    <w:basedOn w:val="Tablanormal"/>
    <w:tblPr>
      <w:tblStyleRowBandSize w:val="1"/>
      <w:tblStyleColBandSize w:val="1"/>
      <w:tblCellMar>
        <w:left w:w="115" w:type="dxa"/>
        <w:right w:w="115" w:type="dxa"/>
      </w:tblCellMar>
    </w:tblPr>
  </w:style>
  <w:style w:type="character" w:styleId="Mencionar">
    <w:name w:val="Mention"/>
    <w:basedOn w:val="Fuentedeprrafopredeter"/>
    <w:uiPriority w:val="99"/>
    <w:unhideWhenUsed/>
    <w:rsid w:val="002E7E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368406">
      <w:bodyDiv w:val="1"/>
      <w:marLeft w:val="0"/>
      <w:marRight w:val="0"/>
      <w:marTop w:val="0"/>
      <w:marBottom w:val="0"/>
      <w:divBdr>
        <w:top w:val="none" w:sz="0" w:space="0" w:color="auto"/>
        <w:left w:val="none" w:sz="0" w:space="0" w:color="auto"/>
        <w:bottom w:val="none" w:sz="0" w:space="0" w:color="auto"/>
        <w:right w:val="none" w:sz="0" w:space="0" w:color="auto"/>
      </w:divBdr>
      <w:divsChild>
        <w:div w:id="1014377908">
          <w:marLeft w:val="0"/>
          <w:marRight w:val="0"/>
          <w:marTop w:val="0"/>
          <w:marBottom w:val="0"/>
          <w:divBdr>
            <w:top w:val="none" w:sz="0" w:space="0" w:color="auto"/>
            <w:left w:val="none" w:sz="0" w:space="0" w:color="auto"/>
            <w:bottom w:val="none" w:sz="0" w:space="0" w:color="auto"/>
            <w:right w:val="none" w:sz="0" w:space="0" w:color="auto"/>
          </w:divBdr>
          <w:divsChild>
            <w:div w:id="806970216">
              <w:marLeft w:val="0"/>
              <w:marRight w:val="0"/>
              <w:marTop w:val="0"/>
              <w:marBottom w:val="0"/>
              <w:divBdr>
                <w:top w:val="none" w:sz="0" w:space="0" w:color="auto"/>
                <w:left w:val="none" w:sz="0" w:space="0" w:color="auto"/>
                <w:bottom w:val="none" w:sz="0" w:space="0" w:color="auto"/>
                <w:right w:val="none" w:sz="0" w:space="0" w:color="auto"/>
              </w:divBdr>
            </w:div>
          </w:divsChild>
        </w:div>
        <w:div w:id="283466951">
          <w:marLeft w:val="0"/>
          <w:marRight w:val="0"/>
          <w:marTop w:val="0"/>
          <w:marBottom w:val="0"/>
          <w:divBdr>
            <w:top w:val="none" w:sz="0" w:space="0" w:color="auto"/>
            <w:left w:val="none" w:sz="0" w:space="0" w:color="auto"/>
            <w:bottom w:val="none" w:sz="0" w:space="0" w:color="auto"/>
            <w:right w:val="none" w:sz="0" w:space="0" w:color="auto"/>
          </w:divBdr>
          <w:divsChild>
            <w:div w:id="171476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RQu9VM69l4gwszzP/jdWKndS1A==">CgMxLjAaJwoBMBIiCiAIBCocCgtBQUFCT2p4OHRSURAIGgtBQUFCT2p4OHRSURonCgExEiIKIAgEKhwKC0FBQUJPang4dFJREAgaC0FBQUJPang4dFJVGicKATISIgogCAQqHAoLQUFBQk9qeDh0UlEQCBoLQUFBQk9EMjFXUTQaJwoBMxIiCiAIBCocCgtBQUFCT2p4OHRSZxAIGgtBQUFCT2p4OHRSZxonCgE0EiIKIAgEKhwKC0FBQUJPang4dFJnEAgaC0FBQUJQUkJjQlNJGicKATUSIgogCAQqHAoLQUFBQk9qeDh0UmcQCBoLQUFBQlB6b01HTkEaJwoBNhIiCiAIBCocCgtBQUFCT2p4OHRSMBAIGgtBQUFCT2p4OHRSMBonCgE3EiIKIAgEKhwKC0FBQUJPang4dFIwEAgaC0FBQUJPang4dFI0GicKATgSIgogCAQqHAoLQUFBQk9qeDh0UjAQCBoLQUFBQlBSQmNCU2caJwoBORIiCiAIBCocCgtBQUFCT2p4OHRSMBAIGgtBQUFCUHpvTUdNNBooCgIxMBIiCiAIBCocCgtBQUFCT2p4OHRSMBAIGgtBQUFCUHlHSXVhTRooCgIxMRIiCiAIBCocCgtBQUFCT2p4OHRWbxAIGgtBQUFCT2p4OHRWbxooCgIxMhIiCiAIBCocCgtBQUFCT2p4OHRWbxAIGgtBQUFCT2p4OHRWcxooCgIxMxIiCiAIBCocCgtBQUFCT2p4OHRWbxAIGgtBQUFCUFJCY0JUVRooCgIxNBIiCiAIBCocCgtBQUFCT2p4OHRWdxAIGgtBQUFCT2p4OHRWdxooCgIxNRIiCiAIBCocCgtBQUFCT2p4OHRWdxAIGgtBQUFCT2p4OHRWMBooCgIxNhIiCiAIBCocCgtBQUFCT2p4OHRWdxAIGgtBQUFCUFJCY0JUaxooCgIxNxIiCiAIBCocCgtBQUFCT2p4OHRWdxAIGgtBQUFCUHpvTUdPZyLTFQoLQUFBQk9qeDh0UmcSqBUKC0FBQUJPang4dFJnEgtBQUFCT2p4OHRSZxrtBAoJdGV4dC9odG1sEt8EQWzDqW0gZGFzIGVudHJldmlzdGFzIGZlaXRhcyBwZWxhIFRlcnJhbm9taWNzLCBvIHByb2pldG8gdGV2ZSB1bSBlbmdhamFtZW50byBtdWl0byBpbXBvcnRhbnRlIGRlIHbDoXJpb3MgYXRvcmVzIGR1cmFudGUgYSBmYXNlIGRlIGNvbnN0cnXDp8OjbyBwb3IgbWVpbyBkbyBDb21pdMOqIENvbnN1bHRpdm8gZG8gcHJvamV0bywgY3JpYWRvIGVtIG91dHVicm8gZGUgMjAyMyBlIHF1ZSBmb2kgbyBlc3Bhw6dvIGRlIGRpc2N1c3PDo28gZG8gcHJvamV0byBhdMOpIG1haW8gZGUgMjAyMy4gRm9yYW0gZmVpdGFzIHbDoXJpYXMgcmV1bmnDtWVzIGUgdW1hIG9maWNpbmEgcHJlc2VuY2lhbCBlbSBtYXLDp28gZGUgMjAyMyBwYXJhIGEgZWxhYm9yYcOnw6NvIGRvIHByb2pldG8uIDxicj7DiSBiZW0gaW1wb3J0YW50ZSBxdWUgaXNzbyBzZWphIHJlZmxldGlkbyBhcXVpIG5vIGRvY3VtZW50bywgZXhwbGljaXRhbmRvIG8gbsO6bWVybyBkZSByZXVuacO1ZXMgZSBvZmljaW5hcyByZWFsaXphZGFzLCBhcyBpbnN0aXR1acOnw7VlcyBlbnZvbHZpZGFzIGUgb3MgcHJpbmNpcGFpcyBvdXRjb21lcy4gQ0ktQnJhc2lsLCBwb3IgZ2VudGlsZXphIGZhemVyIGVzc2EgaW5jbHVzw6NvLiLrBAoKdGV4dC9wbGFpbhLcBEFsw6ltIGRhcyBlbnRyZXZpc3RhcyBmZWl0YXMgcGVsYSBUZXJyYW5vbWljcywgbyBwcm9qZXRvIHRldmUgdW0gZW5nYWphbWVudG8gbXVpdG8gaW1wb3J0YW50ZSBkZSB2w6FyaW9zIGF0b3JlcyBkdXJhbnRlIGEgZmFzZSBkZSBjb25zdHJ1w6fDo28gcG9yIG1laW8gZG8gQ29taXTDqiBDb25zdWx0aXZvIGRvIHByb2pldG8sIGNyaWFkbyBlbSBvdXR1YnJvIGRlIDIwMjMgZSBxdWUgZm9pIG8gZXNwYcOnbyBkZSBkaXNjdXNzw6NvIGRvIHByb2pldG8gYXTDqSBtYWlvIGRlIDIwMjMuIEZvcmFtIGZlaXRhcyB2w6FyaWFzIHJldW5pw7VlcyBlIHVtYSBvZmljaW5hIHByZXNlbmNpYWwgZW0gbWFyw6dvIGRlIDIwMjMgcGFyYSBhIGVsYWJvcmHDp8OjbyBkbyBwcm9qZXRvLiAKw4kgYmVtIGltcG9ydGFudGUgcXVlIGlzc28gc2VqYSByZWZsZXRpZG8gYXF1aSBubyBkb2N1bWVudG8sIGV4cGxpY2l0YW5kbyBvIG7Dum1lcm8gZGUgcmV1bmnDtWVzIGUgb2ZpY2luYXMgcmVhbGl6YWRhcywgYXMgaW5zdGl0dWnDp8O1ZXMgZW52b2x2aWRhcyBlIG9zIHByaW5jaXBhaXMgb3V0Y29tZXMuIENJLUJyYXNpbCwgcG9yIGdlbnRpbGV6YSBmYXplciBlc3NhIGluY2x1c8Ojby4qUQoYT3RhdmlvIEdhZGlhbmkgRmVycmFyaW5pGjUvL3NzbC5nc3RhdGljLmNvbS9kb2NzL2NvbW1vbi9ibHVlX3NpbGhvdWV0dGU5Ni0wLnBuZzCA6aKz+DE485uO7YAyQo0CCgtBQUFCUFJCY0JTSRILQUFBQk9qeDh0UmcaNwoJdGV4dC9odG1sEipDSUIgYWRkZWQgdGhlIGFkdmlzb3J5IGNvbW1pdHRlZSBtZWV0aW5ncy4iOAoKdGV4dC9wbGFpbhIqQ0lCIGFkZGVkIHRoZSBhZHZpc29yeSBjb21taXR0ZWUgbWVldGluZ3MuKhsiFTEwNTY0ODY1NTAxMzU0NjA1Nzg5NigAOAAwxqfkmP8xOMan5Jj/MVoMdHVwcW8wZmJxcXVjcgIgAHgAiAECmgEGCAAQABgAqgEsEipDSUIgYWRkZWQgdGhlIGFkdmlzb3J5IGNvbW1pdHRlZSBtZWV0aW5ncy6wAQC4AQFC7QIKC0FBQUJQem9NR05BEgtBQUFCT2p4OHRSZxpXCgl0ZXh0L2h0bWwSSk11aXRvIGJlbSBsZW1icmFkbyBlIGRlc3RhY2FkbywgT3TDoXZpby4gT2JyaWdhZG8gcG9yIGxlbWJyYXIuIEluY2x1aSEgT0shIlgKCnRleHQvcGxhaW4SSk11aXRvIGJlbSBsZW1icmFkbyBlIGRlc3RhY2FkbywgT3TDoXZpby4gT2JyaWdhZG8gcG9yIGxlbWJyYXIuIEluY2x1aSEgT0shKhsiFTExNjM5MjY1Mjg0MDU3NzU3NDk5MCgAOAAw85uO7YAyOPObju2AMloMYjNnbG50ZDNjNjRscgIgAHgAiAECmgEGCAAQABgAqgFMEkpNdWl0byBiZW0gbGVtYnJhZG8gZSBkZXN0YWNhZG8sIE90w6F2aW8uIE9icmlnYWRvIHBvciBsZW1icmFyLiBJbmNsdWkhIE9LIbABALgBAXJTChhPdGF2aW8gR2FkaWFuaSBGZXJyYXJpbmkaNwo1Ly9zc2wuZ3N0YXRpYy5jb20vZG9jcy9jb21tb24vYmx1ZV9zaWxob3VldHRlOTYtMC5wbmd4AIgBAZoBBggAEAAYAKoB4gQS3wRBbMOpbSBkYXMgZW50cmV2aXN0YXMgZmVpdGFzIHBlbGEgVGVycmFub21pY3MsIG8gcHJvamV0byB0ZXZlIHVtIGVuZ2FqYW1lbnRvIG11aXRvIGltcG9ydGFudGUgZGUgdsOhcmlvcyBhdG9yZXMgZHVyYW50ZSBhIGZhc2UgZGUgY29uc3RydcOnw6NvIHBvciBtZWlvIGRvIENvbWl0w6ogQ29uc3VsdGl2byBkbyBwcm9qZXRvLCBjcmlhZG8gZW0gb3V0dWJybyBkZSAyMDIzIGUgcXVlIGZvaSBvIGVzcGHDp28gZGUgZGlzY3Vzc8OjbyBkbyBwcm9qZXRvIGF0w6kgbWFpbyBkZSAyMDIzLiBGb3JhbSBmZWl0YXMgdsOhcmlhcyByZXVuacO1ZXMgZSB1bWEgb2ZpY2luYSBwcmVzZW5jaWFsIGVtIG1hcsOnbyBkZSAyMDIzIHBhcmEgYSBlbGFib3Jhw6fDo28gZG8gcHJvamV0by4gPGJyPsOJIGJlbSBpbXBvcnRhbnRlIHF1ZSBpc3NvIHNlamEgcmVmbGV0aWRvIGFxdWkgbm8gZG9jdW1lbnRvLCBleHBsaWNpdGFuZG8gbyBuw7ptZXJvIGRlIHJldW5pw7VlcyBlIG9maWNpbmFzIHJlYWxpemFkYXMsIGFzIGluc3RpdHVpw6fDtWVzIGVudm9sdmlkYXMgZSBvcyBwcmluY2lwYWlzIG91dGNvbWVzLiBDSS1CcmFzaWwsIHBvciBnZW50aWxlemEgZmF6ZXIgZXNzYSBpbmNsdXPDo28usAEAuAEBGIDporP4MSDzm47tgDIwAEIJa2l4LmNtdDE2Ir4TCgtBQUFCT2p4OHRWdxKTEwoLQUFBQk9qeDh0VncSC0FBQUJPang4dFZ3GuIBCgl0ZXh0L2h0bWwS1AFTdWdpcm8gc2VwYXJhciBvIE1NQSBkb3Mgw7NyZ8Ojb3Mgc3VibmFjaW9uYWlzIGRlIG1laW8gYW1iaWVudGUuIDxicj5PIE1NQSBhdHVhIG5hIGNvb3JkZW5hw6fDo28gZG8gcHJvamV0byBlIGludGVncmEgbyBjb21pdMOqIGRpcmV0aXZvLiBPcyDDs3Jnw6NvcyBlc3RhZHVhaXMgc2Vyw6NvIGVuZ2FqYWRvcyBhIGRlcGVuZGVyIGRvIGFuZGFtZW50byBkbyBwcm9qZXRvLiLgAQoKdGV4dC9wbGFpbhLRAVN1Z2lybyBzZXBhcmFyIG8gTU1BIGRvcyDDs3Jnw6NvcyBzdWJuYWNpb25haXMgZGUgbWVpbyBhbWJpZW50ZS4gCk8gTU1BIGF0dWEgbmEgY29vcmRlbmHDp8OjbyBkbyBwcm9qZXRvIGUgaW50ZWdyYSBvIGNvbWl0w6ogZGlyZXRpdm8uIE9zIMOzcmfDo29zIGVzdGFkdWFpcyBzZXLDo28gZW5nYWphZG9zIGEgZGVwZW5kZXIgZG8gYW5kYW1lbnRvIGRvIHByb2pldG8uKlEKGE90YXZpbyBHYWRpYW5pIEZlcnJhcmluaRo1Ly9zc2wuZ3N0YXRpYy5jb20vZG9jcy9jb21tb24vYmx1ZV9zaWxob3VldHRlOTYtMC5wbmcwwLW5tfkxOKek6+2AMkL+AgoLQUFBQk9qeDh0VjASC0FBQUJPang4dFZ3GjUKCXRleHQvaHRtbBIoTyBNTUEgw6kgbyBDb29yZGVuYWRvciBHZXJhbCBkbyBQcm9qZXRvLiI2Cgp0ZXh0L3BsYWluEihPIE1NQSDDqSBvIENvb3JkZW5hZG9yIEdlcmFsIGRvIFByb2pldG8uKlAKF0lzaXMgRmVsaXBwZSBkZSBGcmVpdGFzGjUvL3NzbC5nc3RhdGljLmNvbS9kb2NzL2NvbW1vbi9ibHVlX3NpbGhvdWV0dGU5Ni0wLnBuZzDgurf++TE44Lq3/vkxclIKF0lzaXMgRmVsaXBwZSBkZSBGcmVpdGFzGjcKNS8vc3NsLmdzdGF0aWMuY29tL2RvY3MvY29tbW9uL2JsdWVfc2lsaG91ZXR0ZTk2LTAucG5neACIAQGaAQYIABAAGACqASoSKE8gTU1BIMOpIG8gQ29vcmRlbmFkb3IgR2VyYWwgZG8gUHJvamV0by6wAQC4AQFC4AYKC0FBQUJQUkJjQlRrEgtBQUFCT2p4OHRWdxr+AQoJdGV4dC9odG1sEvABSSBzdWdnZXN0IHdlIHJlbW92ZSBNTUEgZnJvbSB0aGlzIHRhYmxlIHNpbmNlIE1NQSB3aWxsIHBsYXkgYSByb2xlIGluIGltcGxlbWVudGF0aW9uLiBXZSBkaWQgbm90IGluY2x1ZGUgdGhlIG90aGVyIG9yZ2FuaXphdGlvbnMgaW52b2x2ZWQgaW4gaW1wbGVtZW50YXRpb24gKFdXRiBhbmQgVE5DKSBpbiB0aGlzIHRhYmxlIHNvIEkgZG9uJiMzOTt0IHRoaW5rIGl0IG1ha2VzIHNlbnNlIHRvIGluY2x1ZGUgTU1BIGhlcmUuIvsBCgp0ZXh0L3BsYWluEuwBSSBzdWdnZXN0IHdlIHJlbW92ZSBNTUEgZnJvbSB0aGlzIHRhYmxlIHNpbmNlIE1NQSB3aWxsIHBsYXkgYSByb2xlIGluIGltcGxlbWVudGF0aW9uLiBXZSBkaWQgbm90IGluY2x1ZGUgdGhlIG90aGVyIG9yZ2FuaXphdGlvbnMgaW52b2x2ZWQgaW4gaW1wbGVtZW50YXRpb24gKFdXRiBhbmQgVE5DKSBpbiB0aGlzIHRhYmxlIHNvIEkgZG9uJ3QgdGhpbmsgaXQgbWFrZXMgc2Vuc2UgdG8gaW5jbHVkZSBNTUEgaGVyZS4qGyIVMTA1NjQ4NjU1MDEzNTQ2MDU3ODk2KAA4ADCU15OZ/zE4lNeTmf8xWgt1dGR6ajRrcGx3Y3ICIAB4AIgBApoBBggAEAAYAKoB8wES8AFJIHN1Z2dlc3Qgd2UgcmVtb3ZlIE1NQSBmcm9tIHRoaXMgdGFibGUgc2luY2UgTU1BIHdpbGwgcGxheSBhIHJvbGUgaW4gaW1wbGVtZW50YXRpb24uIFdlIGRpZCBub3QgaW5jbHVkZSB0aGUgb3RoZXIgb3JnYW5pemF0aW9ucyBpbnZvbHZlZCBpbiBpbXBsZW1lbnRhdGlvbiAoV1dGIGFuZCBUTkMpIGluIHRoaXMgdGFibGUgc28gSSBkb24mIzM5O3QgdGhpbmsgaXQgbWFrZXMgc2Vuc2UgdG8gaW5jbHVkZSBNTUEgaGVyZS6wAQC4AQFCpQIKC0FBQUJQem9NR09nEgtBQUFCT2p4OHRWdxo/Cgl0ZXh0L2h0bWwSMkV4Y2VsZW50ZSBjb21lbnTDoXJpby4gUmV0aXJhZG8gbyBNTUEgZGVzc2EgbGluaGEuIkAKCnRleHQvcGxhaW4SMkV4Y2VsZW50ZSBjb21lbnTDoXJpby4gUmV0aXJhZG8gbyBNTUEgZGVzc2EgbGluaGEuKhsiFTExNjM5MjY1Mjg0MDU3NzU3NDk5MCgAOAAwp6Tr7YAyOKek6+2AMloMOHB5emFzbzlsZmljcgIgAHgAiAECmgEGCAAQABgAqgE0EjJFeGNlbGVudGUgY29tZW50w6FyaW8uIFJldGlyYWRvIG8gTU1BIGRlc3NhIGxpbmhhLrABALgBAXJTChhPdGF2aW8gR2FkaWFuaSBGZXJyYXJpbmkaNwo1Ly9zc2wuZ3N0YXRpYy5jb20vZG9jcy9jb21tb24vYmx1ZV9zaWxob3VldHRlOTYtMC5wbmd4AIgBAZoBBggAEAAYAKoB1wES1AFTdWdpcm8gc2VwYXJhciBvIE1NQSBkb3Mgw7NyZ8Ojb3Mgc3VibmFjaW9uYWlzIGRlIG1laW8gYW1iaWVudGUuIDxicj5PIE1NQSBhdHVhIG5hIGNvb3JkZW5hw6fDo28gZG8gcHJvamV0byBlIGludGVncmEgbyBjb21pdMOqIGRpcmV0aXZvLiBPcyDDs3Jnw6NvcyBlc3RhZHVhaXMgc2Vyw6NvIGVuZ2FqYWRvcyBhIGRlcGVuZGVyIGRvIGFuZGFtZW50byBkbyBwcm9qZXRvLrABALgBARjAtbm1+TEgp6Tr7YAyMABCCWtpeC5jbXQyOSLCDwoLQUFBQk9qeDh0Vm8Slw8KC0FBQUJPang4dFZvEgtBQUFCT2p4OHRWbxrXAQoJdGV4dC9odG1sEskBTsOjbyBhY2hvIHF1ZSBhIGRlZmluacOnw6NvIGRlIGFyZWFzIGF0cmFzb3UgbyBlbmdhamFtZW50byBkZSBzdGFrZWhvbGRlcnMgcG9pcyBpc3NvIGNvbWXDp291IGEgc2VyIGZlaXRvIGVtIG5vdmVtYnJvIHBvciBtZWlvIGRvIGNvbWl0ZSBjb25zdWx0aXZvLiBDb25jb3JkbyBxdWUgYWZldG91IG8gYWxjYW5jZSBkZSBjb211bmlkYWRlcyBsb2NhaXMuItgBCgp0ZXh0L3BsYWluEskBTsOjbyBhY2hvIHF1ZSBhIGRlZmluacOnw6NvIGRlIGFyZWFzIGF0cmFzb3UgbyBlbmdhamFtZW50byBkZSBzdGFrZWhvbGRlcnMgcG9pcyBpc3NvIGNvbWXDp291IGEgc2VyIGZlaXRvIGVtIG5vdmVtYnJvIHBvciBtZWlvIGRvIGNvbWl0ZSBjb25zdWx0aXZvLiBDb25jb3JkbyBxdWUgYWZldG91IG8gYWxjYW5jZSBkZSBjb211bmlkYWRlcyBsb2NhaXMuKlEKGE90YXZpbyBHYWRpYW5pIEZlcnJhcmluaRo1Ly9zc2wuZ3N0YXRpYy5jb20vZG9jcy9jb21tb24vYmx1ZV9zaWxob3VldHRlOTYtMC5wbmcw4LbSs/gxOK2Th5n/MUL/BAoLQUFBQk9qeDh0VnMSC0FBQUJPang4dFZvGpEBCgl0ZXh0L2h0bWwSgwFUZXJyYW5vbWljcywgcGxlYXNlIGNsYXJpZnkgdGhhdCB0aGlzIHdhcyBhIGNoYWxsZW5nZSBzcGVjaWFsbHkgZm9yIGVuZ2FnZW1lbnQgd2l0aCBsb2NhbCBzdGFrZWhvbGRlcnMsIGluY2x1ZGluZyBsb2NhbCBjb21tdW5pdGllcyKSAQoKdGV4dC9wbGFpbhKDAVRlcnJhbm9taWNzLCBwbGVhc2UgY2xhcmlmeSB0aGF0IHRoaXMgd2FzIGEgY2hhbGxlbmdlIHNwZWNpYWxseSBmb3IgZW5nYWdlbWVudCB3aXRoIGxvY2FsIHN0YWtlaG9sZGVycywgaW5jbHVkaW5nIGxvY2FsIGNvbW11bml0aWVzKkUKDEp1bGlhbmEgUmlvcxo1Ly9zc2wuZ3N0YXRpYy5jb20vZG9jcy9jb21tb24vYmx1ZV9zaWxob3VldHRlOTYtMC5wbmcwwNGyyvsxOMDRssr7MXJHCgxKdWxpYW5hIFJpb3MaNwo1Ly9zc2wuZ3N0YXRpYy5jb20vZG9jcy9jb21tb24vYmx1ZV9zaWxob3VldHRlOTYtMC5wbmd4AIgBAZoBBggAEAAYAKoBhgESgwFUZXJyYW5vbWljcywgcGxlYXNlIGNsYXJpZnkgdGhhdCB0aGlzIHdhcyBhIGNoYWxsZW5nZSBzcGVjaWFsbHkgZm9yIGVuZ2FnZW1lbnQgd2l0aCBsb2NhbCBzdGFrZWhvbGRlcnMsIGluY2x1ZGluZyBsb2NhbCBjb21tdW5pdGllc7ABALgBAUKpAwoLQUFBQlBSQmNCVFUSC0FBQUJPang4dFZvGmsKCXRleHQvaHRtbBJeSSBlZGl0ZWQgdGhpcyBzZW50ZW5jZSB0byBjbGFyaWZ5IHRoYXQgaXQgd2FzIGxvY2FsIGVuZ2FnZW1lbnQgdGhhdCB3YXMgYWZmZWN0ZWQgYnkgdGhlIGRlbGF5LiJsCgp0ZXh0L3BsYWluEl5JIGVkaXRlZCB0aGlzIHNlbnRlbmNlIHRvIGNsYXJpZnkgdGhhdCBpdCB3YXMgbG9jYWwgZW5nYWdlbWVudCB0aGF0IHdhcyBhZmZlY3RlZCBieSB0aGUgZGVsYXkuKhsiFTEwNTY0ODY1NTAxMzU0NjA1Nzg5NigAOAAwrZOHmf8xOK2Th5n/MVoMaTl0bHl5djk1YnVscgIgAHgAiAECmgEGCAAQABgAqgFgEl5JIGVkaXRlZCB0aGlzIHNlbnRlbmNlIHRvIGNsYXJpZnkgdGhhdCBpdCB3YXMgbG9jYWwgZW5nYWdlbWVudCB0aGF0IHdhcyBhZmZlY3RlZCBieSB0aGUgZGVsYXkusAEAuAEBclMKGE90YXZpbyBHYWRpYW5pIEZlcnJhcmluaRo3CjUvL3NzbC5nc3RhdGljLmNvbS9kb2NzL2NvbW1vbi9ibHVlX3NpbGhvdWV0dGU5Ni0wLnBuZ3gAiAEBmgEGCAAQABgAqgHMARLJAU7Do28gYWNobyBxdWUgYSBkZWZpbmnDp8OjbyBkZSBhcmVhcyBhdHJhc291IG8gZW5nYWphbWVudG8gZGUgc3Rha2Vob2xkZXJzIHBvaXMgaXNzbyBjb21lw6dvdSBhIHNlciBmZWl0byBlbSBub3ZlbWJybyBwb3IgbWVpbyBkbyBjb21pdGUgY29uc3VsdGl2by4gQ29uY29yZG8gcXVlIGFmZXRvdSBvIGFsY2FuY2UgZGUgY29tdW5pZGFkZXMgbG9jYWlzLrABALgBARjgttKz+DEgrZOHmf8xMABCCWtpeC5jbXQyNCKEFwoLQUFBQk9qeDh0UlES2hYKC0FBQUJPang4dFJREgtBQUFCT2p4OHRSURrmAQoJdGV4dC9odG1sEtgBVGhlcmUgYXJlIG5vIGxvY2FsIGNvbW11bml0aWVzIHRvIGlkZW50aWZ5IGF0IHRoaXMgdGltZSBhcyB0aGUgcHJvamVjdCB3aWxsIHdvcmsgYWNyb3NzIGFsbCBzaXggYmlvbWVzIG9mIEJyYXppbC4gU2l0ZXMgZm9yIGRpcmVjdCByZXN0b3JhdGlvbiBhY3Rpdml0aWVzIHdpbGwgbm90IGJlIGRldGVybWluZWQgdW50aWwgdGhlIHByb2plY3QgaW1wbGVtZW50YXRpb24gcGhhc2UuIucBCgp0ZXh0L3BsYWluEtgBVGhlcmUgYXJlIG5vIGxvY2FsIGNvbW11bml0aWVzIHRvIGlkZW50aWZ5IGF0IHRoaXMgdGltZSBhcyB0aGUgcHJvamVjdCB3aWxsIHdvcmsgYWNyb3NzIGFsbCBzaXggYmlvbWVzIG9mIEJyYXppbC4gU2l0ZXMgZm9yIGRpcmVjdCByZXN0b3JhdGlvbiBhY3Rpdml0aWVzIHdpbGwgbm90IGJlIGRldGVybWluZWQgdW50aWwgdGhlIHByb2plY3QgaW1wbGVtZW50YXRpb24gcGhhc2UuKkgKD0xhdXJlbiBTdGVlbnNtYRo1Ly9zc2wuZ3N0YXRpYy5jb20vZG9jcy9jb21tb24vYmx1ZV9zaWxob3VldHRlOTYtMC5wbmcwgNTM/ukxOKW8vcn+MUKQDQoLQUFBQk9qeDh0UlUSC0FBQUJPang4dFJRGuwDCgl0ZXh0L2h0bWwS3gNMYXVyZW4sIGFzIHN1Z2dlc3RlZCBieSB0aGUgTU1BIGR1cmluZyB0aGUgbWVldGluZyBhbmQgaGVyZSwgcGxlYXNlIGRlc2NyaWJlIGJyaWVmbHkgYW5kIGluIGdlbmVyYWwgdGhhdCBzcGVjaWZpYyBsb2NhbCBjb21tdW5pdGllcyB3aWxsIGJlIGRldGVybWluZWQgZHVyaW5nIGltcGxlbWVudGF0aW9uIGFuZCBob3cgcmlza3MgdG8gdGhlbSBidXlpbmctaW4gb3Igbm90IGJ1eWluZy1pbiBwcm9qZWN0IGFjdGl2aXRpZXMgY291bGQgYmUgYWRkcmVzc2VkLiBTYW1lIGFwcHJvYWNoIGZvciBJcHMuIEkgc2F3IGluIGFub3RoZXIgZG9jdW1lbnQgdGhhdCBldmVuIGlmIHJlc3RhdXJhdGlvbiBlZmZvcnRzIGRvbuKAmXQgaW5jbHVkZSB0aGVpciB0ZXJyaXRvcmllcywgdGhleSBtaWdodCBzdGlsbCBiZSBlbmdhZ2VkIGZvciBidXlpbmcgc2VlZHMgYW5kIG90aGVyIGFjdGl2aXRpZXMgaW4gdGhlIHJlc3RhdXJhdGlvbiBzdXBwbHkgY2hhaW4uIu0DCgp0ZXh0L3BsYWluEt4DTGF1cmVuLCBhcyBzdWdnZXN0ZWQgYnkgdGhlIE1NQSBkdXJpbmcgdGhlIG1lZXRpbmcgYW5kIGhlcmUsIHBsZWFzZSBkZXNjcmliZSBicmllZmx5IGFuZCBpbiBnZW5lcmFsIHRoYXQgc3BlY2lmaWMgbG9jYWwgY29tbXVuaXRpZXMgd2lsbCBiZSBkZXRlcm1pbmVkIGR1cmluZyBpbXBsZW1lbnRhdGlvbiBhbmQgaG93IHJpc2tzIHRvIHRoZW0gYnV5aW5nLWluIG9yIG5vdCBidXlpbmctaW4gcHJvamVjdCBhY3Rpdml0aWVzIGNvdWxkIGJlIGFkZHJlc3NlZC4gU2FtZSBhcHByb2FjaCBmb3IgSXBzLiBJIHNhdyBpbiBhbm90aGVyIGRvY3VtZW50IHRoYXQgZXZlbiBpZiByZXN0YXVyYXRpb24gZWZmb3J0cyBkb27igJl0IGluY2x1ZGUgdGhlaXIgdGVycml0b3JpZXMsIHRoZXkgbWlnaHQgc3RpbGwgYmUgZW5nYWdlZCBmb3IgYnV5aW5nIHNlZWRzIGFuZCBvdGhlciBhY3Rpdml0aWVzIGluIHRoZSByZXN0YXVyYXRpb24gc3VwcGx5IGNoYWluLipFCgxKdWxpYW5hIFJpb3MaNS8vc3NsLmdzdGF0aWMuY29tL2RvY3MvY29tbW9uL2JsdWVfc2lsaG91ZXR0ZTk2LTAucG5nMOCDg8r7MTjgg4PK+zFyRwoMSnVsaWFuYSBSaW9zGjcKNS8vc3NsLmdzdGF0aWMuY29tL2RvY3MvY29tbW9uL2JsdWVfc2lsaG91ZXR0ZTk2LTAucG5neACIAQGaAQYIABAAGACqAeEDEt4DTGF1cmVuLCBhcyBzdWdnZXN0ZWQgYnkgdGhlIE1NQSBkdXJpbmcgdGhlIG1lZXRpbmcgYW5kIGhlcmUsIHBsZWFzZSBkZXNjcmliZSBicmllZmx5IGFuZCBpbiBnZW5lcmFsIHRoYXQgc3BlY2lmaWMgbG9jYWwgY29tbXVuaXRpZXMgd2lsbCBiZSBkZXRlcm1pbmVkIGR1cmluZyBpbXBsZW1lbnRhdGlvbiBhbmQgaG93IHJpc2tzIHRvIHRoZW0gYnV5aW5nLWluIG9yIG5vdCBidXlpbmctaW4gcHJvamVjdCBhY3Rpdml0aWVzIGNvdWxkIGJlIGFkZHJlc3NlZC4gU2FtZSBhcHByb2FjaCBmb3IgSXBzLiBJIHNhdyBpbiBhbm90aGVyIGRvY3VtZW50IHRoYXQgZXZlbiBpZiByZXN0YXVyYXRpb24gZWZmb3J0cyBkb27igJl0IGluY2x1ZGUgdGhlaXIgdGVycml0b3JpZXMsIHRoZXkgbWlnaHQgc3RpbGwgYmUgZW5nYWdlZCBmb3IgYnV5aW5nIHNlZWRzIGFuZCBvdGhlciBhY3Rpdml0aWVzIGluIHRoZSByZXN0YXVyYXRpb24gc3VwcGx5IGNoYWluLrABALgBAULAAgoLQUFBQk9EMjFXUTQSC0FBQUJPang4dFJRGkgKCXRleHQvaHRtbBI7SSBhZGRlZCByb3dzIGZvciBJUHMsIFRDcywgYW5kIGFmcm8tZGVzY2VuZGFudCBjb21tdW5pdGllcy4iSQoKdGV4dC9wbGFpbhI7SSBhZGRlZCByb3dzIGZvciBJUHMsIFRDcywgYW5kIGFmcm8tZGVzY2VuZGFudCBjb21tdW5pdGllcy4qGyIVMTA1NjQ4NjU1MDEzNTQ2MDU3ODk2KAA4ADClvL3J/jE4pby9yf4xWgx0ZWN2dmFieTFiNnByAiAAeACIAQKaAQYIABAAGACqAT0SO0kgYWRkZWQgcm93cyBmb3IgSVBzLCBUQ3MsIGFuZCBhZnJvLWRlc2NlbmRhbnQgY29tbXVuaXRpZXMusAEAuAEBckoKD0xhdXJlbiBTdGVlbnNtYRo3CjUvL3NzbC5nc3RhdGljLmNvbS9kb2NzL2NvbW1vbi9ibHVlX3NpbGhvdWV0dGU5Ni0wLnBuZ3gAiAEBmgEGCAAQABgAqgHbARLYAVRoZXJlIGFyZSBubyBsb2NhbCBjb21tdW5pdGllcyB0byBpZGVudGlmeSBhdCB0aGlzIHRpbWUgYXMgdGhlIHByb2plY3Qgd2lsbCB3b3JrIGFjcm9zcyBhbGwgc2l4IGJpb21lcyBvZiBCcmF6aWwuIFNpdGVzIGZvciBkaXJlY3QgcmVzdG9yYXRpb24gYWN0aXZpdGllcyB3aWxsIG5vdCBiZSBkZXRlcm1pbmVkIHVudGlsIHRoZSBwcm9qZWN0IGltcGxlbWVudGF0aW9uIHBoYXNlLrABALgBARiA1Mz+6TEgpby9yf4xMABCCGtpeC5jbXQ4IqoYCgtBQUFCT2p4OHRSMBL/FwoLQUFBQk9qeDh0UjASC0FBQUJPang4dFIwGqkBCgl0ZXh0L2h0bWwSmwFOw6NvIG1lIHJlY29yZG8gZGUgZGlzY3Vzc8O1ZXMgc29icmUgb3MgcHJvY2VkaW1lbnRvcyBkZSBzYWx2YWd1YXJkYXMsIG1pdGlnYcOnw6NvIGRlIHJpc2NvcyBlIGV0YyBkdXJhbnRlIGFzIG5vc3NhcyByZXVuacO1ZXMuIFN1Z2lybyBhanVzdGFyIGEgcmVkYcOnw6NvLiKqAQoKdGV4dC9wbGFpbhKbAU7Do28gbWUgcmVjb3JkbyBkZSBkaXNjdXNzw7VlcyBzb2JyZSBvcyBwcm9jZWRpbWVudG9zIGRlIHNhbHZhZ3VhcmRhcywgbWl0aWdhw6fDo28gZGUgcmlzY29zIGUgZXRjIGR1cmFudGUgYXMgbm9zc2FzIHJldW5pw7Vlcy4gU3VnaXJvIGFqdXN0YXIgYSByZWRhw6fDo28uKlEKGE90YXZpbyBHYWRpYW5pIEZlcnJhcmluaRo1Ly9zc2wuZ3N0YXRpYy5jb20vZG9jcy9jb21tb24vYmx1ZV9zaWxob3VldHRlOTYtMC5wbmcwgLyxs/gxOLP6mo6BMkL+BgoLQUFBQk9qeDh0UjQSC0FBQUJPang4dFIwGuYBCgl0ZXh0L2h0bWwS2AFUZXJyYW5vbWljcyB0ZWFtLCBpZiB5b3UgaW5jbHVkZWQgdGhlc2UgdG9waWNzIGluIHlvdXIgaW50ZXJ2aWV3cywgcGxlYXNlIGJlIHNwZWNpZmljIHRvIHdob20gdGhpcyB3YXMgZGlzY2xvc2VkLiBJZiBub3QsIGl0IG5lZWRzIHRvIGJlIGRvbmUgZHVyaW5nIHRoZSBpbXBsZW1lbnRhdGlvbiBwaGFzZSBhbmQgdGhhdCBzaG91bGQgYmUgcmVmbGVjdGVkIGluIHRoaXMgdGV4dC4i5wEKCnRleHQvcGxhaW4S2AFUZXJyYW5vbWljcyB0ZWFtLCBpZiB5b3UgaW5jbHVkZWQgdGhlc2UgdG9waWNzIGluIHlvdXIgaW50ZXJ2aWV3cywgcGxlYXNlIGJlIHNwZWNpZmljIHRvIHdob20gdGhpcyB3YXMgZGlzY2xvc2VkLiBJZiBub3QsIGl0IG5lZWRzIHRvIGJlIGRvbmUgZHVyaW5nIHRoZSBpbXBsZW1lbnRhdGlvbiBwaGFzZSBhbmQgdGhhdCBzaG91bGQgYmUgcmVmbGVjdGVkIGluIHRoaXMgdGV4dC4qRQoMSnVsaWFuYSBSaW9zGjUvL3NzbC5nc3RhdGljLmNvbS9kb2NzL2NvbW1vbi9ibHVlX3NpbGhvdWV0dGU5Ni0wLnBuZzCg06fK+zE4oNOnyvsxckcKDEp1bGlhbmEgUmlvcxo3CjUvL3NzbC5nc3RhdGljLmNvbS9kb2NzL2NvbW1vbi9ibHVlX3NpbGhvdWV0dGU5Ni0wLnBuZ3gAiAEBmgEGCAAQABgAqgHbARLYAVRlcnJhbm9taWNzIHRlYW0sIGlmIHlvdSBpbmNsdWRlZCB0aGVzZSB0b3BpY3MgaW4geW91ciBpbnRlcnZpZXdzLCBwbGVhc2UgYmUgc3BlY2lmaWMgdG8gd2hvbSB0aGlzIHdhcyBkaXNjbG9zZWQuIElmIG5vdCwgaXQgbmVlZHMgdG8gYmUgZG9uZSBkdXJpbmcgdGhlIGltcGxlbWVudGF0aW9uIHBoYXNlIGFuZCB0aGF0IHNob3VsZCBiZSByZWZsZWN0ZWQgaW4gdGhpcyB0ZXh0LrABALgBAULcAwoLQUFBQlBSQmNCU2cSC0FBQUJPang4dFIwGnwKCXRleHQvaHRtbBJvSSBhZGRlZCBhIHNlbnRlbmNlIGZvciB0aGlzIHRvIGNsYXJpZnkgdGhhdCB3ZSBkaXNjdXNzZWQgdGhpcyBpbiBmb3VyIG9mIG91ciBzdGFrZWhvbGRlciBlbmdhZ2VtZW50IGludGVydmlld3MuIn0KCnRleHQvcGxhaW4Sb0kgYWRkZWQgYSBzZW50ZW5jZSBmb3IgdGhpcyB0byBjbGFyaWZ5IHRoYXQgd2UgZGlzY3Vzc2VkIHRoaXMgaW4gZm91ciBvZiBvdXIgc3Rha2Vob2xkZXIgZW5nYWdlbWVudCBpbnRlcnZpZXdzLiobIhUxMDU2NDg2NTUwMTM1NDYwNTc4OTYoADgAMPP78Jj/MTjz+/CY/zFaDGVqdmFrN3F4M3c2YXICIAB4AIgBApoBBggAEAAYAKoBcRJvSSBhZGRlZCBhIHNlbnRlbmNlIGZvciB0aGlzIHRvIGNsYXJpZnkgdGhhdCB3ZSBkaXNjdXNzZWQgdGhpcyBpbiBmb3VyIG9mIG91ciBzdGFrZWhvbGRlciBlbmdhZ2VtZW50IGludGVydmlld3MusAEAuAEBQv4ECgtBQUFCUHpvTUdNNBILQUFBQk9qeDh0UjAasQEKCXRleHQvaHRtbBKjAU5hcyByZXVuacO1ZXMsIG7Do28gdGluaGEgYSBwYXV0YSBzYWx2YWd1YXJkYXMgZXNwZWNpZmljYW1lbnRlLCBtYXMgZm9pIGFib3JkYWRvIHBlbG9zIG1lbWJyb3MgZG8gQ29taXTDqiBzYWx2YWd1YXJkYXMgc29jaWFpcyBlIGFtYmllbnRhaXMgcXVlIGZvcmFtIGNvbnNpZGVyYWRhcy4isgEKCnRleHQvcGxhaW4SowFOYXMgcmV1bmnDtWVzLCBuw6NvIHRpbmhhIGEgcGF1dGEgc2FsdmFndWFyZGFzIGVzcGVjaWZpY2FtZW50ZSwgbWFzIGZvaSBhYm9yZGFkbyBwZWxvcyBtZW1icm9zIGRvIENvbWl0w6ogc2FsdmFndWFyZGFzIHNvY2lhaXMgZSBhbWJpZW50YWlzIHF1ZSBmb3JhbSBjb25zaWRlcmFkYXMuKhsiFTExNjM5MjY1Mjg0MDU3NzU3NDk5MCgAOAAw4K+J7YAyOOCvie2AMloMZWYxMXp5ZWIwOXEycgIgAHgAiAECmgEGCAAQABgAqgGmARKjAU5hcyByZXVuacO1ZXMsIG7Do28gdGluaGEgYSBwYXV0YSBzYWx2YWd1YXJkYXMgZXNwZWNpZmljYW1lbnRlLCBtYXMgZm9pIGFib3JkYWRvIHBlbG9zIG1lbWJyb3MgZG8gQ29taXTDqiBzYWx2YWd1YXJkYXMgc29jaWFpcyBlIGFtYmllbnRhaXMgcXVlIGZvcmFtIGNvbnNpZGVyYWRhcy6wAQC4AQFCvAIKC0FBQUJQeUdJdWFNEgtBQUFCT2p4OHRSMBpHCgl0ZXh0L2h0bWwSOkkgY2xhcmlmaWVkIHRoYXQgdGhpcyB3YXMgZGlzY3Vzc2VkIGF0IGNvbW1pdHRlZSBtZWV0aW5ncy4iSAoKdGV4dC9wbGFpbhI6SSBjbGFyaWZpZWQgdGhhdCB0aGlzIHdhcyBkaXNjdXNzZWQgYXQgY29tbWl0dGVlIG1lZXRpbmdzLiobIhUxMDU2NDg2NTUwMTM1NDYwNTc4OTYoADgAMLP6mo6BMjiz+pqOgTJaC3Y1MmY3NWVveXkzcgIgAHgAiAECmgEGCAAQABgAqgE8EjpJIGNsYXJpZmllZCB0aGF0IHRoaXMgd2FzIGRpc2N1c3NlZCBhdCBjb21taXR0ZWUgbWVldGluZ3MusAEAuAEBclMKGE90YXZpbyBHYWRpYW5pIEZlcnJhcmluaRo3CjUvL3NzbC5nc3RhdGljLmNvbS9kb2NzL2NvbW1vbi9ibHVlX3NpbGhvdWV0dGU5Ni0wLnBuZ3gAiAEBmgEGCAAQABgAqgGeARKbAU7Do28gbWUgcmVjb3JkbyBkZSBkaXNjdXNzw7VlcyBzb2JyZSBvcyBwcm9jZWRpbWVudG9zIGRlIHNhbHZhZ3VhcmRhcywgbWl0aWdhw6fDo28gZGUgcmlzY29zIGUgZXRjIGR1cmFudGUgYXMgbm9zc2FzIHJldW5pw7Vlcy4gU3VnaXJvIGFqdXN0YXIgYSByZWRhw6fDo28usAEAuAEBGIC8sbP4MSCz+pqOgTIwAEIJa2l4LmNtdDE5MghoLmdqZGd4czgAaicKFHN1Z2dlc3QuYms1bGI0amkwYWg1Eg9MYXVyZW4gU3RlZW5zbWFqJwoUc3VnZ2VzdC43cnE2cmxnbHZ2cGoSD0xhdXJlbiBTdGVlbnNtYWonChRzdWdnZXN0LnVneDU0YjR4OGg0ORIPTGF1cmVuIFN0ZWVuc21haicKFHN1Z2dlc3QuemEzMWYyYjRiY2syEg9MYXVyZW4gU3RlZW5zbWFqJwoUc3VnZ2VzdC5oYWlyeTBmNGw4cW0SD0xhdXJlbiBTdGVlbnNtYWonChRzdWdnZXN0LjN0cnFsc2tzZGw4NRIPTGF1cmVuIFN0ZWVuc21haiYKE3N1Z2dlc3QuZmMyMWtneHViNHYSD0xhdXJlbiBTdGVlbnNtYWonChRzdWdnZXN0Lmx2dnZua2Ziejc5ZhIPTGF1cmVuIFN0ZWVuc21haicKFHN1Z2dlc3QuMXpxa2FrZDd1MDk2Eg9MYXVyZW4gU3RlZW5zbWFqJwoUc3VnZ2VzdC5nY3djMHpqbWx2Nm8SD0xhdXJlbiBTdGVlbnNtYXIhMTJtbkpnMXMyUnVYc0RLVzJ6ai1CcFRSQkxMTHAxcUhi</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DocType xmlns="fd35fde0-7421-4a34-a774-f438bb92962e" xsi:nil="true"/>
    <SubmittedtotheProgram_x003f_Yes_x002f_No xmlns="6d32a6d6-1a42-4ee3-96ac-b6b2542cab14">true</SubmittedtotheProgram_x003f_Yes_x002f_No>
    <SharedWithUsers xmlns="fd35fde0-7421-4a34-a774-f438bb92962e">
      <UserInfo>
        <DisplayName/>
        <AccountId xsi:nil="true"/>
        <AccountType/>
      </UserInfo>
    </SharedWithUsers>
    <MediaLengthInSeconds xmlns="6d32a6d6-1a42-4ee3-96ac-b6b2542cab1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4EBA60-B9FF-4924-A2D6-0BEE3B3A2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490CAC2-AAAB-41D8-9702-D11CD684A6CF}">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4.xml><?xml version="1.0" encoding="utf-8"?>
<ds:datastoreItem xmlns:ds="http://schemas.openxmlformats.org/officeDocument/2006/customXml" ds:itemID="{C6008D6C-03B6-41FF-B3DD-9B154BB89BC0}">
  <ds:schemaRefs>
    <ds:schemaRef ds:uri="http://schemas.microsoft.com/sharepoint/v3/contenttype/forms"/>
  </ds:schemaRefs>
</ds:datastoreItem>
</file>

<file path=docMetadata/LabelInfo.xml><?xml version="1.0" encoding="utf-8"?>
<clbl:labelList xmlns:clbl="http://schemas.microsoft.com/office/2020/mipLabelMetadata">
  <clbl:label id="{c4de61a9-99b4-4c6a-962e-bd856602e8be}" enabled="0" method="" siteId="{c4de61a9-99b4-4c6a-962e-bd856602e8be}" removed="1"/>
</clbl:labelList>
</file>

<file path=docProps/app.xml><?xml version="1.0" encoding="utf-8"?>
<Properties xmlns="http://schemas.openxmlformats.org/officeDocument/2006/extended-properties" xmlns:vt="http://schemas.openxmlformats.org/officeDocument/2006/docPropsVTypes">
  <Template>Normal</Template>
  <TotalTime>13</TotalTime>
  <Pages>25</Pages>
  <Words>9125</Words>
  <Characters>50192</Characters>
  <Application>Microsoft Office Word</Application>
  <DocSecurity>0</DocSecurity>
  <Lines>418</Lines>
  <Paragraphs>118</Paragraphs>
  <ScaleCrop>false</ScaleCrop>
  <Company/>
  <LinksUpToDate>false</LinksUpToDate>
  <CharactersWithSpaces>59199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joash.obare@climatecare.org</dc:creator>
  <cp:lastModifiedBy>Juliana Rios</cp:lastModifiedBy>
  <cp:revision>12</cp:revision>
  <dcterms:created xsi:type="dcterms:W3CDTF">2024-06-14T16:51:00Z</dcterms:created>
  <dcterms:modified xsi:type="dcterms:W3CDTF">2024-06-22T14:16:00Z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2014-04-25T00:00:00Z</vt:lpwstr>
  </property>
  <property fmtid="{D5CDD505-2E9C-101B-9397-08002B2CF9AE}" pid="3" name="Creator">
    <vt:lpwstr>Microsoft® Word 2010</vt:lpwstr>
  </property>
  <property fmtid="{D5CDD505-2E9C-101B-9397-08002B2CF9AE}" pid="4" name="LastSaved">
    <vt:lpwstr>2017-05-17T00:00:00Z</vt:lpwstr>
  </property>
  <property fmtid="{D5CDD505-2E9C-101B-9397-08002B2CF9AE}" pid="5" name="ContentTypeId">
    <vt:lpwstr>0x01010066C26EEF8760DA4FAAF8F18ADE3FC85C</vt:lpwstr>
  </property>
  <property fmtid="{D5CDD505-2E9C-101B-9397-08002B2CF9AE}" pid="6" name="MediaServiceImageTags">
    <vt:lpwstr/>
  </property>
  <property fmtid="{D5CDD505-2E9C-101B-9397-08002B2CF9AE}" pid="7" name="GrammarlyDocumentId">
    <vt:lpwstr>ca3a2750486beb90e21840f782e90947ac629a760c61c04e1f7260810d89ca88</vt:lpwstr>
  </property>
  <property fmtid="{D5CDD505-2E9C-101B-9397-08002B2CF9AE}" pid="8" name="Order">
    <vt:r8>108300</vt:r8>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