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tasks.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5A63D1" w:rsidRDefault="005A63D1" w14:paraId="00000001" w14:textId="77777777">
      <w:pPr>
        <w:pStyle w:val="Normal2"/>
        <w:pBdr>
          <w:top w:val="nil"/>
          <w:left w:val="nil"/>
          <w:bottom w:val="nil"/>
          <w:right w:val="nil"/>
          <w:between w:val="nil"/>
        </w:pBdr>
        <w:spacing w:after="0"/>
        <w:ind w:firstLine="0"/>
        <w:jc w:val="center"/>
        <w:rPr>
          <w:rFonts w:cs="Calibri"/>
          <w:b/>
          <w:color w:val="000000"/>
          <w:sz w:val="16"/>
          <w:szCs w:val="16"/>
        </w:rPr>
      </w:pPr>
    </w:p>
    <w:p w:rsidR="005A63D1" w:rsidRDefault="00DB5899" w14:paraId="00000002" w14:textId="77777777">
      <w:pPr>
        <w:pStyle w:val="Normal2"/>
        <w:pBdr>
          <w:top w:val="nil"/>
          <w:left w:val="nil"/>
          <w:bottom w:val="nil"/>
          <w:right w:val="nil"/>
          <w:between w:val="nil"/>
        </w:pBdr>
        <w:spacing w:after="0"/>
        <w:ind w:firstLine="0"/>
        <w:jc w:val="center"/>
        <w:rPr>
          <w:rFonts w:cs="Calibri"/>
          <w:b/>
          <w:color w:val="000000"/>
          <w:sz w:val="26"/>
          <w:szCs w:val="26"/>
        </w:rPr>
      </w:pPr>
      <w:r>
        <w:rPr>
          <w:rFonts w:cs="Calibri"/>
          <w:b/>
          <w:color w:val="000000"/>
          <w:sz w:val="26"/>
          <w:szCs w:val="26"/>
        </w:rPr>
        <w:t>CI-GCF/GEF AGENCIES</w:t>
      </w:r>
    </w:p>
    <w:p w:rsidR="005A63D1" w:rsidRDefault="00DB5899" w14:paraId="00000003" w14:textId="77777777">
      <w:pPr>
        <w:pStyle w:val="Normal2"/>
        <w:pBdr>
          <w:top w:val="nil"/>
          <w:left w:val="nil"/>
          <w:bottom w:val="nil"/>
          <w:right w:val="nil"/>
          <w:between w:val="nil"/>
        </w:pBdr>
        <w:spacing w:after="0"/>
        <w:ind w:firstLine="0"/>
        <w:jc w:val="center"/>
        <w:rPr>
          <w:rFonts w:cs="Calibri"/>
          <w:b/>
          <w:color w:val="000000"/>
          <w:sz w:val="26"/>
          <w:szCs w:val="26"/>
        </w:rPr>
      </w:pPr>
      <w:r>
        <w:rPr>
          <w:rFonts w:cs="Calibri"/>
          <w:b/>
          <w:color w:val="000000"/>
          <w:sz w:val="26"/>
          <w:szCs w:val="26"/>
        </w:rPr>
        <w:t>ENVIRONMENTAL AND SOCIAL SAFEGUARDS (ESS) SCREENING FORM</w:t>
      </w:r>
    </w:p>
    <w:p w:rsidR="005A63D1" w:rsidRDefault="005A63D1" w14:paraId="00000004" w14:textId="77777777">
      <w:pPr>
        <w:pStyle w:val="Normal2"/>
        <w:pBdr>
          <w:top w:val="nil"/>
          <w:left w:val="nil"/>
          <w:bottom w:val="nil"/>
          <w:right w:val="nil"/>
          <w:between w:val="nil"/>
        </w:pBdr>
        <w:spacing w:after="0"/>
        <w:ind w:firstLine="0"/>
        <w:rPr>
          <w:rFonts w:cs="Calibri"/>
          <w:b/>
          <w:color w:val="000000"/>
          <w:sz w:val="26"/>
          <w:szCs w:val="26"/>
        </w:rPr>
      </w:pPr>
    </w:p>
    <w:tbl>
      <w:tblPr>
        <w:tblStyle w:val="affb"/>
        <w:tblW w:w="9840" w:type="dxa"/>
        <w:tblInd w:w="-180" w:type="dxa"/>
        <w:tblBorders>
          <w:top w:val="nil"/>
          <w:left w:val="nil"/>
          <w:bottom w:val="nil"/>
          <w:right w:val="nil"/>
          <w:insideH w:val="nil"/>
          <w:insideV w:val="nil"/>
        </w:tblBorders>
        <w:tblLayout w:type="fixed"/>
        <w:tblLook w:val="0400" w:firstRow="0" w:lastRow="0" w:firstColumn="0" w:lastColumn="0" w:noHBand="0" w:noVBand="1"/>
      </w:tblPr>
      <w:tblGrid>
        <w:gridCol w:w="4830"/>
        <w:gridCol w:w="5010"/>
      </w:tblGrid>
      <w:tr w:rsidR="005A63D1" w:rsidTr="03D33B6F" w14:paraId="5486F380" w14:textId="77777777">
        <w:tc>
          <w:tcPr>
            <w:tcW w:w="4830" w:type="dxa"/>
            <w:tcMar/>
          </w:tcPr>
          <w:p w:rsidR="005A63D1" w:rsidRDefault="00DB5899" w14:paraId="00000005" w14:textId="77777777">
            <w:pPr>
              <w:pStyle w:val="Normal2"/>
              <w:spacing w:after="0"/>
              <w:rPr>
                <w:b/>
                <w:sz w:val="26"/>
                <w:szCs w:val="26"/>
              </w:rPr>
            </w:pPr>
            <w:r>
              <w:t>☐</w:t>
            </w:r>
            <w:r>
              <w:t xml:space="preserve"> </w:t>
            </w:r>
            <w:r>
              <w:rPr>
                <w:b/>
                <w:sz w:val="24"/>
                <w:szCs w:val="24"/>
              </w:rPr>
              <w:t>Preliminary Screening</w:t>
            </w:r>
            <w:r>
              <w:rPr>
                <w:b/>
                <w:sz w:val="26"/>
                <w:szCs w:val="26"/>
              </w:rPr>
              <w:t xml:space="preserve"> </w:t>
            </w:r>
            <w:r>
              <w:t xml:space="preserve">(check if performed at GEF Project Identification Form (PIF) Stage or GCF Concept Note (CN) Stage </w:t>
            </w:r>
          </w:p>
        </w:tc>
        <w:tc>
          <w:tcPr>
            <w:tcW w:w="5010" w:type="dxa"/>
            <w:tcMar/>
          </w:tcPr>
          <w:p w:rsidR="005A63D1" w:rsidRDefault="00DB5899" w14:paraId="00000006" w14:textId="08FAFAF5">
            <w:pPr>
              <w:pStyle w:val="Normal2"/>
              <w:spacing w:after="0"/>
            </w:pPr>
            <w:r w:rsidR="18CCB783">
              <w:rPr/>
              <w:t xml:space="preserve"> </w:t>
            </w:r>
            <w:r w:rsidR="18CCB783">
              <w:rPr/>
              <w:t>☒</w:t>
            </w:r>
            <w:r w:rsidR="18CCB783">
              <w:rPr/>
              <w:t xml:space="preserve"> </w:t>
            </w:r>
            <w:r w:rsidRPr="03D33B6F" w:rsidR="18CCB783">
              <w:rPr>
                <w:b w:val="1"/>
                <w:bCs w:val="1"/>
                <w:sz w:val="24"/>
                <w:szCs w:val="24"/>
              </w:rPr>
              <w:t>Second Screening</w:t>
            </w:r>
            <w:r w:rsidRPr="03D33B6F" w:rsidR="18CCB783">
              <w:rPr>
                <w:b w:val="1"/>
                <w:bCs w:val="1"/>
                <w:sz w:val="26"/>
                <w:szCs w:val="26"/>
              </w:rPr>
              <w:t xml:space="preserve"> </w:t>
            </w:r>
            <w:r w:rsidR="18CCB783">
              <w:rPr/>
              <w:t>(check if performed at GEF Project Preparation Grant (PPG) Stage or GCF Project Preparation Facility (PPF) Stage</w:t>
            </w:r>
          </w:p>
          <w:p w:rsidR="005A63D1" w:rsidRDefault="00DB5899" w14:paraId="00000007" w14:textId="77777777">
            <w:pPr>
              <w:pStyle w:val="Normal2"/>
              <w:spacing w:after="0"/>
              <w:rPr>
                <w:i/>
                <w:color w:val="990000"/>
              </w:rPr>
            </w:pPr>
            <w:r>
              <w:rPr>
                <w:i/>
                <w:color w:val="990000"/>
              </w:rPr>
              <w:t xml:space="preserve">        Performed at PPG stage.</w:t>
            </w:r>
          </w:p>
        </w:tc>
      </w:tr>
    </w:tbl>
    <w:p w:rsidR="005A63D1" w:rsidRDefault="005A63D1" w14:paraId="00000008" w14:textId="77777777">
      <w:pPr>
        <w:pStyle w:val="Normal2"/>
        <w:pBdr>
          <w:top w:val="nil"/>
          <w:left w:val="nil"/>
          <w:bottom w:val="nil"/>
          <w:right w:val="nil"/>
          <w:between w:val="nil"/>
        </w:pBdr>
        <w:spacing w:after="0"/>
        <w:ind w:left="0" w:firstLine="0"/>
        <w:rPr>
          <w:rFonts w:cs="Calibri"/>
          <w:b/>
          <w:color w:val="000000"/>
          <w:sz w:val="24"/>
          <w:szCs w:val="24"/>
        </w:rPr>
      </w:pPr>
    </w:p>
    <w:p w:rsidR="005A63D1" w:rsidRDefault="00DB5899" w14:paraId="00000009" w14:textId="77777777">
      <w:pPr>
        <w:pStyle w:val="Normal2"/>
        <w:pBdr>
          <w:top w:val="nil"/>
          <w:left w:val="nil"/>
          <w:bottom w:val="nil"/>
          <w:right w:val="nil"/>
          <w:between w:val="nil"/>
        </w:pBdr>
        <w:spacing w:after="0"/>
        <w:ind w:left="0" w:firstLine="0"/>
        <w:rPr>
          <w:rFonts w:cs="Calibri"/>
          <w:b/>
          <w:color w:val="000000"/>
          <w:sz w:val="24"/>
          <w:szCs w:val="24"/>
        </w:rPr>
      </w:pPr>
      <w:r>
        <w:rPr>
          <w:rFonts w:cs="Calibri"/>
          <w:b/>
          <w:color w:val="000000"/>
          <w:sz w:val="24"/>
          <w:szCs w:val="24"/>
        </w:rPr>
        <w:t>Guidance Notes</w:t>
      </w:r>
    </w:p>
    <w:p w:rsidR="005A63D1" w:rsidRDefault="00DB5899" w14:paraId="0000000A" w14:textId="77777777">
      <w:pPr>
        <w:pStyle w:val="Normal2"/>
        <w:numPr>
          <w:ilvl w:val="0"/>
          <w:numId w:val="1"/>
        </w:numPr>
        <w:spacing w:after="40"/>
        <w:jc w:val="both"/>
        <w:rPr>
          <w:sz w:val="21"/>
          <w:szCs w:val="21"/>
        </w:rPr>
      </w:pPr>
      <w:r>
        <w:rPr>
          <w:sz w:val="21"/>
          <w:szCs w:val="21"/>
        </w:rPr>
        <w:t>This ESS Screening Form is guided by the CI-GEF/GCF Agencies’ Policy on Environmental and Social Safeguard Standards, which forms part of the</w:t>
      </w:r>
      <w:hyperlink r:id="rId11">
        <w:r>
          <w:rPr>
            <w:sz w:val="21"/>
            <w:szCs w:val="21"/>
          </w:rPr>
          <w:t xml:space="preserve"> </w:t>
        </w:r>
      </w:hyperlink>
      <w:hyperlink r:id="rId12">
        <w:r>
          <w:rPr>
            <w:color w:val="1155CC"/>
            <w:sz w:val="21"/>
            <w:szCs w:val="21"/>
            <w:u w:val="single"/>
          </w:rPr>
          <w:t>CI-GCF/GEF Agencies Environmental and Social Management Framework (ESMF).</w:t>
        </w:r>
      </w:hyperlink>
      <w:r>
        <w:rPr>
          <w:color w:val="1155CC"/>
          <w:sz w:val="21"/>
          <w:szCs w:val="21"/>
          <w:u w:val="single"/>
        </w:rPr>
        <w:t xml:space="preserve"> </w:t>
      </w:r>
      <w:r>
        <w:rPr>
          <w:sz w:val="21"/>
          <w:szCs w:val="21"/>
        </w:rPr>
        <w:t xml:space="preserve"> </w:t>
      </w:r>
    </w:p>
    <w:p w:rsidR="005A63D1" w:rsidRDefault="00DB5899" w14:paraId="0000000B" w14:textId="77777777">
      <w:pPr>
        <w:pStyle w:val="Normal2"/>
        <w:numPr>
          <w:ilvl w:val="0"/>
          <w:numId w:val="1"/>
        </w:numPr>
        <w:spacing w:after="40"/>
        <w:jc w:val="both"/>
        <w:rPr>
          <w:sz w:val="21"/>
          <w:szCs w:val="21"/>
        </w:rPr>
      </w:pPr>
      <w:r>
        <w:rPr>
          <w:sz w:val="21"/>
          <w:szCs w:val="21"/>
        </w:rPr>
        <w:t>The CI-GCF/GEF Agencies undertake environmental and social safeguard screening for every project or program to determine the risk categorization for the project, the ESS Standards triggered by the project, and the mitigation measures to be implemented by the project.</w:t>
      </w:r>
    </w:p>
    <w:p w:rsidR="005A63D1" w:rsidRDefault="00DB5899" w14:paraId="0000000C" w14:textId="77777777">
      <w:pPr>
        <w:pStyle w:val="Normal2"/>
        <w:numPr>
          <w:ilvl w:val="0"/>
          <w:numId w:val="1"/>
        </w:numPr>
        <w:spacing w:after="40"/>
        <w:jc w:val="both"/>
        <w:rPr>
          <w:sz w:val="21"/>
          <w:szCs w:val="21"/>
        </w:rPr>
      </w:pPr>
      <w:r>
        <w:rPr>
          <w:sz w:val="21"/>
          <w:szCs w:val="21"/>
        </w:rPr>
        <w:t>ESS screenings are performed at (i) conceptual stage (Preliminary Screening) using the finalized versions of the PIF/PFD/CN; and (ii) proposal development stage i.e. PPG/PPF (Secondary Screening) using the project document when details of activities, project intervention areas and executing arrangements, among others, have been finalized. Additional screenings may be performed at any time when significant changes have emerged including but not limited to new proposed activities, changes in local/national co</w:t>
      </w:r>
      <w:r>
        <w:rPr>
          <w:sz w:val="21"/>
          <w:szCs w:val="21"/>
        </w:rPr>
        <w:t>ntext of project intervention areas, and where environmental and social risks have increased.</w:t>
      </w:r>
    </w:p>
    <w:p w:rsidR="005A63D1" w:rsidRDefault="00DB5899" w14:paraId="0000000D" w14:textId="77777777">
      <w:pPr>
        <w:pStyle w:val="Normal2"/>
        <w:numPr>
          <w:ilvl w:val="0"/>
          <w:numId w:val="1"/>
        </w:numPr>
        <w:spacing w:after="40"/>
        <w:jc w:val="both"/>
        <w:rPr>
          <w:sz w:val="21"/>
          <w:szCs w:val="21"/>
        </w:rPr>
      </w:pPr>
      <w:r>
        <w:rPr>
          <w:sz w:val="21"/>
          <w:szCs w:val="21"/>
        </w:rPr>
        <w:t>The CI-GCF/GEF Agencies classify the project into one of three categories, depending on the type, location, sensitivity and scale of the project and the nature and magnitude of its potential environmental and social impacts. The descriptions of the categories and lists of types of projects identified in Appendix II of the CI-GCF/GEF’s ESMF. These descriptions are meant to serve as guidance and are not exhaustive.</w:t>
      </w:r>
    </w:p>
    <w:p w:rsidR="005A63D1" w:rsidRDefault="00DB5899" w14:paraId="0000000E" w14:textId="77777777">
      <w:pPr>
        <w:pStyle w:val="Normal2"/>
        <w:numPr>
          <w:ilvl w:val="0"/>
          <w:numId w:val="1"/>
        </w:numPr>
        <w:spacing w:after="40"/>
        <w:jc w:val="both"/>
        <w:rPr>
          <w:sz w:val="21"/>
          <w:szCs w:val="21"/>
        </w:rPr>
      </w:pPr>
      <w:r>
        <w:rPr>
          <w:sz w:val="21"/>
          <w:szCs w:val="21"/>
        </w:rPr>
        <w:t>The CI-GCF/GEF Agencies do not fund projects that involve the construction or rehabilitation of large or complex dams, and resettlement of people. The CI-GCF/GEF Agencies cannot support projects that contradict CI’s mission and policies.</w:t>
      </w:r>
    </w:p>
    <w:p w:rsidR="005A63D1" w:rsidRDefault="00DB5899" w14:paraId="0000000F" w14:textId="77777777">
      <w:pPr>
        <w:pStyle w:val="Normal2"/>
        <w:numPr>
          <w:ilvl w:val="0"/>
          <w:numId w:val="1"/>
        </w:numPr>
        <w:spacing w:after="40"/>
        <w:jc w:val="both"/>
        <w:rPr>
          <w:sz w:val="21"/>
          <w:szCs w:val="21"/>
        </w:rPr>
      </w:pPr>
      <w:r>
        <w:rPr>
          <w:sz w:val="21"/>
          <w:szCs w:val="21"/>
        </w:rPr>
        <w:t xml:space="preserve">The Executing Agency/Entity is responsible for fully completing and providing accurate responses to each question in this Screening Form, and to submit the completed Form to the CI-GCF/GEF Agencies in a timely manner. </w:t>
      </w:r>
    </w:p>
    <w:p w:rsidR="005A63D1" w:rsidRDefault="00DB5899" w14:paraId="00000010" w14:textId="77777777">
      <w:pPr>
        <w:pStyle w:val="Normal2"/>
        <w:numPr>
          <w:ilvl w:val="0"/>
          <w:numId w:val="1"/>
        </w:numPr>
        <w:spacing w:after="40"/>
        <w:jc w:val="both"/>
        <w:rPr>
          <w:sz w:val="21"/>
          <w:szCs w:val="21"/>
        </w:rPr>
      </w:pPr>
      <w:r>
        <w:rPr>
          <w:sz w:val="21"/>
          <w:szCs w:val="21"/>
        </w:rPr>
        <w:t>The CI-GCF/GEF Agencies is responsible for ensuring that the project complies with the CI-GCF/GEF Policy on Environmental and Social Safeguards, and will use the completed Screening Form to determine the mitigation measures for the Executing Agency/Entity to implement.</w:t>
      </w:r>
    </w:p>
    <w:p w:rsidR="005A63D1" w:rsidRDefault="00DB5899" w14:paraId="00000011" w14:textId="77777777">
      <w:pPr>
        <w:pStyle w:val="Normal2"/>
        <w:numPr>
          <w:ilvl w:val="0"/>
          <w:numId w:val="1"/>
        </w:numPr>
        <w:spacing w:after="40"/>
        <w:jc w:val="both"/>
        <w:rPr>
          <w:sz w:val="21"/>
          <w:szCs w:val="21"/>
        </w:rPr>
      </w:pPr>
      <w:r>
        <w:rPr>
          <w:sz w:val="21"/>
          <w:szCs w:val="21"/>
        </w:rPr>
        <w:t>In addition to preparing and implementing mitigation measures for the environmental and social safeguard standards triggered, the Executing Agency/Entity will also need to comply with CI-GEF/GCF’s policies on gender, stakeholder engagement and accountability and grievance mechanism. As such the Executing Agency/Entity will be required to prepare a Gender Assessment and Action Plan, a Stakeholder Engagement Plan, and an Accountability and Grievance Mechanism (see to ESMF for details).</w:t>
      </w:r>
    </w:p>
    <w:p w:rsidR="005A63D1" w:rsidRDefault="00DB5899" w14:paraId="00000012" w14:textId="77777777">
      <w:pPr>
        <w:pStyle w:val="Normal2"/>
        <w:numPr>
          <w:ilvl w:val="0"/>
          <w:numId w:val="1"/>
        </w:numPr>
        <w:spacing w:after="40"/>
        <w:jc w:val="both"/>
        <w:rPr>
          <w:sz w:val="21"/>
          <w:szCs w:val="21"/>
        </w:rPr>
      </w:pPr>
      <w:r>
        <w:rPr>
          <w:sz w:val="21"/>
          <w:szCs w:val="21"/>
        </w:rPr>
        <w:t>The Executing Agency/Entity is responsible for informing the CI-GCF/GEF Agencies in a timely manner, if at any time during the preparation and implementation of the project, the information provided in this Screening Form changes in a way that results in the risks of the project being increased.</w:t>
      </w:r>
    </w:p>
    <w:p w:rsidR="005A63D1" w:rsidRDefault="00DB5899" w14:paraId="00000013" w14:textId="77777777">
      <w:pPr>
        <w:pStyle w:val="Normal2"/>
        <w:numPr>
          <w:ilvl w:val="0"/>
          <w:numId w:val="1"/>
        </w:numPr>
        <w:spacing w:after="40"/>
        <w:jc w:val="both"/>
        <w:rPr>
          <w:sz w:val="21"/>
          <w:szCs w:val="21"/>
        </w:rPr>
      </w:pPr>
      <w:r>
        <w:rPr>
          <w:sz w:val="21"/>
          <w:szCs w:val="21"/>
        </w:rPr>
        <w:t xml:space="preserve">For additional information/clarification, please contact Ian Kissoon, Senior Director of ESMF, CI-GEF/GCF Agencies at </w:t>
      </w:r>
      <w:hyperlink r:id="rId13">
        <w:r>
          <w:rPr>
            <w:color w:val="1155CC"/>
            <w:sz w:val="21"/>
            <w:szCs w:val="21"/>
            <w:u w:val="single"/>
          </w:rPr>
          <w:t>ikissoon@conservation.org</w:t>
        </w:r>
      </w:hyperlink>
      <w:r>
        <w:rPr>
          <w:sz w:val="21"/>
          <w:szCs w:val="21"/>
        </w:rPr>
        <w:t xml:space="preserve"> or your GEF/GCF Project Manager.</w:t>
      </w:r>
    </w:p>
    <w:p w:rsidR="005A63D1" w:rsidRDefault="005A63D1" w14:paraId="00000014" w14:textId="77777777">
      <w:pPr>
        <w:pStyle w:val="Normal2"/>
        <w:tabs>
          <w:tab w:val="left" w:pos="2250"/>
        </w:tabs>
        <w:spacing w:after="0" w:line="276" w:lineRule="auto"/>
        <w:ind w:left="0" w:firstLine="0"/>
        <w:rPr>
          <w:b/>
        </w:rPr>
      </w:pPr>
    </w:p>
    <w:p w:rsidR="005A63D1" w:rsidRDefault="005A63D1" w14:paraId="00000015" w14:textId="77777777">
      <w:pPr>
        <w:pStyle w:val="Normal2"/>
        <w:tabs>
          <w:tab w:val="left" w:pos="2250"/>
        </w:tabs>
        <w:spacing w:after="0" w:line="276" w:lineRule="auto"/>
        <w:ind w:left="0" w:firstLine="0"/>
        <w:rPr>
          <w:b/>
        </w:rPr>
      </w:pPr>
    </w:p>
    <w:tbl>
      <w:tblPr>
        <w:tblStyle w:val="affc"/>
        <w:tblpPr w:leftFromText="180" w:rightFromText="180" w:vertAnchor="text"/>
        <w:tblW w:w="9600" w:type="dxa"/>
        <w:tblInd w:w="0"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Layout w:type="fixed"/>
        <w:tblLook w:val="0000" w:firstRow="0" w:lastRow="0" w:firstColumn="0" w:lastColumn="0" w:noHBand="0" w:noVBand="0"/>
      </w:tblPr>
      <w:tblGrid>
        <w:gridCol w:w="2850"/>
        <w:gridCol w:w="1950"/>
        <w:gridCol w:w="1335"/>
        <w:gridCol w:w="3465"/>
      </w:tblGrid>
      <w:tr w:rsidR="005A63D1" w:rsidTr="447DE725" w14:paraId="419D43D1" w14:textId="77777777">
        <w:trPr>
          <w:trHeight w:val="199"/>
        </w:trPr>
        <w:tc>
          <w:tcPr>
            <w:tcW w:w="9600" w:type="dxa"/>
            <w:gridSpan w:val="4"/>
            <w:shd w:val="clear" w:color="auto" w:fill="767171" w:themeFill="background2" w:themeFillShade="80"/>
            <w:tcMar/>
          </w:tcPr>
          <w:p w:rsidR="005A63D1" w:rsidRDefault="00DB5899" w14:paraId="00000016" w14:textId="77777777">
            <w:pPr>
              <w:pStyle w:val="Normal2"/>
              <w:spacing w:after="0"/>
              <w:ind w:left="90" w:firstLine="0"/>
              <w:jc w:val="center"/>
              <w:rPr>
                <w:color w:val="FFFFFF"/>
                <w:sz w:val="24"/>
                <w:szCs w:val="24"/>
              </w:rPr>
            </w:pPr>
            <w:r>
              <w:rPr>
                <w:b/>
                <w:color w:val="FFFFFF"/>
                <w:sz w:val="24"/>
                <w:szCs w:val="24"/>
              </w:rPr>
              <w:t>I. PROJECT INFORMATION</w:t>
            </w:r>
          </w:p>
        </w:tc>
      </w:tr>
      <w:tr w:rsidR="005A63D1" w:rsidTr="447DE725" w14:paraId="1B6403C9" w14:textId="77777777">
        <w:trPr>
          <w:trHeight w:val="394"/>
        </w:trPr>
        <w:tc>
          <w:tcPr>
            <w:tcW w:w="2850" w:type="dxa"/>
            <w:tcMar/>
          </w:tcPr>
          <w:p w:rsidR="005A63D1" w:rsidRDefault="00DB5899" w14:paraId="0000001A" w14:textId="77777777">
            <w:pPr>
              <w:pStyle w:val="Normal2"/>
              <w:spacing w:after="0"/>
              <w:ind w:left="0" w:firstLine="0"/>
              <w:rPr>
                <w:sz w:val="20"/>
                <w:szCs w:val="20"/>
                <w:highlight w:val="yellow"/>
              </w:rPr>
            </w:pPr>
            <w:r>
              <w:rPr>
                <w:b/>
                <w:sz w:val="20"/>
                <w:szCs w:val="20"/>
              </w:rPr>
              <w:t>GCF/GEF Project ID</w:t>
            </w:r>
            <w:r>
              <w:rPr>
                <w:sz w:val="20"/>
                <w:szCs w:val="20"/>
              </w:rPr>
              <w:t>: 11267</w:t>
            </w:r>
          </w:p>
        </w:tc>
        <w:tc>
          <w:tcPr>
            <w:tcW w:w="6750" w:type="dxa"/>
            <w:gridSpan w:val="3"/>
            <w:tcMar/>
          </w:tcPr>
          <w:p w:rsidR="005A63D1" w:rsidRDefault="00DB5899" w14:paraId="0000001B" w14:textId="77777777">
            <w:pPr>
              <w:pStyle w:val="Normal2"/>
              <w:spacing w:after="0"/>
              <w:rPr>
                <w:sz w:val="20"/>
                <w:szCs w:val="20"/>
              </w:rPr>
            </w:pPr>
            <w:r>
              <w:rPr>
                <w:b/>
                <w:sz w:val="20"/>
                <w:szCs w:val="20"/>
              </w:rPr>
              <w:t>Countries</w:t>
            </w:r>
            <w:r>
              <w:rPr>
                <w:sz w:val="20"/>
                <w:szCs w:val="20"/>
              </w:rPr>
              <w:t>: Ecuador, Costa Rica, Colombia, and Panama</w:t>
            </w:r>
          </w:p>
        </w:tc>
      </w:tr>
      <w:tr w:rsidR="005A63D1" w:rsidTr="447DE725" w14:paraId="6267F7F7" w14:textId="77777777">
        <w:trPr>
          <w:trHeight w:val="687"/>
        </w:trPr>
        <w:tc>
          <w:tcPr>
            <w:tcW w:w="9600" w:type="dxa"/>
            <w:gridSpan w:val="4"/>
            <w:tcMar/>
          </w:tcPr>
          <w:p w:rsidR="005A63D1" w:rsidRDefault="00DB5899" w14:paraId="0000001E" w14:textId="77777777">
            <w:pPr>
              <w:pStyle w:val="Normal2"/>
              <w:spacing w:after="0"/>
              <w:ind w:left="0" w:firstLine="0"/>
              <w:rPr>
                <w:sz w:val="20"/>
                <w:szCs w:val="20"/>
              </w:rPr>
            </w:pPr>
            <w:r>
              <w:rPr>
                <w:b/>
                <w:sz w:val="20"/>
                <w:szCs w:val="20"/>
              </w:rPr>
              <w:t>Project</w:t>
            </w:r>
            <w:r>
              <w:rPr>
                <w:sz w:val="20"/>
                <w:szCs w:val="20"/>
              </w:rPr>
              <w:t xml:space="preserve"> </w:t>
            </w:r>
            <w:r>
              <w:rPr>
                <w:b/>
                <w:sz w:val="20"/>
                <w:szCs w:val="20"/>
              </w:rPr>
              <w:t>Title</w:t>
            </w:r>
            <w:r>
              <w:rPr>
                <w:sz w:val="20"/>
                <w:szCs w:val="20"/>
              </w:rPr>
              <w:t>: Beyond 30x30: Securing resilience in the Eastern Tropical Pacific through enhanced transboundary cooperation</w:t>
            </w:r>
          </w:p>
        </w:tc>
      </w:tr>
      <w:tr w:rsidR="005A63D1" w:rsidTr="447DE725" w14:paraId="3D81FF44" w14:textId="77777777">
        <w:trPr>
          <w:trHeight w:val="450"/>
        </w:trPr>
        <w:tc>
          <w:tcPr>
            <w:tcW w:w="9600" w:type="dxa"/>
            <w:gridSpan w:val="4"/>
            <w:tcMar/>
          </w:tcPr>
          <w:p w:rsidR="005A63D1" w:rsidRDefault="00DB5899" w14:paraId="00000022" w14:textId="77777777">
            <w:pPr>
              <w:pStyle w:val="Normal2"/>
              <w:spacing w:after="0"/>
              <w:ind w:left="0" w:firstLine="0"/>
              <w:rPr>
                <w:sz w:val="20"/>
                <w:szCs w:val="20"/>
              </w:rPr>
            </w:pPr>
            <w:r>
              <w:rPr>
                <w:b/>
                <w:sz w:val="20"/>
                <w:szCs w:val="20"/>
              </w:rPr>
              <w:t>Name of the Executing Agency/Entity</w:t>
            </w:r>
            <w:r>
              <w:rPr>
                <w:sz w:val="20"/>
                <w:szCs w:val="20"/>
              </w:rPr>
              <w:t>: Fundación Pacífico (Pacific Foundation)</w:t>
            </w:r>
          </w:p>
        </w:tc>
      </w:tr>
      <w:tr w:rsidR="005A63D1" w:rsidTr="447DE725" w14:paraId="380E29EC" w14:textId="77777777">
        <w:trPr>
          <w:trHeight w:val="469"/>
        </w:trPr>
        <w:tc>
          <w:tcPr>
            <w:tcW w:w="2850" w:type="dxa"/>
            <w:tcMar/>
          </w:tcPr>
          <w:p w:rsidR="005A63D1" w:rsidRDefault="00DB5899" w14:paraId="00000026" w14:textId="77777777">
            <w:pPr>
              <w:pStyle w:val="Normal2"/>
              <w:spacing w:after="0"/>
              <w:ind w:left="0" w:firstLine="0"/>
              <w:rPr>
                <w:sz w:val="20"/>
                <w:szCs w:val="20"/>
              </w:rPr>
            </w:pPr>
            <w:r>
              <w:rPr>
                <w:b/>
                <w:sz w:val="20"/>
                <w:szCs w:val="20"/>
              </w:rPr>
              <w:t>Length of Project</w:t>
            </w:r>
            <w:r>
              <w:rPr>
                <w:sz w:val="20"/>
                <w:szCs w:val="20"/>
              </w:rPr>
              <w:t xml:space="preserve">: 60 </w:t>
            </w:r>
            <w:r>
              <w:rPr>
                <w:i/>
                <w:sz w:val="20"/>
                <w:szCs w:val="20"/>
              </w:rPr>
              <w:t>months</w:t>
            </w:r>
          </w:p>
        </w:tc>
        <w:tc>
          <w:tcPr>
            <w:tcW w:w="3285" w:type="dxa"/>
            <w:gridSpan w:val="2"/>
            <w:tcMar/>
          </w:tcPr>
          <w:p w:rsidR="005A63D1" w:rsidRDefault="00DB5899" w14:paraId="00000027" w14:textId="77777777">
            <w:pPr>
              <w:pStyle w:val="Normal2"/>
              <w:spacing w:after="0"/>
              <w:ind w:left="90" w:firstLine="0"/>
              <w:rPr>
                <w:sz w:val="20"/>
                <w:szCs w:val="20"/>
              </w:rPr>
            </w:pPr>
            <w:commentRangeStart w:id="1046358587"/>
            <w:r w:rsidRPr="447DE725" w:rsidR="00DB5899">
              <w:rPr>
                <w:b w:val="1"/>
                <w:bCs w:val="1"/>
                <w:sz w:val="20"/>
                <w:szCs w:val="20"/>
              </w:rPr>
              <w:t>Anticipated Start date</w:t>
            </w:r>
            <w:r w:rsidRPr="447DE725" w:rsidR="00DB5899">
              <w:rPr>
                <w:sz w:val="20"/>
                <w:szCs w:val="20"/>
              </w:rPr>
              <w:t xml:space="preserve">: </w:t>
            </w:r>
            <w:r w:rsidRPr="447DE725" w:rsidR="00DB5899">
              <w:rPr>
                <w:sz w:val="20"/>
                <w:szCs w:val="20"/>
                <w:highlight w:val="yellow"/>
              </w:rPr>
              <w:t>XXX</w:t>
            </w:r>
          </w:p>
        </w:tc>
        <w:tc>
          <w:tcPr>
            <w:tcW w:w="3465" w:type="dxa"/>
            <w:tcMar/>
          </w:tcPr>
          <w:p w:rsidR="005A63D1" w:rsidRDefault="00DB5899" w14:paraId="00000029" w14:textId="77777777">
            <w:pPr>
              <w:pStyle w:val="Normal2"/>
              <w:spacing w:after="0"/>
              <w:ind w:left="90" w:firstLine="0"/>
              <w:rPr>
                <w:sz w:val="20"/>
                <w:szCs w:val="20"/>
              </w:rPr>
            </w:pPr>
            <w:r w:rsidRPr="447DE725" w:rsidR="00DB5899">
              <w:rPr>
                <w:b w:val="1"/>
                <w:bCs w:val="1"/>
                <w:sz w:val="20"/>
                <w:szCs w:val="20"/>
              </w:rPr>
              <w:t>Anticipated End date</w:t>
            </w:r>
            <w:r w:rsidRPr="447DE725" w:rsidR="00DB5899">
              <w:rPr>
                <w:sz w:val="20"/>
                <w:szCs w:val="20"/>
              </w:rPr>
              <w:t xml:space="preserve">: </w:t>
            </w:r>
            <w:r w:rsidRPr="447DE725" w:rsidR="00DB5899">
              <w:rPr>
                <w:sz w:val="20"/>
                <w:szCs w:val="20"/>
                <w:highlight w:val="yellow"/>
              </w:rPr>
              <w:t>XXX</w:t>
            </w:r>
            <w:commentRangeEnd w:id="1046358587"/>
            <w:r>
              <w:rPr>
                <w:rStyle w:val="CommentReference"/>
              </w:rPr>
              <w:commentReference w:id="1046358587"/>
            </w:r>
          </w:p>
        </w:tc>
      </w:tr>
      <w:tr w:rsidR="005A63D1" w:rsidTr="447DE725" w14:paraId="003AA7CA" w14:textId="77777777">
        <w:trPr>
          <w:trHeight w:val="484"/>
        </w:trPr>
        <w:tc>
          <w:tcPr>
            <w:tcW w:w="9600" w:type="dxa"/>
            <w:gridSpan w:val="4"/>
            <w:tcMar/>
          </w:tcPr>
          <w:p w:rsidR="005A63D1" w:rsidRDefault="00DB5899" w14:paraId="0000002A" w14:textId="77777777">
            <w:pPr>
              <w:pStyle w:val="Normal2"/>
              <w:spacing w:after="0"/>
              <w:ind w:left="0" w:firstLine="0"/>
              <w:rPr>
                <w:b/>
                <w:sz w:val="20"/>
                <w:szCs w:val="20"/>
                <w:highlight w:val="magenta"/>
              </w:rPr>
            </w:pPr>
            <w:r>
              <w:rPr>
                <w:b/>
                <w:sz w:val="20"/>
                <w:szCs w:val="20"/>
              </w:rPr>
              <w:t xml:space="preserve">GCF Results Area(s) / GEF Focal Area(s): </w:t>
            </w:r>
            <w:r>
              <w:rPr>
                <w:sz w:val="20"/>
                <w:szCs w:val="20"/>
              </w:rPr>
              <w:t>International Waters</w:t>
            </w:r>
          </w:p>
        </w:tc>
      </w:tr>
      <w:tr w:rsidR="005A63D1" w:rsidTr="447DE725" w14:paraId="18A66EBC" w14:textId="77777777">
        <w:trPr>
          <w:trHeight w:val="454"/>
        </w:trPr>
        <w:tc>
          <w:tcPr>
            <w:tcW w:w="4800" w:type="dxa"/>
            <w:gridSpan w:val="2"/>
            <w:tcMar/>
          </w:tcPr>
          <w:p w:rsidR="005A63D1" w:rsidRDefault="00DB5899" w14:paraId="0000002E" w14:textId="77777777">
            <w:pPr>
              <w:pStyle w:val="Normal2"/>
              <w:spacing w:after="0"/>
              <w:ind w:left="0" w:firstLine="0"/>
              <w:rPr>
                <w:b/>
                <w:sz w:val="20"/>
                <w:szCs w:val="20"/>
              </w:rPr>
            </w:pPr>
            <w:r>
              <w:rPr>
                <w:b/>
                <w:sz w:val="20"/>
                <w:szCs w:val="20"/>
              </w:rPr>
              <w:t>GCF/GEF Project Amount:</w:t>
            </w:r>
            <w:r>
              <w:rPr>
                <w:sz w:val="20"/>
                <w:szCs w:val="20"/>
              </w:rPr>
              <w:t xml:space="preserve"> $15,673,000 USD </w:t>
            </w:r>
          </w:p>
        </w:tc>
        <w:tc>
          <w:tcPr>
            <w:tcW w:w="4800" w:type="dxa"/>
            <w:gridSpan w:val="2"/>
            <w:tcMar/>
          </w:tcPr>
          <w:p w:rsidR="005A63D1" w:rsidRDefault="00DB5899" w14:paraId="00000030" w14:textId="77777777">
            <w:pPr>
              <w:pStyle w:val="Normal2"/>
              <w:spacing w:after="0"/>
              <w:ind w:left="90" w:firstLine="0"/>
              <w:rPr>
                <w:b/>
                <w:sz w:val="20"/>
                <w:szCs w:val="20"/>
              </w:rPr>
            </w:pPr>
            <w:r>
              <w:rPr>
                <w:b/>
                <w:sz w:val="20"/>
                <w:szCs w:val="20"/>
              </w:rPr>
              <w:t>Co-Financing Amount</w:t>
            </w:r>
            <w:r>
              <w:rPr>
                <w:sz w:val="20"/>
                <w:szCs w:val="20"/>
              </w:rPr>
              <w:t xml:space="preserve">: $53,383,037 USD (TBC) </w:t>
            </w:r>
          </w:p>
        </w:tc>
      </w:tr>
      <w:tr w:rsidR="005A63D1" w:rsidTr="447DE725" w14:paraId="3666C1C1" w14:textId="77777777">
        <w:trPr>
          <w:trHeight w:val="20"/>
        </w:trPr>
        <w:tc>
          <w:tcPr>
            <w:tcW w:w="9600" w:type="dxa"/>
            <w:gridSpan w:val="4"/>
            <w:tcMar/>
          </w:tcPr>
          <w:p w:rsidR="005A63D1" w:rsidRDefault="00DB5899" w14:paraId="00000032" w14:textId="77777777">
            <w:pPr>
              <w:pStyle w:val="Normal2"/>
              <w:spacing w:after="0"/>
              <w:ind w:left="0" w:firstLine="0"/>
              <w:rPr>
                <w:sz w:val="20"/>
                <w:szCs w:val="20"/>
              </w:rPr>
            </w:pPr>
            <w:r>
              <w:rPr>
                <w:b/>
                <w:sz w:val="20"/>
                <w:szCs w:val="20"/>
              </w:rPr>
              <w:t>Project</w:t>
            </w:r>
            <w:r>
              <w:rPr>
                <w:sz w:val="20"/>
                <w:szCs w:val="20"/>
              </w:rPr>
              <w:t xml:space="preserve"> </w:t>
            </w:r>
            <w:r>
              <w:rPr>
                <w:b/>
                <w:sz w:val="20"/>
                <w:szCs w:val="20"/>
              </w:rPr>
              <w:t>Objectives</w:t>
            </w:r>
            <w:r>
              <w:rPr>
                <w:sz w:val="20"/>
                <w:szCs w:val="20"/>
              </w:rPr>
              <w:t xml:space="preserve">: </w:t>
            </w:r>
          </w:p>
          <w:p w:rsidR="005A63D1" w:rsidRDefault="00DB5899" w14:paraId="00000033" w14:textId="77777777">
            <w:pPr>
              <w:pStyle w:val="Normal2"/>
              <w:pBdr>
                <w:top w:val="nil"/>
                <w:left w:val="nil"/>
                <w:bottom w:val="nil"/>
                <w:right w:val="nil"/>
                <w:between w:val="nil"/>
              </w:pBdr>
              <w:spacing w:after="80"/>
              <w:ind w:left="0" w:firstLine="0"/>
              <w:jc w:val="both"/>
              <w:rPr>
                <w:sz w:val="21"/>
                <w:szCs w:val="21"/>
              </w:rPr>
            </w:pPr>
            <w:r>
              <w:rPr>
                <w:sz w:val="21"/>
                <w:szCs w:val="21"/>
              </w:rPr>
              <w:t>The objective of the Beyond 30x30 project is to ensure the long-term resilience and conservation of at least 31.2 million ha of the Eastern Tropical Pacific Marine Corridor area (Central ETP</w:t>
            </w:r>
            <w:r>
              <w:rPr>
                <w:sz w:val="21"/>
                <w:szCs w:val="21"/>
                <w:vertAlign w:val="superscript"/>
              </w:rPr>
              <w:footnoteReference w:id="1"/>
            </w:r>
            <w:r>
              <w:rPr>
                <w:sz w:val="21"/>
                <w:szCs w:val="21"/>
              </w:rPr>
              <w:t>), a critical 200,000,000 ha subsection of the Eastern Tropical Pacific (ETP) located in the Pacific waters of Ecuador, Costa Rica, Colombia, and Panama. The project aims to achieve this objective by strengthening regional governance, coordinating blue economy investments and conservation efforts, and securing regional connectivity and improved management.</w:t>
            </w:r>
          </w:p>
        </w:tc>
      </w:tr>
      <w:tr w:rsidR="005A63D1" w:rsidTr="447DE725" w14:paraId="6D0328E9" w14:textId="77777777">
        <w:trPr>
          <w:trHeight w:val="20"/>
        </w:trPr>
        <w:tc>
          <w:tcPr>
            <w:tcW w:w="9600" w:type="dxa"/>
            <w:gridSpan w:val="4"/>
            <w:tcMar/>
          </w:tcPr>
          <w:p w:rsidR="005A63D1" w:rsidRDefault="00DB5899" w14:paraId="00000037" w14:textId="77777777">
            <w:pPr>
              <w:pStyle w:val="Normal2"/>
              <w:spacing w:after="80"/>
              <w:ind w:left="0" w:firstLine="0"/>
              <w:rPr>
                <w:b/>
                <w:sz w:val="20"/>
                <w:szCs w:val="20"/>
              </w:rPr>
            </w:pPr>
            <w:r>
              <w:rPr>
                <w:b/>
                <w:sz w:val="20"/>
                <w:szCs w:val="20"/>
              </w:rPr>
              <w:t>Project</w:t>
            </w:r>
            <w:r>
              <w:rPr>
                <w:sz w:val="20"/>
                <w:szCs w:val="20"/>
              </w:rPr>
              <w:t xml:space="preserve"> </w:t>
            </w:r>
            <w:r>
              <w:rPr>
                <w:b/>
                <w:sz w:val="20"/>
                <w:szCs w:val="20"/>
              </w:rPr>
              <w:t>Components</w:t>
            </w:r>
            <w:r>
              <w:rPr>
                <w:sz w:val="20"/>
                <w:szCs w:val="20"/>
              </w:rPr>
              <w:t xml:space="preserve"> </w:t>
            </w:r>
            <w:r>
              <w:rPr>
                <w:b/>
                <w:sz w:val="20"/>
                <w:szCs w:val="20"/>
              </w:rPr>
              <w:t>and</w:t>
            </w:r>
            <w:r>
              <w:rPr>
                <w:sz w:val="20"/>
                <w:szCs w:val="20"/>
              </w:rPr>
              <w:t xml:space="preserve"> </w:t>
            </w:r>
            <w:r>
              <w:rPr>
                <w:b/>
                <w:sz w:val="20"/>
                <w:szCs w:val="20"/>
              </w:rPr>
              <w:t>Main</w:t>
            </w:r>
            <w:r>
              <w:rPr>
                <w:sz w:val="20"/>
                <w:szCs w:val="20"/>
              </w:rPr>
              <w:t xml:space="preserve"> </w:t>
            </w:r>
            <w:r>
              <w:rPr>
                <w:b/>
                <w:sz w:val="20"/>
                <w:szCs w:val="20"/>
              </w:rPr>
              <w:t>Activities Proposed:</w:t>
            </w:r>
          </w:p>
          <w:p w:rsidR="005A63D1" w:rsidRDefault="00DB5899" w14:paraId="00000038" w14:textId="77777777">
            <w:pPr>
              <w:pStyle w:val="Normal2"/>
              <w:ind w:left="0" w:firstLine="0"/>
              <w:jc w:val="both"/>
              <w:rPr>
                <w:sz w:val="21"/>
                <w:szCs w:val="21"/>
              </w:rPr>
            </w:pPr>
            <w:r>
              <w:rPr>
                <w:sz w:val="21"/>
                <w:szCs w:val="21"/>
              </w:rPr>
              <w:t>To achieve this objective, the project has been broken down into the following components:</w:t>
            </w:r>
          </w:p>
          <w:p w:rsidR="005A63D1" w:rsidRDefault="00DB5899" w14:paraId="00000039" w14:textId="77777777">
            <w:pPr>
              <w:pStyle w:val="Normal2"/>
              <w:numPr>
                <w:ilvl w:val="0"/>
                <w:numId w:val="6"/>
              </w:numPr>
              <w:pBdr>
                <w:top w:val="nil"/>
                <w:left w:val="nil"/>
                <w:bottom w:val="nil"/>
                <w:right w:val="nil"/>
                <w:between w:val="nil"/>
              </w:pBdr>
              <w:spacing w:after="80"/>
              <w:ind w:left="566"/>
              <w:jc w:val="both"/>
              <w:rPr>
                <w:sz w:val="21"/>
                <w:szCs w:val="21"/>
              </w:rPr>
            </w:pPr>
            <w:r>
              <w:rPr>
                <w:b/>
                <w:sz w:val="21"/>
                <w:szCs w:val="21"/>
              </w:rPr>
              <w:t>Component 1 – Strengthening CMAR governance and long-term sustainability</w:t>
            </w:r>
            <w:r>
              <w:rPr>
                <w:sz w:val="21"/>
                <w:szCs w:val="21"/>
              </w:rPr>
              <w:t>: This component will strengthen regional capacity and coordination mechanisms and create enabling conditions leading to a more robust CMAR. While the CMAR governments have all endorsed a stronger CMAR organization, specifics on the new organization are currently under determination with the support of other donors. This includes the establishment of CMARs mechanism(e.g., permanent Secretariat), a Binding Agreement, and the Declaration of Biosphere Reserve. A nationally endorsed and operational regional CMA</w:t>
            </w:r>
            <w:r>
              <w:rPr>
                <w:sz w:val="21"/>
                <w:szCs w:val="21"/>
              </w:rPr>
              <w:t xml:space="preserve">R will help ensure donors and governments that their investments will be well-spent and will not duplicate other investments in the region. </w:t>
            </w:r>
          </w:p>
          <w:p w:rsidR="005A63D1" w:rsidRDefault="00DB5899" w14:paraId="0000003A" w14:textId="77777777">
            <w:pPr>
              <w:pStyle w:val="Normal2"/>
              <w:numPr>
                <w:ilvl w:val="0"/>
                <w:numId w:val="6"/>
              </w:numPr>
              <w:spacing w:after="80"/>
              <w:ind w:left="566"/>
              <w:jc w:val="both"/>
              <w:rPr>
                <w:sz w:val="21"/>
                <w:szCs w:val="21"/>
              </w:rPr>
            </w:pPr>
            <w:r>
              <w:rPr>
                <w:b/>
                <w:sz w:val="21"/>
                <w:szCs w:val="21"/>
              </w:rPr>
              <w:t>Component 2 – Improving regional corridor management and climate resilience:</w:t>
            </w:r>
            <w:r>
              <w:rPr>
                <w:sz w:val="21"/>
                <w:szCs w:val="21"/>
              </w:rPr>
              <w:t xml:space="preserve"> This component seeks to improve the regional corridor management with two outcomes: increased climate resilience of the Central ETP MPAs and improved regional MPA connectivity and management. Activities focus on improving regional MPA connectivity by addressing climate change and increasing management effectiveness, eg. an updated CMAR Regional Action Plan will be developed by 2025, and a regional management effectiveness assessment tool will be developed and applied in the Central ETP.</w:t>
            </w:r>
          </w:p>
          <w:p w:rsidR="005A63D1" w:rsidRDefault="00DB5899" w14:paraId="0000003B" w14:textId="77777777">
            <w:pPr>
              <w:pStyle w:val="Normal2"/>
              <w:numPr>
                <w:ilvl w:val="0"/>
                <w:numId w:val="6"/>
              </w:numPr>
              <w:spacing w:after="80"/>
              <w:ind w:left="566"/>
              <w:jc w:val="both"/>
              <w:rPr>
                <w:sz w:val="21"/>
                <w:szCs w:val="21"/>
              </w:rPr>
            </w:pPr>
            <w:r>
              <w:rPr>
                <w:b/>
                <w:sz w:val="21"/>
                <w:szCs w:val="21"/>
              </w:rPr>
              <w:t>Component 3 – Promoting a regional blue economy:</w:t>
            </w:r>
            <w:r>
              <w:rPr>
                <w:sz w:val="21"/>
                <w:szCs w:val="21"/>
              </w:rPr>
              <w:t xml:space="preserve"> This component will support regional blue economy investment by promoting the adoption and implementation of blue economy actions and securing blue economy investment that will enhance sustainability in both fisheries and tourism sectors. Activities will focus on fishing businesses that are operating in the six multi use MPAs, tourism businesses that operate in both the six multiuse MPAs and the five no-take MPAs and transport operating in all MPAs.</w:t>
            </w:r>
          </w:p>
          <w:p w:rsidR="005A63D1" w:rsidRDefault="00DB5899" w14:paraId="0000003C" w14:textId="77777777">
            <w:pPr>
              <w:pStyle w:val="Normal2"/>
              <w:numPr>
                <w:ilvl w:val="0"/>
                <w:numId w:val="6"/>
              </w:numPr>
              <w:pBdr>
                <w:top w:val="nil"/>
                <w:left w:val="nil"/>
                <w:bottom w:val="nil"/>
                <w:right w:val="nil"/>
                <w:between w:val="nil"/>
              </w:pBdr>
              <w:spacing w:after="80"/>
              <w:ind w:left="566"/>
              <w:jc w:val="both"/>
              <w:rPr>
                <w:sz w:val="20"/>
                <w:szCs w:val="20"/>
              </w:rPr>
            </w:pPr>
            <w:r>
              <w:rPr>
                <w:b/>
                <w:sz w:val="21"/>
                <w:szCs w:val="21"/>
              </w:rPr>
              <w:t>Component 4 – Strengthening Capacities for Regional Communications, Knowledge Management, and Learning</w:t>
            </w:r>
            <w:r>
              <w:rPr>
                <w:sz w:val="21"/>
                <w:szCs w:val="21"/>
              </w:rPr>
              <w:t xml:space="preserve">: Readily available and transparent reports documenting progress toward programmatic and specific project goals will help attract additional regional investment. As a GEF International Waters (IW) project, all work will comply with IW focal area and IW:LEARN requirements. Activities focus on building monitoring and evaluation capacity as well as information sharing through participation in IW: Learn and regional and international exchanges. </w:t>
            </w:r>
          </w:p>
        </w:tc>
      </w:tr>
      <w:tr w:rsidR="005A63D1" w:rsidTr="447DE725" w14:paraId="6C22237D" w14:textId="77777777">
        <w:trPr>
          <w:trHeight w:val="450"/>
        </w:trPr>
        <w:tc>
          <w:tcPr>
            <w:tcW w:w="9600" w:type="dxa"/>
            <w:gridSpan w:val="4"/>
            <w:tcMar/>
          </w:tcPr>
          <w:p w:rsidR="005A63D1" w:rsidRDefault="00DB5899" w14:paraId="00000040" w14:textId="77777777">
            <w:pPr>
              <w:pStyle w:val="Normal2"/>
              <w:spacing w:after="0"/>
              <w:ind w:left="0" w:firstLine="0"/>
              <w:rPr>
                <w:sz w:val="21"/>
                <w:szCs w:val="21"/>
              </w:rPr>
            </w:pPr>
            <w:r>
              <w:rPr>
                <w:b/>
                <w:sz w:val="21"/>
                <w:szCs w:val="21"/>
              </w:rPr>
              <w:t xml:space="preserve">Safeguard Screening Form Completed by: </w:t>
            </w:r>
            <w:r>
              <w:rPr>
                <w:sz w:val="21"/>
                <w:szCs w:val="21"/>
              </w:rPr>
              <w:t>Sara Barrueco, Manuela Barisone, Monika Bertzky, Asesoramiento Ambiental Estratégico (AAE)</w:t>
            </w:r>
          </w:p>
        </w:tc>
      </w:tr>
      <w:tr w:rsidR="005A63D1" w:rsidTr="447DE725" w14:paraId="5F826C2D" w14:textId="77777777">
        <w:trPr>
          <w:trHeight w:val="420"/>
        </w:trPr>
        <w:tc>
          <w:tcPr>
            <w:tcW w:w="9600" w:type="dxa"/>
            <w:gridSpan w:val="4"/>
            <w:tcMar/>
          </w:tcPr>
          <w:p w:rsidR="005A63D1" w:rsidRDefault="00DB5899" w14:paraId="00000044" w14:textId="77777777">
            <w:pPr>
              <w:pStyle w:val="Normal2"/>
              <w:spacing w:after="0"/>
              <w:ind w:left="0" w:firstLine="0"/>
              <w:rPr>
                <w:b/>
                <w:sz w:val="21"/>
                <w:szCs w:val="21"/>
              </w:rPr>
            </w:pPr>
            <w:r>
              <w:rPr>
                <w:b/>
                <w:sz w:val="21"/>
                <w:szCs w:val="21"/>
              </w:rPr>
              <w:t xml:space="preserve">Date of Submission/Resubmission of Completed Form to CI-GEF/GEF: </w:t>
            </w:r>
          </w:p>
          <w:p w:rsidR="005A63D1" w:rsidRDefault="00DB5899" w14:paraId="00000045" w14:textId="77777777">
            <w:pPr>
              <w:pStyle w:val="Normal2"/>
              <w:spacing w:after="0"/>
              <w:ind w:left="0" w:firstLine="0"/>
              <w:rPr>
                <w:sz w:val="21"/>
                <w:szCs w:val="21"/>
              </w:rPr>
            </w:pPr>
            <w:r>
              <w:rPr>
                <w:sz w:val="21"/>
                <w:szCs w:val="21"/>
              </w:rPr>
              <w:t>First submission: 18</w:t>
            </w:r>
            <w:r>
              <w:rPr>
                <w:sz w:val="21"/>
                <w:szCs w:val="21"/>
                <w:vertAlign w:val="superscript"/>
              </w:rPr>
              <w:t>th</w:t>
            </w:r>
            <w:r>
              <w:rPr>
                <w:sz w:val="21"/>
                <w:szCs w:val="21"/>
              </w:rPr>
              <w:t xml:space="preserve"> March 2024</w:t>
            </w:r>
          </w:p>
          <w:p w:rsidR="005A63D1" w:rsidRDefault="00DB5899" w14:paraId="00000046" w14:textId="77777777">
            <w:pPr>
              <w:pStyle w:val="Normal2"/>
              <w:spacing w:after="0"/>
              <w:ind w:left="0" w:firstLine="0"/>
              <w:rPr>
                <w:sz w:val="21"/>
                <w:szCs w:val="21"/>
              </w:rPr>
            </w:pPr>
            <w:r>
              <w:rPr>
                <w:sz w:val="21"/>
                <w:szCs w:val="21"/>
              </w:rPr>
              <w:t>Resubmission (final version): 31</w:t>
            </w:r>
            <w:r>
              <w:rPr>
                <w:sz w:val="21"/>
                <w:szCs w:val="21"/>
                <w:vertAlign w:val="superscript"/>
              </w:rPr>
              <w:t>st</w:t>
            </w:r>
            <w:r>
              <w:rPr>
                <w:sz w:val="21"/>
                <w:szCs w:val="21"/>
              </w:rPr>
              <w:t xml:space="preserve"> May 2024</w:t>
            </w:r>
          </w:p>
        </w:tc>
      </w:tr>
      <w:tr w:rsidR="005A63D1" w:rsidTr="447DE725" w14:paraId="1AF1DB3D" w14:textId="77777777">
        <w:trPr>
          <w:trHeight w:val="409"/>
        </w:trPr>
        <w:tc>
          <w:tcPr>
            <w:tcW w:w="9600" w:type="dxa"/>
            <w:gridSpan w:val="4"/>
            <w:tcMar/>
          </w:tcPr>
          <w:p w:rsidR="005A63D1" w:rsidRDefault="00DB5899" w14:paraId="0000004A" w14:textId="77777777">
            <w:pPr>
              <w:pStyle w:val="Normal2"/>
              <w:spacing w:after="0"/>
              <w:ind w:left="0" w:firstLine="0"/>
              <w:rPr>
                <w:sz w:val="20"/>
                <w:szCs w:val="20"/>
              </w:rPr>
            </w:pPr>
            <w:r>
              <w:rPr>
                <w:b/>
                <w:sz w:val="20"/>
                <w:szCs w:val="20"/>
              </w:rPr>
              <w:t>CI-GEF/GCF Comments</w:t>
            </w:r>
            <w:r>
              <w:rPr>
                <w:sz w:val="20"/>
                <w:szCs w:val="20"/>
              </w:rPr>
              <w:t xml:space="preserve">: </w:t>
            </w:r>
          </w:p>
          <w:p w:rsidR="005A63D1" w:rsidRDefault="005A63D1" w14:paraId="0000004B" w14:textId="77777777">
            <w:pPr>
              <w:pStyle w:val="Normal2"/>
              <w:spacing w:after="0"/>
              <w:ind w:left="0" w:firstLine="0"/>
              <w:rPr>
                <w:sz w:val="20"/>
                <w:szCs w:val="20"/>
              </w:rPr>
            </w:pPr>
          </w:p>
          <w:p w:rsidR="005A63D1" w:rsidRDefault="005A63D1" w14:paraId="0000004C" w14:textId="77777777">
            <w:pPr>
              <w:pStyle w:val="Normal2"/>
              <w:spacing w:after="0"/>
              <w:ind w:left="0" w:firstLine="0"/>
              <w:rPr>
                <w:sz w:val="20"/>
                <w:szCs w:val="20"/>
              </w:rPr>
            </w:pPr>
          </w:p>
        </w:tc>
      </w:tr>
    </w:tbl>
    <w:p w:rsidR="005A63D1" w:rsidRDefault="00DB5899" w14:paraId="00000050" w14:textId="77777777">
      <w:pPr>
        <w:pStyle w:val="Normal2"/>
        <w:ind w:left="0" w:firstLine="0"/>
      </w:pPr>
      <w:r>
        <w:br w:type="page"/>
      </w:r>
    </w:p>
    <w:tbl>
      <w:tblPr>
        <w:tblStyle w:val="affd"/>
        <w:tblpPr w:leftFromText="180" w:rightFromText="180" w:vertAnchor="text" w:tblpX="-390" w:tblpY="341"/>
        <w:tblW w:w="10185" w:type="dxa"/>
        <w:tblInd w:w="0"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Layout w:type="fixed"/>
        <w:tblLook w:val="0000" w:firstRow="0" w:lastRow="0" w:firstColumn="0" w:lastColumn="0" w:noHBand="0" w:noVBand="0"/>
      </w:tblPr>
      <w:tblGrid>
        <w:gridCol w:w="10185"/>
      </w:tblGrid>
      <w:tr w:rsidR="005A63D1" w14:paraId="05DF44BD" w14:textId="77777777">
        <w:trPr>
          <w:trHeight w:val="199"/>
        </w:trPr>
        <w:tc>
          <w:tcPr>
            <w:tcW w:w="10185" w:type="dxa"/>
            <w:shd w:val="clear" w:color="auto" w:fill="767171"/>
          </w:tcPr>
          <w:p w:rsidR="005A63D1" w:rsidRDefault="00DB5899" w14:paraId="00000051" w14:textId="77777777">
            <w:pPr>
              <w:pStyle w:val="Normal2"/>
              <w:spacing w:after="0"/>
              <w:ind w:left="90" w:firstLine="0"/>
              <w:jc w:val="center"/>
              <w:rPr>
                <w:rFonts w:cs="Calibri"/>
                <w:color w:val="FFFFFF"/>
                <w:sz w:val="24"/>
                <w:szCs w:val="24"/>
              </w:rPr>
            </w:pPr>
            <w:r>
              <w:rPr>
                <w:rFonts w:cs="Calibri"/>
                <w:b/>
                <w:color w:val="FFFFFF"/>
                <w:sz w:val="24"/>
                <w:szCs w:val="24"/>
              </w:rPr>
              <w:t>II. PROJECT CONTEXT</w:t>
            </w:r>
          </w:p>
        </w:tc>
      </w:tr>
      <w:tr w:rsidR="005A63D1" w14:paraId="10017ED8" w14:textId="77777777">
        <w:trPr>
          <w:trHeight w:val="20"/>
        </w:trPr>
        <w:tc>
          <w:tcPr>
            <w:tcW w:w="10185" w:type="dxa"/>
          </w:tcPr>
          <w:p w:rsidR="005A63D1" w:rsidRDefault="00DB5899" w14:paraId="00000052" w14:textId="77777777">
            <w:pPr>
              <w:pStyle w:val="Normal2"/>
              <w:spacing w:after="40"/>
              <w:ind w:left="90" w:firstLine="0"/>
              <w:rPr>
                <w:sz w:val="20"/>
                <w:szCs w:val="20"/>
              </w:rPr>
            </w:pPr>
            <w:r>
              <w:rPr>
                <w:rFonts w:cs="Calibri"/>
                <w:b/>
                <w:sz w:val="20"/>
                <w:szCs w:val="20"/>
              </w:rPr>
              <w:t>Project Location</w:t>
            </w:r>
            <w:r>
              <w:rPr>
                <w:rFonts w:cs="Calibri"/>
                <w:sz w:val="20"/>
                <w:szCs w:val="20"/>
              </w:rPr>
              <w:t xml:space="preserve"> </w:t>
            </w:r>
          </w:p>
          <w:p w:rsidR="005A63D1" w:rsidRDefault="00DB5899" w14:paraId="00000053" w14:textId="77777777">
            <w:pPr>
              <w:pStyle w:val="Normal2"/>
              <w:numPr>
                <w:ilvl w:val="0"/>
                <w:numId w:val="3"/>
              </w:numPr>
              <w:spacing w:after="0"/>
              <w:ind w:left="566"/>
              <w:rPr>
                <w:rFonts w:cs="Calibri"/>
                <w:i/>
                <w:color w:val="1C4587"/>
                <w:sz w:val="20"/>
                <w:szCs w:val="20"/>
              </w:rPr>
            </w:pPr>
            <w:r>
              <w:rPr>
                <w:i/>
                <w:color w:val="1C4587"/>
                <w:sz w:val="20"/>
                <w:szCs w:val="20"/>
              </w:rPr>
              <w:t xml:space="preserve">Indicate where the project will take place AND provide a legible map highlighting the project intervention areas, towns/communities/indigenous territories, protected areas, and main rivers/watersheds): </w:t>
            </w:r>
          </w:p>
          <w:p w:rsidR="005A63D1" w:rsidRDefault="005A63D1" w14:paraId="00000054" w14:textId="77777777">
            <w:pPr>
              <w:pStyle w:val="Normal2"/>
              <w:spacing w:after="0"/>
              <w:rPr>
                <w:sz w:val="20"/>
                <w:szCs w:val="20"/>
              </w:rPr>
            </w:pPr>
          </w:p>
          <w:p w:rsidR="005A63D1" w:rsidRDefault="00DB5899" w14:paraId="00000055" w14:textId="77777777">
            <w:pPr>
              <w:pStyle w:val="Normal2"/>
              <w:spacing w:after="200"/>
              <w:ind w:left="0" w:firstLine="0"/>
              <w:jc w:val="both"/>
              <w:rPr>
                <w:sz w:val="20"/>
                <w:szCs w:val="20"/>
              </w:rPr>
            </w:pPr>
            <w:r>
              <w:rPr>
                <w:sz w:val="21"/>
                <w:szCs w:val="21"/>
              </w:rPr>
              <w:t>The project will be implemented in and around 11 Protected Areas (PAs) in the Marine Corridor (Corredor Marino or CMAR) of the central Eastern Tropical Pacific Seascape, which is found in the Pacific waters and islands of Ecuador, Costa Rica, Colombia, and Panama, with a total area of around 62,500,000 ha. The following map shows the CMAR marine protected areas (MPAs), divided by country (or exclusive economic zone) as well as showing the main connectivity (migration) routes.</w:t>
            </w:r>
          </w:p>
          <w:p w:rsidR="005A63D1" w:rsidRDefault="00DB5899" w14:paraId="00000056" w14:textId="77777777">
            <w:pPr>
              <w:pStyle w:val="Normal2"/>
              <w:ind w:left="90" w:firstLine="0"/>
              <w:jc w:val="both"/>
            </w:pPr>
            <w:r>
              <w:t xml:space="preserve">      </w:t>
            </w:r>
            <w:r>
              <w:rPr>
                <w:noProof/>
              </w:rPr>
              <w:drawing>
                <wp:inline distT="0" distB="0" distL="0" distR="0" wp14:anchorId="507FB399" wp14:editId="07777777">
                  <wp:extent cx="5741520" cy="3815717"/>
                  <wp:effectExtent l="0" t="0" r="0" b="0"/>
                  <wp:docPr id="3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5741520" cy="3815717"/>
                          </a:xfrm>
                          <a:prstGeom prst="rect">
                            <a:avLst/>
                          </a:prstGeom>
                          <a:ln/>
                        </pic:spPr>
                      </pic:pic>
                    </a:graphicData>
                  </a:graphic>
                </wp:inline>
              </w:drawing>
            </w:r>
          </w:p>
          <w:p w:rsidR="005A63D1" w:rsidRDefault="00DB5899" w14:paraId="00000057" w14:textId="77777777">
            <w:pPr>
              <w:pStyle w:val="Normal2"/>
              <w:ind w:left="90" w:firstLine="0"/>
              <w:jc w:val="center"/>
              <w:rPr>
                <w:sz w:val="20"/>
                <w:szCs w:val="20"/>
              </w:rPr>
            </w:pPr>
            <w:r>
              <w:rPr>
                <w:sz w:val="20"/>
                <w:szCs w:val="20"/>
              </w:rPr>
              <w:t>Figure 1. CMAR working sites</w:t>
            </w:r>
          </w:p>
          <w:p w:rsidR="005A63D1" w:rsidRDefault="00DB5899" w14:paraId="00000058" w14:textId="77777777">
            <w:pPr>
              <w:pStyle w:val="Normal2"/>
              <w:pBdr>
                <w:top w:val="nil"/>
                <w:left w:val="nil"/>
                <w:bottom w:val="nil"/>
                <w:right w:val="nil"/>
                <w:between w:val="nil"/>
              </w:pBdr>
              <w:spacing w:after="200"/>
              <w:ind w:left="0" w:firstLine="0"/>
              <w:jc w:val="both"/>
              <w:rPr>
                <w:sz w:val="21"/>
                <w:szCs w:val="21"/>
                <w:highlight w:val="yellow"/>
              </w:rPr>
            </w:pPr>
            <w:r>
              <w:rPr>
                <w:sz w:val="21"/>
                <w:szCs w:val="21"/>
              </w:rPr>
              <w:t>The 11 PAs can be divided into fully protected MPAs and multiple use areas (Figure 2), although fully protected MPAs might have small areas where use is still permitted</w:t>
            </w:r>
            <w:r>
              <w:rPr>
                <w:sz w:val="21"/>
                <w:szCs w:val="21"/>
                <w:vertAlign w:val="superscript"/>
              </w:rPr>
              <w:footnoteReference w:id="2"/>
            </w:r>
            <w:r>
              <w:rPr>
                <w:sz w:val="21"/>
                <w:szCs w:val="21"/>
              </w:rPr>
              <w:t>.</w:t>
            </w:r>
          </w:p>
          <w:p w:rsidR="005A63D1" w:rsidRDefault="00DB5899" w14:paraId="00000059" w14:textId="77777777">
            <w:pPr>
              <w:pStyle w:val="Normal2"/>
              <w:spacing w:after="200"/>
              <w:ind w:left="0" w:firstLine="0"/>
              <w:jc w:val="both"/>
              <w:rPr>
                <w:sz w:val="21"/>
                <w:szCs w:val="21"/>
              </w:rPr>
            </w:pPr>
            <w:r>
              <w:rPr>
                <w:sz w:val="21"/>
                <w:szCs w:val="21"/>
              </w:rPr>
              <w:t>The following table outlines the area (ha) of each CMAR fully protected MPAs, as well as the multiple use areas.</w:t>
            </w:r>
          </w:p>
          <w:p w:rsidR="005A63D1" w:rsidRDefault="00DB5899" w14:paraId="0000005A" w14:textId="77777777">
            <w:pPr>
              <w:pStyle w:val="Normal2"/>
              <w:spacing w:after="0"/>
              <w:ind w:firstLine="360"/>
              <w:jc w:val="center"/>
            </w:pPr>
            <w:r>
              <w:t xml:space="preserve"> </w:t>
            </w:r>
            <w:r>
              <w:rPr>
                <w:noProof/>
              </w:rPr>
              <w:drawing>
                <wp:inline distT="0" distB="0" distL="0" distR="0" wp14:anchorId="3BCEFA6A" wp14:editId="07777777">
                  <wp:extent cx="4780280" cy="3047748"/>
                  <wp:effectExtent l="0" t="0" r="0" b="0"/>
                  <wp:docPr id="3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l="6570" r="6659" b="3304"/>
                          <a:stretch>
                            <a:fillRect/>
                          </a:stretch>
                        </pic:blipFill>
                        <pic:spPr>
                          <a:xfrm>
                            <a:off x="0" y="0"/>
                            <a:ext cx="4780280" cy="3047748"/>
                          </a:xfrm>
                          <a:prstGeom prst="rect">
                            <a:avLst/>
                          </a:prstGeom>
                          <a:ln/>
                        </pic:spPr>
                      </pic:pic>
                    </a:graphicData>
                  </a:graphic>
                </wp:inline>
              </w:drawing>
            </w:r>
          </w:p>
          <w:p w:rsidR="005A63D1" w:rsidRDefault="00DB5899" w14:paraId="0000005B" w14:textId="77777777">
            <w:pPr>
              <w:pStyle w:val="Normal2"/>
              <w:ind w:left="90" w:firstLine="0"/>
              <w:jc w:val="center"/>
            </w:pPr>
            <w:r>
              <w:rPr>
                <w:sz w:val="20"/>
                <w:szCs w:val="20"/>
              </w:rPr>
              <w:t>Figure 2. Fully protected and multiple use areas part of CMAR.</w:t>
            </w:r>
          </w:p>
          <w:p w:rsidR="005A63D1" w:rsidRDefault="00DB5899" w14:paraId="0000005C" w14:textId="77777777">
            <w:pPr>
              <w:pStyle w:val="Normal2"/>
              <w:spacing w:before="120"/>
              <w:ind w:left="0" w:firstLine="0"/>
              <w:jc w:val="both"/>
              <w:rPr>
                <w:sz w:val="21"/>
                <w:szCs w:val="21"/>
              </w:rPr>
            </w:pPr>
            <w:r>
              <w:rPr>
                <w:sz w:val="21"/>
                <w:szCs w:val="21"/>
              </w:rPr>
              <w:t xml:space="preserve">Due to the vastness of the PAs that make up the Central ETP, addressing the entirety of these areas is beyond the scope of any one project to address. Therefore, the </w:t>
            </w:r>
            <w:r>
              <w:rPr>
                <w:color w:val="262626"/>
                <w:sz w:val="21"/>
                <w:szCs w:val="21"/>
              </w:rPr>
              <w:t>Beyond 30x30 project</w:t>
            </w:r>
            <w:r>
              <w:rPr>
                <w:sz w:val="21"/>
                <w:szCs w:val="21"/>
              </w:rPr>
              <w:t xml:space="preserve"> proposes to directly impact the long-term resilience and conservation of at least 31,250,000 ha (50%) of the CMAR MPAs in the four countries including the five fully protected MPAs (with no-take zones) and the six multiuse areas, generating lessons learned and knowledge that can be replicated within the broader ETP and in other geographies. It intends to do this, through the following project components, associated outcomes, and outputs. </w:t>
            </w:r>
          </w:p>
          <w:p w:rsidR="005A63D1" w:rsidRDefault="00DB5899" w14:paraId="0000005D" w14:textId="77777777">
            <w:pPr>
              <w:pStyle w:val="Normal2"/>
              <w:spacing w:before="120"/>
              <w:ind w:left="0" w:firstLine="0"/>
              <w:jc w:val="both"/>
              <w:rPr>
                <w:sz w:val="21"/>
                <w:szCs w:val="21"/>
              </w:rPr>
            </w:pPr>
            <w:r>
              <w:rPr>
                <w:sz w:val="21"/>
                <w:szCs w:val="21"/>
              </w:rPr>
              <w:t>CMAR has not yet been officially delimited from a geographical or jurisdictional perspective. Based on current applicable legal frameworks, it is likely that the eventual delimitation of CMAR will only cover an area within the Exclusive Economic Zones (EEZs) of the respective member States, not the high seas pocket included in the proposed map (Figure 1). This is due to the absence of a regional or internationally agreed legal framework with the power to establish protected areas on the high seas (CMAR 2019</w:t>
            </w:r>
            <w:r>
              <w:rPr>
                <w:sz w:val="21"/>
                <w:szCs w:val="21"/>
              </w:rPr>
              <w:t>).</w:t>
            </w:r>
          </w:p>
          <w:p w:rsidR="005A63D1" w:rsidRDefault="00DB5899" w14:paraId="0000005E" w14:textId="77777777">
            <w:pPr>
              <w:pStyle w:val="Normal2"/>
              <w:spacing w:before="120"/>
              <w:ind w:left="0" w:firstLine="0"/>
              <w:jc w:val="both"/>
              <w:rPr>
                <w:rFonts w:cs="Calibri"/>
                <w:sz w:val="20"/>
                <w:szCs w:val="20"/>
              </w:rPr>
            </w:pPr>
            <w:r>
              <w:rPr>
                <w:sz w:val="21"/>
                <w:szCs w:val="21"/>
              </w:rPr>
              <w:t>With the exception of the Galapagos Archipelago islands, the CMAR project area is largely uninhabited by humans. Nonetheless, the MPAs in the region are recognised as an important economy for many communities along the Eastern Tropical Pacific Ocean (ETPO), and are transitory home and/or stop over sites for national governmental entities, tourists, researchers, and fishers. Among these communities or user groups are Afro-Colombian communities and possibly indigenous communities (to be confirmed in subsequen</w:t>
            </w:r>
            <w:r>
              <w:rPr>
                <w:sz w:val="21"/>
                <w:szCs w:val="21"/>
              </w:rPr>
              <w:t>t analysis).</w:t>
            </w:r>
          </w:p>
        </w:tc>
      </w:tr>
      <w:tr w:rsidR="005A63D1" w14:paraId="337370C0" w14:textId="77777777">
        <w:tc>
          <w:tcPr>
            <w:tcW w:w="10185" w:type="dxa"/>
          </w:tcPr>
          <w:p w:rsidR="005A63D1" w:rsidRDefault="00DB5899" w14:paraId="0000005F" w14:textId="77777777">
            <w:pPr>
              <w:pStyle w:val="Normal2"/>
              <w:spacing w:after="0"/>
              <w:ind w:left="90" w:firstLine="0"/>
              <w:rPr>
                <w:rFonts w:cs="Calibri"/>
                <w:sz w:val="20"/>
                <w:szCs w:val="20"/>
              </w:rPr>
            </w:pPr>
            <w:r>
              <w:rPr>
                <w:rFonts w:cs="Calibri"/>
                <w:b/>
                <w:sz w:val="20"/>
                <w:szCs w:val="20"/>
              </w:rPr>
              <w:t>Biological Context of Project Area</w:t>
            </w:r>
          </w:p>
          <w:p w:rsidR="005A63D1" w:rsidRDefault="00DB5899" w14:paraId="00000060" w14:textId="77777777">
            <w:pPr>
              <w:pStyle w:val="Normal2"/>
              <w:numPr>
                <w:ilvl w:val="0"/>
                <w:numId w:val="3"/>
              </w:numPr>
              <w:pBdr>
                <w:top w:val="nil"/>
                <w:left w:val="nil"/>
                <w:bottom w:val="nil"/>
                <w:right w:val="nil"/>
                <w:between w:val="nil"/>
              </w:pBdr>
              <w:spacing w:after="0"/>
              <w:ind w:left="566"/>
              <w:rPr>
                <w:rFonts w:cs="Calibri"/>
                <w:i/>
                <w:color w:val="1C4587"/>
                <w:sz w:val="20"/>
                <w:szCs w:val="20"/>
              </w:rPr>
            </w:pPr>
            <w:r>
              <w:rPr>
                <w:i/>
                <w:color w:val="1C4587"/>
                <w:sz w:val="20"/>
                <w:szCs w:val="20"/>
              </w:rPr>
              <w:t>Indicate global significance (e.g. biodiversity hotspot, Ramsar site, Key Biodiversity Area) of the project area.</w:t>
            </w:r>
          </w:p>
          <w:p w:rsidR="005A63D1" w:rsidRDefault="00DB5899" w14:paraId="00000061" w14:textId="77777777">
            <w:pPr>
              <w:pStyle w:val="Normal2"/>
              <w:numPr>
                <w:ilvl w:val="0"/>
                <w:numId w:val="3"/>
              </w:numPr>
              <w:pBdr>
                <w:top w:val="nil"/>
                <w:left w:val="nil"/>
                <w:bottom w:val="nil"/>
                <w:right w:val="nil"/>
                <w:between w:val="nil"/>
              </w:pBdr>
              <w:spacing w:after="0"/>
              <w:ind w:left="566"/>
              <w:rPr>
                <w:rFonts w:cs="Calibri"/>
                <w:i/>
                <w:color w:val="1C4587"/>
                <w:sz w:val="20"/>
                <w:szCs w:val="20"/>
              </w:rPr>
            </w:pPr>
            <w:r>
              <w:rPr>
                <w:i/>
                <w:color w:val="1C4587"/>
                <w:sz w:val="20"/>
                <w:szCs w:val="20"/>
              </w:rPr>
              <w:t>Identify endemic and IUCN Red Listed species.</w:t>
            </w:r>
          </w:p>
          <w:p w:rsidR="005A63D1" w:rsidRDefault="00DB5899" w14:paraId="00000062" w14:textId="77777777">
            <w:pPr>
              <w:pStyle w:val="Normal2"/>
              <w:numPr>
                <w:ilvl w:val="0"/>
                <w:numId w:val="3"/>
              </w:numPr>
              <w:pBdr>
                <w:top w:val="nil"/>
                <w:left w:val="nil"/>
                <w:bottom w:val="nil"/>
                <w:right w:val="nil"/>
                <w:between w:val="nil"/>
              </w:pBdr>
              <w:spacing w:after="0"/>
              <w:ind w:left="566"/>
              <w:rPr>
                <w:rFonts w:cs="Calibri"/>
                <w:i/>
                <w:color w:val="1C4587"/>
                <w:sz w:val="20"/>
                <w:szCs w:val="20"/>
              </w:rPr>
            </w:pPr>
            <w:r>
              <w:rPr>
                <w:i/>
                <w:color w:val="1C4587"/>
                <w:sz w:val="20"/>
                <w:szCs w:val="20"/>
              </w:rPr>
              <w:t>Describe the environmental conditions of the area including pollution, threats to biodiversity, and natural disasters.</w:t>
            </w:r>
          </w:p>
          <w:p w:rsidR="005A63D1" w:rsidRDefault="005A63D1" w14:paraId="00000063" w14:textId="77777777">
            <w:pPr>
              <w:pStyle w:val="Normal2"/>
              <w:pBdr>
                <w:top w:val="nil"/>
                <w:left w:val="nil"/>
                <w:bottom w:val="nil"/>
                <w:right w:val="nil"/>
                <w:between w:val="nil"/>
              </w:pBdr>
              <w:spacing w:after="0"/>
              <w:ind w:left="0" w:firstLine="0"/>
              <w:rPr>
                <w:i/>
                <w:color w:val="1C4587"/>
                <w:sz w:val="20"/>
                <w:szCs w:val="20"/>
              </w:rPr>
            </w:pPr>
          </w:p>
          <w:p w:rsidR="005A63D1" w:rsidRDefault="00DB5899" w14:paraId="00000064" w14:textId="77777777">
            <w:pPr>
              <w:pStyle w:val="Normal2"/>
              <w:ind w:left="0" w:firstLine="0"/>
              <w:jc w:val="both"/>
              <w:rPr>
                <w:sz w:val="21"/>
                <w:szCs w:val="21"/>
              </w:rPr>
            </w:pPr>
            <w:r>
              <w:rPr>
                <w:sz w:val="21"/>
                <w:szCs w:val="21"/>
              </w:rPr>
              <w:t>With its 2.1 billion hectares (ha) spanning from Mexico to Peru, the Eastern Tropical Pacific (ETP) is one of the most biodiverse and productive ocean areas on Earth. The Eastern Tropical Marine Corridor is one of the world’s densest clusters of marine World Heritage Sites (NOAA n.d.). The Central ETP includes coastal sections of the Pacific Central American Coastal Large Marine Ecosystem (LME) that extend along the Pacific Coast from Mexico to Ecuador. Approximately 1.42% of this LME is protected</w:t>
            </w:r>
            <w:r>
              <w:rPr>
                <w:sz w:val="21"/>
                <w:szCs w:val="21"/>
                <w:vertAlign w:val="superscript"/>
              </w:rPr>
              <w:footnoteReference w:id="3"/>
            </w:r>
            <w:r>
              <w:rPr>
                <w:sz w:val="21"/>
                <w:szCs w:val="21"/>
              </w:rPr>
              <w:t>, and includes 0.22% of the world’s coral reefs and 0.78% of the world’s seamounts. Much of the Pacific Central American Coastal LME is influenced by seasonal movements of the Inter-tropical Convergence Zone (Bakun et al. 1999). Extreme ocean depths are reached close to the coast due to a narrow and steep continental shelf. The area contains six marine ecoregions: Nicoya has a wide continental shelf and extensive coral area that serves as a fish breeding area; the Panama Bight is known for its extensive ree</w:t>
            </w:r>
            <w:r>
              <w:rPr>
                <w:sz w:val="21"/>
                <w:szCs w:val="21"/>
              </w:rPr>
              <w:t>fs, high productivity and an annual arrival of humpback whales; Cocos Island harbors the most diverse coral reef ecosystems of the ETP and is a popular diving destination; and the Northern, Eastern Galapagos, and Western Galapagos ecoregions are differentiated by their various water temperatures and habitats caused by ocean currents that circulate through the area (Sealey and Bustamante 1999).</w:t>
            </w:r>
          </w:p>
          <w:p w:rsidR="005A63D1" w:rsidRDefault="005A63D1" w14:paraId="00000065" w14:textId="77777777">
            <w:pPr>
              <w:pStyle w:val="Normal2"/>
              <w:spacing w:after="0"/>
              <w:ind w:left="0" w:firstLine="0"/>
              <w:jc w:val="both"/>
            </w:pPr>
          </w:p>
          <w:p w:rsidR="005A63D1" w:rsidRDefault="00DB5899" w14:paraId="00000066" w14:textId="77777777">
            <w:pPr>
              <w:pStyle w:val="Normal2"/>
              <w:ind w:left="850" w:firstLine="0"/>
              <w:jc w:val="both"/>
              <w:rPr>
                <w:sz w:val="20"/>
                <w:szCs w:val="20"/>
              </w:rPr>
            </w:pPr>
            <w:r>
              <w:rPr>
                <w:sz w:val="20"/>
                <w:szCs w:val="20"/>
              </w:rPr>
              <w:t>Table 1: MPAs and their IUCN Category (Source: GEF (2023). GEF-8 Project Identification Form (PIF))</w:t>
            </w:r>
          </w:p>
          <w:tbl>
            <w:tblPr>
              <w:tblStyle w:val="affe"/>
              <w:tblW w:w="8100"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4155"/>
              <w:gridCol w:w="2100"/>
              <w:gridCol w:w="1845"/>
            </w:tblGrid>
            <w:tr w:rsidR="005A63D1" w14:paraId="30EF1123" w14:textId="77777777">
              <w:trPr>
                <w:jc w:val="center"/>
              </w:trPr>
              <w:tc>
                <w:tcPr>
                  <w:tcW w:w="4155" w:type="dxa"/>
                  <w:shd w:val="clear" w:color="auto" w:fill="D0E0E3"/>
                  <w:tcMar>
                    <w:top w:w="100" w:type="dxa"/>
                    <w:left w:w="100" w:type="dxa"/>
                    <w:bottom w:w="100" w:type="dxa"/>
                    <w:right w:w="100" w:type="dxa"/>
                  </w:tcMar>
                </w:tcPr>
                <w:p w:rsidR="005A63D1" w:rsidRDefault="00DB5899" w14:paraId="00000067" w14:textId="77777777">
                  <w:pPr>
                    <w:pStyle w:val="Normal2"/>
                    <w:framePr w:hSpace="180" w:wrap="around" w:hAnchor="text" w:vAnchor="text" w:x="-390" w:y="341"/>
                    <w:widowControl w:val="0"/>
                    <w:pBdr>
                      <w:top w:val="nil"/>
                      <w:left w:val="nil"/>
                      <w:bottom w:val="nil"/>
                      <w:right w:val="nil"/>
                      <w:between w:val="nil"/>
                    </w:pBdr>
                    <w:spacing w:after="0"/>
                    <w:ind w:left="0" w:firstLine="0"/>
                    <w:jc w:val="center"/>
                    <w:rPr>
                      <w:b/>
                    </w:rPr>
                  </w:pPr>
                  <w:r>
                    <w:rPr>
                      <w:b/>
                    </w:rPr>
                    <w:t xml:space="preserve">Area </w:t>
                  </w:r>
                </w:p>
              </w:tc>
              <w:tc>
                <w:tcPr>
                  <w:tcW w:w="2100" w:type="dxa"/>
                  <w:shd w:val="clear" w:color="auto" w:fill="D0E0E3"/>
                  <w:tcMar>
                    <w:top w:w="100" w:type="dxa"/>
                    <w:left w:w="100" w:type="dxa"/>
                    <w:bottom w:w="100" w:type="dxa"/>
                    <w:right w:w="100" w:type="dxa"/>
                  </w:tcMar>
                </w:tcPr>
                <w:p w:rsidR="005A63D1" w:rsidRDefault="00DB5899" w14:paraId="00000068" w14:textId="77777777">
                  <w:pPr>
                    <w:pStyle w:val="Normal2"/>
                    <w:framePr w:hSpace="180" w:wrap="around" w:hAnchor="text" w:vAnchor="text" w:x="-390" w:y="341"/>
                    <w:widowControl w:val="0"/>
                    <w:pBdr>
                      <w:top w:val="nil"/>
                      <w:left w:val="nil"/>
                      <w:bottom w:val="nil"/>
                      <w:right w:val="nil"/>
                      <w:between w:val="nil"/>
                    </w:pBdr>
                    <w:spacing w:after="0"/>
                    <w:ind w:left="0" w:firstLine="0"/>
                    <w:jc w:val="center"/>
                    <w:rPr>
                      <w:b/>
                    </w:rPr>
                  </w:pPr>
                  <w:r>
                    <w:rPr>
                      <w:b/>
                    </w:rPr>
                    <w:t>Country</w:t>
                  </w:r>
                </w:p>
              </w:tc>
              <w:tc>
                <w:tcPr>
                  <w:tcW w:w="1845" w:type="dxa"/>
                  <w:shd w:val="clear" w:color="auto" w:fill="D0E0E3"/>
                  <w:tcMar>
                    <w:top w:w="100" w:type="dxa"/>
                    <w:left w:w="100" w:type="dxa"/>
                    <w:bottom w:w="100" w:type="dxa"/>
                    <w:right w:w="100" w:type="dxa"/>
                  </w:tcMar>
                </w:tcPr>
                <w:p w:rsidR="005A63D1" w:rsidRDefault="00DB5899" w14:paraId="00000069" w14:textId="77777777">
                  <w:pPr>
                    <w:pStyle w:val="Normal2"/>
                    <w:framePr w:hSpace="180" w:wrap="around" w:hAnchor="text" w:vAnchor="text" w:x="-390" w:y="341"/>
                    <w:widowControl w:val="0"/>
                    <w:pBdr>
                      <w:top w:val="nil"/>
                      <w:left w:val="nil"/>
                      <w:bottom w:val="nil"/>
                      <w:right w:val="nil"/>
                      <w:between w:val="nil"/>
                    </w:pBdr>
                    <w:spacing w:after="0"/>
                    <w:ind w:left="0" w:firstLine="0"/>
                    <w:jc w:val="center"/>
                    <w:rPr>
                      <w:b/>
                    </w:rPr>
                  </w:pPr>
                  <w:r>
                    <w:rPr>
                      <w:b/>
                    </w:rPr>
                    <w:t>IUCN Category</w:t>
                  </w:r>
                </w:p>
              </w:tc>
            </w:tr>
            <w:tr w:rsidR="005A63D1" w14:paraId="071C1DA0" w14:textId="77777777">
              <w:trPr>
                <w:jc w:val="center"/>
              </w:trPr>
              <w:tc>
                <w:tcPr>
                  <w:tcW w:w="4155"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6A" w14:textId="77777777">
                  <w:pPr>
                    <w:pStyle w:val="Normal2"/>
                    <w:framePr w:hSpace="180" w:wrap="around" w:hAnchor="text" w:vAnchor="text" w:x="-390" w:y="341"/>
                    <w:spacing w:after="0"/>
                    <w:ind w:left="141" w:firstLine="0"/>
                    <w:rPr>
                      <w:sz w:val="20"/>
                      <w:szCs w:val="20"/>
                    </w:rPr>
                  </w:pPr>
                  <w:r>
                    <w:rPr>
                      <w:sz w:val="20"/>
                      <w:szCs w:val="20"/>
                    </w:rPr>
                    <w:t>Galapagos National Park</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6B" w14:textId="77777777">
                  <w:pPr>
                    <w:pStyle w:val="Normal2"/>
                    <w:framePr w:hSpace="180" w:wrap="around" w:hAnchor="text" w:vAnchor="text" w:x="-390" w:y="341"/>
                    <w:spacing w:after="0"/>
                    <w:ind w:left="0" w:firstLine="0"/>
                    <w:jc w:val="center"/>
                    <w:rPr>
                      <w:sz w:val="20"/>
                      <w:szCs w:val="20"/>
                    </w:rPr>
                  </w:pPr>
                  <w:r>
                    <w:rPr>
                      <w:sz w:val="20"/>
                      <w:szCs w:val="20"/>
                    </w:rPr>
                    <w:t>Ecuador</w:t>
                  </w:r>
                </w:p>
              </w:tc>
              <w:tc>
                <w:tcPr>
                  <w:tcW w:w="1845" w:type="dxa"/>
                  <w:tcBorders>
                    <w:top w:val="single" w:color="000000" w:sz="4" w:space="0"/>
                    <w:left w:val="single" w:color="000000" w:sz="4" w:space="0"/>
                    <w:bottom w:val="single" w:color="000000" w:sz="4" w:space="0"/>
                    <w:right w:val="single" w:color="000000" w:sz="4" w:space="0"/>
                  </w:tcBorders>
                  <w:tcMar>
                    <w:top w:w="51" w:type="dxa"/>
                    <w:left w:w="51" w:type="dxa"/>
                    <w:bottom w:w="51" w:type="dxa"/>
                    <w:right w:w="51" w:type="dxa"/>
                  </w:tcMar>
                </w:tcPr>
                <w:p w:rsidR="005A63D1" w:rsidRDefault="00DB5899" w14:paraId="0000006C" w14:textId="77777777">
                  <w:pPr>
                    <w:pStyle w:val="Normal2"/>
                    <w:framePr w:hSpace="180" w:wrap="around" w:hAnchor="text" w:vAnchor="text" w:x="-390" w:y="341"/>
                    <w:spacing w:after="0"/>
                    <w:ind w:left="-419" w:firstLine="270"/>
                    <w:jc w:val="center"/>
                    <w:rPr>
                      <w:sz w:val="20"/>
                      <w:szCs w:val="20"/>
                    </w:rPr>
                  </w:pPr>
                  <w:r>
                    <w:rPr>
                      <w:sz w:val="20"/>
                      <w:szCs w:val="20"/>
                    </w:rPr>
                    <w:t>II</w:t>
                  </w:r>
                </w:p>
              </w:tc>
            </w:tr>
            <w:tr w:rsidR="005A63D1" w14:paraId="646E9160" w14:textId="77777777">
              <w:trPr>
                <w:jc w:val="center"/>
              </w:trPr>
              <w:tc>
                <w:tcPr>
                  <w:tcW w:w="4155"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6D" w14:textId="77777777">
                  <w:pPr>
                    <w:pStyle w:val="Normal2"/>
                    <w:framePr w:hSpace="180" w:wrap="around" w:hAnchor="text" w:vAnchor="text" w:x="-390" w:y="341"/>
                    <w:spacing w:after="0"/>
                    <w:ind w:left="141" w:firstLine="0"/>
                    <w:rPr>
                      <w:sz w:val="20"/>
                      <w:szCs w:val="20"/>
                    </w:rPr>
                  </w:pPr>
                  <w:r>
                    <w:rPr>
                      <w:sz w:val="20"/>
                      <w:szCs w:val="20"/>
                    </w:rPr>
                    <w:t>Isla del Coco National Park</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6E" w14:textId="77777777">
                  <w:pPr>
                    <w:pStyle w:val="Normal2"/>
                    <w:framePr w:hSpace="180" w:wrap="around" w:hAnchor="text" w:vAnchor="text" w:x="-390" w:y="341"/>
                    <w:spacing w:after="0"/>
                    <w:ind w:left="0" w:firstLine="0"/>
                    <w:jc w:val="center"/>
                    <w:rPr>
                      <w:sz w:val="20"/>
                      <w:szCs w:val="20"/>
                    </w:rPr>
                  </w:pPr>
                  <w:r>
                    <w:rPr>
                      <w:sz w:val="20"/>
                      <w:szCs w:val="20"/>
                    </w:rPr>
                    <w:t>Costa Rica</w:t>
                  </w:r>
                </w:p>
              </w:tc>
              <w:tc>
                <w:tcPr>
                  <w:tcW w:w="1845" w:type="dxa"/>
                  <w:tcBorders>
                    <w:top w:val="single" w:color="000000" w:sz="4" w:space="0"/>
                    <w:left w:val="single" w:color="000000" w:sz="4" w:space="0"/>
                    <w:bottom w:val="single" w:color="000000" w:sz="4" w:space="0"/>
                    <w:right w:val="single" w:color="000000" w:sz="4" w:space="0"/>
                  </w:tcBorders>
                  <w:tcMar>
                    <w:top w:w="51" w:type="dxa"/>
                    <w:left w:w="51" w:type="dxa"/>
                    <w:bottom w:w="51" w:type="dxa"/>
                    <w:right w:w="51" w:type="dxa"/>
                  </w:tcMar>
                </w:tcPr>
                <w:p w:rsidR="005A63D1" w:rsidRDefault="00DB5899" w14:paraId="0000006F" w14:textId="77777777">
                  <w:pPr>
                    <w:pStyle w:val="Normal2"/>
                    <w:framePr w:hSpace="180" w:wrap="around" w:hAnchor="text" w:vAnchor="text" w:x="-390" w:y="341"/>
                    <w:spacing w:after="0"/>
                    <w:ind w:left="-149" w:firstLine="0"/>
                    <w:jc w:val="center"/>
                    <w:rPr>
                      <w:sz w:val="20"/>
                      <w:szCs w:val="20"/>
                    </w:rPr>
                  </w:pPr>
                  <w:r>
                    <w:rPr>
                      <w:sz w:val="20"/>
                      <w:szCs w:val="20"/>
                    </w:rPr>
                    <w:t>II</w:t>
                  </w:r>
                </w:p>
              </w:tc>
            </w:tr>
            <w:tr w:rsidR="005A63D1" w14:paraId="6DD66CD1" w14:textId="77777777">
              <w:trPr>
                <w:jc w:val="center"/>
              </w:trPr>
              <w:tc>
                <w:tcPr>
                  <w:tcW w:w="4155"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70" w14:textId="77777777">
                  <w:pPr>
                    <w:pStyle w:val="Normal2"/>
                    <w:framePr w:hSpace="180" w:wrap="around" w:hAnchor="text" w:vAnchor="text" w:x="-390" w:y="341"/>
                    <w:spacing w:after="0"/>
                    <w:ind w:left="141" w:firstLine="0"/>
                    <w:rPr>
                      <w:sz w:val="20"/>
                      <w:szCs w:val="20"/>
                    </w:rPr>
                  </w:pPr>
                  <w:r>
                    <w:rPr>
                      <w:sz w:val="20"/>
                      <w:szCs w:val="20"/>
                    </w:rPr>
                    <w:t>Gorgona National Natural Park</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71" w14:textId="77777777">
                  <w:pPr>
                    <w:pStyle w:val="Normal2"/>
                    <w:framePr w:hSpace="180" w:wrap="around" w:hAnchor="text" w:vAnchor="text" w:x="-390" w:y="341"/>
                    <w:spacing w:after="0"/>
                    <w:ind w:left="0" w:firstLine="0"/>
                    <w:jc w:val="center"/>
                    <w:rPr>
                      <w:sz w:val="20"/>
                      <w:szCs w:val="20"/>
                    </w:rPr>
                  </w:pPr>
                  <w:r>
                    <w:rPr>
                      <w:sz w:val="20"/>
                      <w:szCs w:val="20"/>
                    </w:rPr>
                    <w:t>Colombia</w:t>
                  </w:r>
                </w:p>
              </w:tc>
              <w:tc>
                <w:tcPr>
                  <w:tcW w:w="1845" w:type="dxa"/>
                  <w:tcBorders>
                    <w:top w:val="single" w:color="000000" w:sz="4" w:space="0"/>
                    <w:left w:val="single" w:color="000000" w:sz="4" w:space="0"/>
                    <w:bottom w:val="single" w:color="000000" w:sz="4" w:space="0"/>
                    <w:right w:val="single" w:color="000000" w:sz="4" w:space="0"/>
                  </w:tcBorders>
                  <w:tcMar>
                    <w:top w:w="51" w:type="dxa"/>
                    <w:left w:w="51" w:type="dxa"/>
                    <w:bottom w:w="51" w:type="dxa"/>
                    <w:right w:w="51" w:type="dxa"/>
                  </w:tcMar>
                </w:tcPr>
                <w:p w:rsidR="005A63D1" w:rsidRDefault="00DB5899" w14:paraId="00000072" w14:textId="77777777">
                  <w:pPr>
                    <w:pStyle w:val="Normal2"/>
                    <w:framePr w:hSpace="180" w:wrap="around" w:hAnchor="text" w:vAnchor="text" w:x="-390" w:y="341"/>
                    <w:spacing w:after="0"/>
                    <w:ind w:left="-149" w:firstLine="0"/>
                    <w:jc w:val="center"/>
                    <w:rPr>
                      <w:sz w:val="20"/>
                      <w:szCs w:val="20"/>
                    </w:rPr>
                  </w:pPr>
                  <w:r>
                    <w:rPr>
                      <w:sz w:val="20"/>
                      <w:szCs w:val="20"/>
                    </w:rPr>
                    <w:t>II</w:t>
                  </w:r>
                </w:p>
              </w:tc>
            </w:tr>
            <w:tr w:rsidR="005A63D1" w14:paraId="45C7EA32" w14:textId="77777777">
              <w:trPr>
                <w:jc w:val="center"/>
              </w:trPr>
              <w:tc>
                <w:tcPr>
                  <w:tcW w:w="4155"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73" w14:textId="77777777">
                  <w:pPr>
                    <w:pStyle w:val="Normal2"/>
                    <w:framePr w:hSpace="180" w:wrap="around" w:hAnchor="text" w:vAnchor="text" w:x="-390" w:y="341"/>
                    <w:spacing w:after="0"/>
                    <w:ind w:left="141" w:firstLine="0"/>
                    <w:rPr>
                      <w:sz w:val="20"/>
                      <w:szCs w:val="20"/>
                    </w:rPr>
                  </w:pPr>
                  <w:r>
                    <w:rPr>
                      <w:sz w:val="20"/>
                      <w:szCs w:val="20"/>
                    </w:rPr>
                    <w:t>Malpelo Fauna and Flora Marine Sanctuary</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74" w14:textId="77777777">
                  <w:pPr>
                    <w:pStyle w:val="Normal2"/>
                    <w:framePr w:hSpace="180" w:wrap="around" w:hAnchor="text" w:vAnchor="text" w:x="-390" w:y="341"/>
                    <w:spacing w:after="0"/>
                    <w:ind w:left="0" w:firstLine="0"/>
                    <w:jc w:val="center"/>
                    <w:rPr>
                      <w:sz w:val="20"/>
                      <w:szCs w:val="20"/>
                    </w:rPr>
                  </w:pPr>
                  <w:r>
                    <w:rPr>
                      <w:sz w:val="20"/>
                      <w:szCs w:val="20"/>
                    </w:rPr>
                    <w:t>Colombia</w:t>
                  </w:r>
                </w:p>
              </w:tc>
              <w:tc>
                <w:tcPr>
                  <w:tcW w:w="1845" w:type="dxa"/>
                  <w:tcBorders>
                    <w:top w:val="single" w:color="000000" w:sz="4" w:space="0"/>
                    <w:left w:val="single" w:color="000000" w:sz="4" w:space="0"/>
                    <w:bottom w:val="single" w:color="000000" w:sz="4" w:space="0"/>
                    <w:right w:val="single" w:color="000000" w:sz="4" w:space="0"/>
                  </w:tcBorders>
                  <w:tcMar>
                    <w:top w:w="51" w:type="dxa"/>
                    <w:left w:w="51" w:type="dxa"/>
                    <w:bottom w:w="51" w:type="dxa"/>
                    <w:right w:w="51" w:type="dxa"/>
                  </w:tcMar>
                </w:tcPr>
                <w:p w:rsidR="005A63D1" w:rsidRDefault="00DB5899" w14:paraId="00000075" w14:textId="77777777">
                  <w:pPr>
                    <w:pStyle w:val="Normal2"/>
                    <w:framePr w:hSpace="180" w:wrap="around" w:hAnchor="text" w:vAnchor="text" w:x="-390" w:y="341"/>
                    <w:spacing w:after="0"/>
                    <w:ind w:left="-149" w:firstLine="0"/>
                    <w:jc w:val="center"/>
                    <w:rPr>
                      <w:sz w:val="20"/>
                      <w:szCs w:val="20"/>
                    </w:rPr>
                  </w:pPr>
                  <w:r>
                    <w:rPr>
                      <w:sz w:val="20"/>
                      <w:szCs w:val="20"/>
                    </w:rPr>
                    <w:t>IV</w:t>
                  </w:r>
                </w:p>
              </w:tc>
            </w:tr>
            <w:tr w:rsidR="005A63D1" w14:paraId="687FFDDB" w14:textId="77777777">
              <w:trPr>
                <w:jc w:val="center"/>
              </w:trPr>
              <w:tc>
                <w:tcPr>
                  <w:tcW w:w="4155"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76" w14:textId="77777777">
                  <w:pPr>
                    <w:pStyle w:val="Normal2"/>
                    <w:framePr w:hSpace="180" w:wrap="around" w:hAnchor="text" w:vAnchor="text" w:x="-390" w:y="341"/>
                    <w:spacing w:after="0"/>
                    <w:ind w:left="141" w:firstLine="0"/>
                    <w:rPr>
                      <w:sz w:val="20"/>
                      <w:szCs w:val="20"/>
                    </w:rPr>
                  </w:pPr>
                  <w:r>
                    <w:rPr>
                      <w:sz w:val="20"/>
                      <w:szCs w:val="20"/>
                    </w:rPr>
                    <w:t>Coiba National Park</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77" w14:textId="77777777">
                  <w:pPr>
                    <w:pStyle w:val="Normal2"/>
                    <w:framePr w:hSpace="180" w:wrap="around" w:hAnchor="text" w:vAnchor="text" w:x="-390" w:y="341"/>
                    <w:spacing w:after="0"/>
                    <w:ind w:left="0" w:firstLine="0"/>
                    <w:jc w:val="center"/>
                    <w:rPr>
                      <w:sz w:val="20"/>
                      <w:szCs w:val="20"/>
                    </w:rPr>
                  </w:pPr>
                  <w:r>
                    <w:rPr>
                      <w:sz w:val="20"/>
                      <w:szCs w:val="20"/>
                    </w:rPr>
                    <w:t>Panama</w:t>
                  </w:r>
                </w:p>
              </w:tc>
              <w:tc>
                <w:tcPr>
                  <w:tcW w:w="1845" w:type="dxa"/>
                  <w:tcBorders>
                    <w:top w:val="single" w:color="000000" w:sz="4" w:space="0"/>
                    <w:left w:val="single" w:color="000000" w:sz="4" w:space="0"/>
                    <w:bottom w:val="single" w:color="000000" w:sz="4" w:space="0"/>
                    <w:right w:val="single" w:color="000000" w:sz="4" w:space="0"/>
                  </w:tcBorders>
                  <w:tcMar>
                    <w:top w:w="51" w:type="dxa"/>
                    <w:left w:w="51" w:type="dxa"/>
                    <w:bottom w:w="51" w:type="dxa"/>
                    <w:right w:w="51" w:type="dxa"/>
                  </w:tcMar>
                </w:tcPr>
                <w:p w:rsidR="005A63D1" w:rsidRDefault="00DB5899" w14:paraId="00000078" w14:textId="77777777">
                  <w:pPr>
                    <w:pStyle w:val="Normal2"/>
                    <w:framePr w:hSpace="180" w:wrap="around" w:hAnchor="text" w:vAnchor="text" w:x="-390" w:y="341"/>
                    <w:spacing w:after="0"/>
                    <w:ind w:left="-149" w:firstLine="0"/>
                    <w:jc w:val="center"/>
                    <w:rPr>
                      <w:sz w:val="20"/>
                      <w:szCs w:val="20"/>
                    </w:rPr>
                  </w:pPr>
                  <w:r>
                    <w:rPr>
                      <w:sz w:val="20"/>
                      <w:szCs w:val="20"/>
                    </w:rPr>
                    <w:t>II</w:t>
                  </w:r>
                </w:p>
              </w:tc>
            </w:tr>
            <w:tr w:rsidR="005A63D1" w14:paraId="27AD6BEB" w14:textId="77777777">
              <w:trPr>
                <w:jc w:val="center"/>
              </w:trPr>
              <w:tc>
                <w:tcPr>
                  <w:tcW w:w="4155"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79" w14:textId="77777777">
                  <w:pPr>
                    <w:pStyle w:val="Normal2"/>
                    <w:framePr w:hSpace="180" w:wrap="around" w:hAnchor="text" w:vAnchor="text" w:x="-390" w:y="341"/>
                    <w:spacing w:after="0"/>
                    <w:ind w:left="141" w:firstLine="0"/>
                    <w:rPr>
                      <w:sz w:val="20"/>
                      <w:szCs w:val="20"/>
                    </w:rPr>
                  </w:pPr>
                  <w:r>
                    <w:rPr>
                      <w:sz w:val="20"/>
                      <w:szCs w:val="20"/>
                    </w:rPr>
                    <w:t>La Hermandad Marine Reserve</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7A" w14:textId="77777777">
                  <w:pPr>
                    <w:pStyle w:val="Normal2"/>
                    <w:framePr w:hSpace="180" w:wrap="around" w:hAnchor="text" w:vAnchor="text" w:x="-390" w:y="341"/>
                    <w:spacing w:after="0"/>
                    <w:ind w:left="0" w:firstLine="0"/>
                    <w:jc w:val="center"/>
                    <w:rPr>
                      <w:sz w:val="20"/>
                      <w:szCs w:val="20"/>
                    </w:rPr>
                  </w:pPr>
                  <w:r>
                    <w:rPr>
                      <w:sz w:val="20"/>
                      <w:szCs w:val="20"/>
                    </w:rPr>
                    <w:t>Ecuador</w:t>
                  </w:r>
                </w:p>
              </w:tc>
              <w:tc>
                <w:tcPr>
                  <w:tcW w:w="1845" w:type="dxa"/>
                  <w:tcBorders>
                    <w:top w:val="single" w:color="000000" w:sz="4" w:space="0"/>
                    <w:left w:val="single" w:color="000000" w:sz="4" w:space="0"/>
                    <w:bottom w:val="single" w:color="000000" w:sz="4" w:space="0"/>
                    <w:right w:val="single" w:color="000000" w:sz="4" w:space="0"/>
                  </w:tcBorders>
                  <w:tcMar>
                    <w:top w:w="51" w:type="dxa"/>
                    <w:left w:w="51" w:type="dxa"/>
                    <w:bottom w:w="51" w:type="dxa"/>
                    <w:right w:w="51" w:type="dxa"/>
                  </w:tcMar>
                </w:tcPr>
                <w:p w:rsidR="005A63D1" w:rsidRDefault="00DB5899" w14:paraId="0000007B" w14:textId="77777777">
                  <w:pPr>
                    <w:pStyle w:val="Normal2"/>
                    <w:framePr w:hSpace="180" w:wrap="around" w:hAnchor="text" w:vAnchor="text" w:x="-390" w:y="341"/>
                    <w:spacing w:after="0"/>
                    <w:ind w:left="-149" w:firstLine="0"/>
                    <w:jc w:val="center"/>
                    <w:rPr>
                      <w:sz w:val="20"/>
                      <w:szCs w:val="20"/>
                    </w:rPr>
                  </w:pPr>
                  <w:r>
                    <w:rPr>
                      <w:sz w:val="20"/>
                      <w:szCs w:val="20"/>
                    </w:rPr>
                    <w:t>V</w:t>
                  </w:r>
                </w:p>
              </w:tc>
            </w:tr>
            <w:tr w:rsidR="005A63D1" w14:paraId="71841928" w14:textId="77777777">
              <w:trPr>
                <w:jc w:val="center"/>
              </w:trPr>
              <w:tc>
                <w:tcPr>
                  <w:tcW w:w="4155"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7C" w14:textId="77777777">
                  <w:pPr>
                    <w:pStyle w:val="Normal2"/>
                    <w:framePr w:hSpace="180" w:wrap="around" w:hAnchor="text" w:vAnchor="text" w:x="-390" w:y="341"/>
                    <w:spacing w:after="0"/>
                    <w:ind w:left="141" w:firstLine="0"/>
                    <w:rPr>
                      <w:sz w:val="20"/>
                      <w:szCs w:val="20"/>
                    </w:rPr>
                  </w:pPr>
                  <w:r>
                    <w:rPr>
                      <w:sz w:val="20"/>
                      <w:szCs w:val="20"/>
                    </w:rPr>
                    <w:t>Galapagos Marine Reserve</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7D" w14:textId="77777777">
                  <w:pPr>
                    <w:pStyle w:val="Normal2"/>
                    <w:framePr w:hSpace="180" w:wrap="around" w:hAnchor="text" w:vAnchor="text" w:x="-390" w:y="341"/>
                    <w:spacing w:after="0"/>
                    <w:ind w:left="1" w:firstLine="0"/>
                    <w:jc w:val="center"/>
                    <w:rPr>
                      <w:sz w:val="20"/>
                      <w:szCs w:val="20"/>
                    </w:rPr>
                  </w:pPr>
                  <w:r>
                    <w:rPr>
                      <w:sz w:val="20"/>
                      <w:szCs w:val="20"/>
                    </w:rPr>
                    <w:t>Ecuador</w:t>
                  </w:r>
                </w:p>
              </w:tc>
              <w:tc>
                <w:tcPr>
                  <w:tcW w:w="1845" w:type="dxa"/>
                  <w:tcBorders>
                    <w:top w:val="single" w:color="000000" w:sz="4" w:space="0"/>
                    <w:left w:val="single" w:color="000000" w:sz="4" w:space="0"/>
                    <w:bottom w:val="single" w:color="000000" w:sz="4" w:space="0"/>
                    <w:right w:val="single" w:color="000000" w:sz="4" w:space="0"/>
                  </w:tcBorders>
                  <w:tcMar>
                    <w:top w:w="51" w:type="dxa"/>
                    <w:left w:w="51" w:type="dxa"/>
                    <w:bottom w:w="51" w:type="dxa"/>
                    <w:right w:w="51" w:type="dxa"/>
                  </w:tcMar>
                </w:tcPr>
                <w:p w:rsidR="005A63D1" w:rsidRDefault="00DB5899" w14:paraId="0000007E" w14:textId="77777777">
                  <w:pPr>
                    <w:pStyle w:val="Normal2"/>
                    <w:framePr w:hSpace="180" w:wrap="around" w:hAnchor="text" w:vAnchor="text" w:x="-390" w:y="341"/>
                    <w:spacing w:after="0"/>
                    <w:ind w:left="-149" w:firstLine="0"/>
                    <w:jc w:val="center"/>
                    <w:rPr>
                      <w:sz w:val="20"/>
                      <w:szCs w:val="20"/>
                    </w:rPr>
                  </w:pPr>
                  <w:r>
                    <w:rPr>
                      <w:sz w:val="20"/>
                      <w:szCs w:val="20"/>
                    </w:rPr>
                    <w:t>V</w:t>
                  </w:r>
                </w:p>
              </w:tc>
            </w:tr>
            <w:tr w:rsidR="005A63D1" w14:paraId="7D4A1E5D" w14:textId="77777777">
              <w:trPr>
                <w:jc w:val="center"/>
              </w:trPr>
              <w:tc>
                <w:tcPr>
                  <w:tcW w:w="4155"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7F" w14:textId="77777777">
                  <w:pPr>
                    <w:pStyle w:val="Normal2"/>
                    <w:framePr w:hSpace="180" w:wrap="around" w:hAnchor="text" w:vAnchor="text" w:x="-390" w:y="341"/>
                    <w:spacing w:after="0"/>
                    <w:ind w:left="141" w:firstLine="0"/>
                    <w:rPr>
                      <w:sz w:val="20"/>
                      <w:szCs w:val="20"/>
                    </w:rPr>
                  </w:pPr>
                  <w:bookmarkStart w:name="_heading=h.32hioqz" w:colFirst="0" w:colLast="0" w:id="0"/>
                  <w:bookmarkEnd w:id="0"/>
                  <w:r>
                    <w:rPr>
                      <w:sz w:val="20"/>
                      <w:szCs w:val="20"/>
                    </w:rPr>
                    <w:t>Bicentenario Marine Management Area</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80" w14:textId="77777777">
                  <w:pPr>
                    <w:pStyle w:val="Normal2"/>
                    <w:framePr w:hSpace="180" w:wrap="around" w:hAnchor="text" w:vAnchor="text" w:x="-390" w:y="341"/>
                    <w:spacing w:after="0"/>
                    <w:ind w:left="1" w:firstLine="0"/>
                    <w:jc w:val="center"/>
                    <w:rPr>
                      <w:sz w:val="20"/>
                      <w:szCs w:val="20"/>
                    </w:rPr>
                  </w:pPr>
                  <w:r>
                    <w:rPr>
                      <w:sz w:val="20"/>
                      <w:szCs w:val="20"/>
                    </w:rPr>
                    <w:t>Costa Rica</w:t>
                  </w:r>
                </w:p>
              </w:tc>
              <w:tc>
                <w:tcPr>
                  <w:tcW w:w="1845" w:type="dxa"/>
                  <w:tcBorders>
                    <w:top w:val="single" w:color="000000" w:sz="4" w:space="0"/>
                    <w:left w:val="single" w:color="000000" w:sz="4" w:space="0"/>
                    <w:bottom w:val="single" w:color="000000" w:sz="4" w:space="0"/>
                    <w:right w:val="single" w:color="000000" w:sz="4" w:space="0"/>
                  </w:tcBorders>
                  <w:tcMar>
                    <w:top w:w="51" w:type="dxa"/>
                    <w:left w:w="51" w:type="dxa"/>
                    <w:bottom w:w="51" w:type="dxa"/>
                    <w:right w:w="51" w:type="dxa"/>
                  </w:tcMar>
                </w:tcPr>
                <w:p w:rsidR="005A63D1" w:rsidRDefault="00DB5899" w14:paraId="00000081" w14:textId="77777777">
                  <w:pPr>
                    <w:pStyle w:val="Normal2"/>
                    <w:framePr w:hSpace="180" w:wrap="around" w:hAnchor="text" w:vAnchor="text" w:x="-390" w:y="341"/>
                    <w:spacing w:after="0"/>
                    <w:ind w:left="-149" w:firstLine="0"/>
                    <w:jc w:val="center"/>
                    <w:rPr>
                      <w:sz w:val="20"/>
                      <w:szCs w:val="20"/>
                    </w:rPr>
                  </w:pPr>
                  <w:r>
                    <w:rPr>
                      <w:sz w:val="20"/>
                      <w:szCs w:val="20"/>
                    </w:rPr>
                    <w:t>VI</w:t>
                  </w:r>
                </w:p>
              </w:tc>
            </w:tr>
            <w:tr w:rsidR="005A63D1" w14:paraId="641B3640" w14:textId="77777777">
              <w:trPr>
                <w:jc w:val="center"/>
              </w:trPr>
              <w:tc>
                <w:tcPr>
                  <w:tcW w:w="4155"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82" w14:textId="77777777">
                  <w:pPr>
                    <w:pStyle w:val="Normal2"/>
                    <w:framePr w:hSpace="180" w:wrap="around" w:hAnchor="text" w:vAnchor="text" w:x="-390" w:y="341"/>
                    <w:spacing w:after="0"/>
                    <w:ind w:left="141" w:firstLine="0"/>
                    <w:rPr>
                      <w:sz w:val="20"/>
                      <w:szCs w:val="20"/>
                    </w:rPr>
                  </w:pPr>
                  <w:r>
                    <w:rPr>
                      <w:sz w:val="20"/>
                      <w:szCs w:val="20"/>
                    </w:rPr>
                    <w:t>Yurupari — Malpelo Integrated Management District</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83" w14:textId="77777777">
                  <w:pPr>
                    <w:pStyle w:val="Normal2"/>
                    <w:framePr w:hSpace="180" w:wrap="around" w:hAnchor="text" w:vAnchor="text" w:x="-390" w:y="341"/>
                    <w:spacing w:after="0"/>
                    <w:ind w:left="1" w:firstLine="0"/>
                    <w:jc w:val="center"/>
                    <w:rPr>
                      <w:sz w:val="20"/>
                      <w:szCs w:val="20"/>
                    </w:rPr>
                  </w:pPr>
                  <w:r>
                    <w:rPr>
                      <w:sz w:val="20"/>
                      <w:szCs w:val="20"/>
                    </w:rPr>
                    <w:t>Colombia</w:t>
                  </w:r>
                </w:p>
              </w:tc>
              <w:tc>
                <w:tcPr>
                  <w:tcW w:w="1845" w:type="dxa"/>
                  <w:tcBorders>
                    <w:top w:val="single" w:color="000000" w:sz="4" w:space="0"/>
                    <w:left w:val="single" w:color="000000" w:sz="4" w:space="0"/>
                    <w:bottom w:val="single" w:color="000000" w:sz="4" w:space="0"/>
                    <w:right w:val="single" w:color="000000" w:sz="4" w:space="0"/>
                  </w:tcBorders>
                  <w:tcMar>
                    <w:top w:w="51" w:type="dxa"/>
                    <w:left w:w="51" w:type="dxa"/>
                    <w:bottom w:w="51" w:type="dxa"/>
                    <w:right w:w="51" w:type="dxa"/>
                  </w:tcMar>
                </w:tcPr>
                <w:p w:rsidR="005A63D1" w:rsidRDefault="00DB5899" w14:paraId="00000084" w14:textId="77777777">
                  <w:pPr>
                    <w:pStyle w:val="Normal2"/>
                    <w:framePr w:hSpace="180" w:wrap="around" w:hAnchor="text" w:vAnchor="text" w:x="-390" w:y="341"/>
                    <w:spacing w:after="0"/>
                    <w:ind w:left="-149" w:firstLine="0"/>
                    <w:jc w:val="center"/>
                    <w:rPr>
                      <w:sz w:val="20"/>
                      <w:szCs w:val="20"/>
                    </w:rPr>
                  </w:pPr>
                  <w:r>
                    <w:rPr>
                      <w:sz w:val="20"/>
                      <w:szCs w:val="20"/>
                    </w:rPr>
                    <w:t>Not Reported</w:t>
                  </w:r>
                </w:p>
              </w:tc>
            </w:tr>
            <w:tr w:rsidR="005A63D1" w14:paraId="27BBFC4C" w14:textId="77777777">
              <w:trPr>
                <w:jc w:val="center"/>
              </w:trPr>
              <w:tc>
                <w:tcPr>
                  <w:tcW w:w="4155"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85" w14:textId="77777777">
                  <w:pPr>
                    <w:pStyle w:val="Normal2"/>
                    <w:framePr w:hSpace="180" w:wrap="around" w:hAnchor="text" w:vAnchor="text" w:x="-390" w:y="341"/>
                    <w:spacing w:after="0"/>
                    <w:ind w:left="141" w:firstLine="0"/>
                    <w:rPr>
                      <w:sz w:val="20"/>
                      <w:szCs w:val="20"/>
                    </w:rPr>
                  </w:pPr>
                  <w:r>
                    <w:rPr>
                      <w:sz w:val="20"/>
                      <w:szCs w:val="20"/>
                    </w:rPr>
                    <w:t>Colinas y Lomas Submarinas de la cuenca del Pacífico Norte Integrated Management District</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86" w14:textId="77777777">
                  <w:pPr>
                    <w:pStyle w:val="Normal2"/>
                    <w:framePr w:hSpace="180" w:wrap="around" w:hAnchor="text" w:vAnchor="text" w:x="-390" w:y="341"/>
                    <w:spacing w:after="0"/>
                    <w:ind w:left="1" w:firstLine="0"/>
                    <w:jc w:val="center"/>
                    <w:rPr>
                      <w:sz w:val="20"/>
                      <w:szCs w:val="20"/>
                    </w:rPr>
                  </w:pPr>
                  <w:r>
                    <w:rPr>
                      <w:sz w:val="20"/>
                      <w:szCs w:val="20"/>
                    </w:rPr>
                    <w:t>Colombia</w:t>
                  </w:r>
                </w:p>
              </w:tc>
              <w:tc>
                <w:tcPr>
                  <w:tcW w:w="1845" w:type="dxa"/>
                  <w:tcBorders>
                    <w:top w:val="single" w:color="000000" w:sz="4" w:space="0"/>
                    <w:left w:val="single" w:color="000000" w:sz="4" w:space="0"/>
                    <w:bottom w:val="single" w:color="000000" w:sz="4" w:space="0"/>
                    <w:right w:val="single" w:color="000000" w:sz="4" w:space="0"/>
                  </w:tcBorders>
                  <w:tcMar>
                    <w:top w:w="51" w:type="dxa"/>
                    <w:left w:w="51" w:type="dxa"/>
                    <w:bottom w:w="51" w:type="dxa"/>
                    <w:right w:w="51" w:type="dxa"/>
                  </w:tcMar>
                </w:tcPr>
                <w:p w:rsidR="005A63D1" w:rsidRDefault="00DB5899" w14:paraId="00000087" w14:textId="77777777">
                  <w:pPr>
                    <w:pStyle w:val="Normal2"/>
                    <w:framePr w:hSpace="180" w:wrap="around" w:hAnchor="text" w:vAnchor="text" w:x="-390" w:y="341"/>
                    <w:spacing w:after="0"/>
                    <w:ind w:left="-149" w:firstLine="0"/>
                    <w:jc w:val="center"/>
                    <w:rPr>
                      <w:sz w:val="20"/>
                      <w:szCs w:val="20"/>
                    </w:rPr>
                  </w:pPr>
                  <w:r>
                    <w:rPr>
                      <w:sz w:val="20"/>
                      <w:szCs w:val="20"/>
                    </w:rPr>
                    <w:t>VI</w:t>
                  </w:r>
                </w:p>
              </w:tc>
            </w:tr>
            <w:tr w:rsidR="005A63D1" w14:paraId="4362DC07" w14:textId="77777777">
              <w:trPr>
                <w:jc w:val="center"/>
              </w:trPr>
              <w:tc>
                <w:tcPr>
                  <w:tcW w:w="4155"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88" w14:textId="77777777">
                  <w:pPr>
                    <w:pStyle w:val="Normal2"/>
                    <w:framePr w:hSpace="180" w:wrap="around" w:hAnchor="text" w:vAnchor="text" w:x="-390" w:y="341"/>
                    <w:spacing w:after="0"/>
                    <w:ind w:left="141" w:firstLine="0"/>
                    <w:rPr>
                      <w:sz w:val="20"/>
                      <w:szCs w:val="20"/>
                    </w:rPr>
                  </w:pPr>
                  <w:r>
                    <w:rPr>
                      <w:sz w:val="20"/>
                      <w:szCs w:val="20"/>
                    </w:rPr>
                    <w:t>Cordillera de Coiba MPA</w:t>
                  </w:r>
                </w:p>
              </w:tc>
              <w:tc>
                <w:tcPr>
                  <w:tcW w:w="2100" w:type="dxa"/>
                  <w:tcBorders>
                    <w:top w:val="single" w:color="000000" w:sz="4" w:space="0"/>
                    <w:left w:val="single" w:color="000000" w:sz="4" w:space="0"/>
                    <w:bottom w:val="single" w:color="000000" w:sz="4" w:space="0"/>
                    <w:right w:val="single" w:color="000000" w:sz="4" w:space="0"/>
                  </w:tcBorders>
                  <w:shd w:val="clear" w:color="auto" w:fill="auto"/>
                  <w:tcMar>
                    <w:top w:w="51" w:type="dxa"/>
                    <w:left w:w="51" w:type="dxa"/>
                    <w:bottom w:w="51" w:type="dxa"/>
                    <w:right w:w="51" w:type="dxa"/>
                  </w:tcMar>
                </w:tcPr>
                <w:p w:rsidR="005A63D1" w:rsidRDefault="00DB5899" w14:paraId="00000089" w14:textId="77777777">
                  <w:pPr>
                    <w:pStyle w:val="Normal2"/>
                    <w:framePr w:hSpace="180" w:wrap="around" w:hAnchor="text" w:vAnchor="text" w:x="-390" w:y="341"/>
                    <w:spacing w:after="0"/>
                    <w:ind w:left="1" w:firstLine="0"/>
                    <w:jc w:val="center"/>
                    <w:rPr>
                      <w:sz w:val="20"/>
                      <w:szCs w:val="20"/>
                    </w:rPr>
                  </w:pPr>
                  <w:r>
                    <w:rPr>
                      <w:sz w:val="20"/>
                      <w:szCs w:val="20"/>
                    </w:rPr>
                    <w:t>Panama</w:t>
                  </w:r>
                </w:p>
              </w:tc>
              <w:tc>
                <w:tcPr>
                  <w:tcW w:w="1845" w:type="dxa"/>
                  <w:tcBorders>
                    <w:top w:val="single" w:color="000000" w:sz="4" w:space="0"/>
                    <w:left w:val="single" w:color="000000" w:sz="4" w:space="0"/>
                    <w:bottom w:val="single" w:color="000000" w:sz="4" w:space="0"/>
                    <w:right w:val="single" w:color="000000" w:sz="4" w:space="0"/>
                  </w:tcBorders>
                  <w:tcMar>
                    <w:top w:w="51" w:type="dxa"/>
                    <w:left w:w="51" w:type="dxa"/>
                    <w:bottom w:w="51" w:type="dxa"/>
                    <w:right w:w="51" w:type="dxa"/>
                  </w:tcMar>
                </w:tcPr>
                <w:p w:rsidR="005A63D1" w:rsidRDefault="00DB5899" w14:paraId="0000008A" w14:textId="77777777">
                  <w:pPr>
                    <w:pStyle w:val="Normal2"/>
                    <w:framePr w:hSpace="180" w:wrap="around" w:hAnchor="text" w:vAnchor="text" w:x="-390" w:y="341"/>
                    <w:spacing w:after="0"/>
                    <w:ind w:left="-149" w:firstLine="0"/>
                    <w:jc w:val="center"/>
                    <w:rPr>
                      <w:sz w:val="20"/>
                      <w:szCs w:val="20"/>
                    </w:rPr>
                  </w:pPr>
                  <w:r>
                    <w:rPr>
                      <w:sz w:val="20"/>
                      <w:szCs w:val="20"/>
                    </w:rPr>
                    <w:t>VI</w:t>
                  </w:r>
                </w:p>
              </w:tc>
            </w:tr>
          </w:tbl>
          <w:p w:rsidR="005A63D1" w:rsidRDefault="005A63D1" w14:paraId="0000008B" w14:textId="77777777">
            <w:pPr>
              <w:pStyle w:val="Normal2"/>
              <w:ind w:left="0" w:firstLine="0"/>
              <w:jc w:val="both"/>
            </w:pPr>
          </w:p>
          <w:p w:rsidR="005A63D1" w:rsidRDefault="00DB5899" w14:paraId="0000008C" w14:textId="77777777">
            <w:pPr>
              <w:pStyle w:val="Normal2"/>
              <w:ind w:left="0" w:firstLine="0"/>
              <w:jc w:val="both"/>
              <w:rPr>
                <w:sz w:val="21"/>
                <w:szCs w:val="21"/>
              </w:rPr>
            </w:pPr>
            <w:r>
              <w:rPr>
                <w:sz w:val="21"/>
                <w:szCs w:val="21"/>
              </w:rPr>
              <w:t>The broader ETP region includes vast oceanic areas and is interconnected by a series of currents that provide a diverse and changing set of oceanographic conditions throughout the region that create high levels of productivity and biodiversity. The Central ETP plays a significant role in climate change mitigation and global biodiversity protection. The ocean currents pumping through the region attract enormous shark aggregations, the world’s largest biomass of reef fish, as well as iconic animals and highly</w:t>
            </w:r>
            <w:r>
              <w:rPr>
                <w:sz w:val="21"/>
                <w:szCs w:val="21"/>
              </w:rPr>
              <w:t xml:space="preserve"> migratory ocean life – e.g., tuna, turtles, sharks, rays, and whales – that travel within this area (Palacios et al. 2023). With its rich marine biodiversity, these waters provide livelihoods for coastal residents across the region through tourism and fishing, while providing a source of recreation and food for millions worldwide (GEF 2023).</w:t>
            </w:r>
          </w:p>
          <w:p w:rsidR="005A63D1" w:rsidRDefault="00DB5899" w14:paraId="0000008D" w14:textId="77777777">
            <w:pPr>
              <w:pStyle w:val="Normal2"/>
              <w:pBdr>
                <w:top w:val="nil"/>
                <w:left w:val="nil"/>
                <w:bottom w:val="nil"/>
                <w:right w:val="nil"/>
                <w:between w:val="nil"/>
              </w:pBdr>
              <w:ind w:left="0" w:firstLine="0"/>
              <w:jc w:val="both"/>
              <w:rPr>
                <w:sz w:val="21"/>
                <w:szCs w:val="21"/>
              </w:rPr>
            </w:pPr>
            <w:r>
              <w:rPr>
                <w:sz w:val="21"/>
                <w:szCs w:val="21"/>
              </w:rPr>
              <w:t>The near-pristine island ecosystems of CMAR are highly connected with coastal areas and are protected by large scale oceanic MPAs. They are also highly biodiverse and include rare, threatened, and ecologically important species that are the building blocks of a healthy, productive ocean. Much of the project area has been isolated for thousands of years, and thus there are also endemic species in the area, especially in the Galapagos, Cocos, Gorgona, and Mapelo areas. However, this project will not work with</w:t>
            </w:r>
            <w:r>
              <w:rPr>
                <w:sz w:val="21"/>
                <w:szCs w:val="21"/>
              </w:rPr>
              <w:t xml:space="preserve"> these species directly (CI 2023).</w:t>
            </w:r>
          </w:p>
          <w:p w:rsidR="005A63D1" w:rsidRDefault="00DB5899" w14:paraId="0000008E" w14:textId="77777777">
            <w:pPr>
              <w:pStyle w:val="Normal2"/>
              <w:spacing w:after="0"/>
              <w:ind w:left="1417" w:firstLine="0"/>
              <w:rPr>
                <w:b/>
                <w:sz w:val="20"/>
                <w:szCs w:val="20"/>
              </w:rPr>
            </w:pPr>
            <w:r>
              <w:rPr>
                <w:b/>
                <w:sz w:val="20"/>
                <w:szCs w:val="20"/>
              </w:rPr>
              <w:t>Critically Endangered Species:</w:t>
            </w:r>
          </w:p>
          <w:tbl>
            <w:tblPr>
              <w:tblStyle w:val="afff"/>
              <w:tblW w:w="7105" w:type="dxa"/>
              <w:jc w:val="center"/>
              <w:tblInd w:w="0" w:type="dxa"/>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Layout w:type="fixed"/>
              <w:tblLook w:val="0400" w:firstRow="0" w:lastRow="0" w:firstColumn="0" w:lastColumn="0" w:noHBand="0" w:noVBand="1"/>
            </w:tblPr>
            <w:tblGrid>
              <w:gridCol w:w="1200"/>
              <w:gridCol w:w="2858"/>
              <w:gridCol w:w="3047"/>
            </w:tblGrid>
            <w:tr w:rsidR="005A63D1" w14:paraId="1F609D48" w14:textId="77777777">
              <w:trPr>
                <w:trHeight w:val="300"/>
                <w:jc w:val="center"/>
              </w:trPr>
              <w:tc>
                <w:tcPr>
                  <w:tcW w:w="1200" w:type="dxa"/>
                </w:tcPr>
                <w:p w:rsidR="005A63D1" w:rsidRDefault="00DB5899" w14:paraId="0000008F" w14:textId="77777777">
                  <w:pPr>
                    <w:pStyle w:val="Normal2"/>
                    <w:framePr w:hSpace="180" w:wrap="around" w:hAnchor="text" w:vAnchor="text" w:x="-390" w:y="341"/>
                    <w:spacing w:after="0"/>
                    <w:jc w:val="center"/>
                  </w:pPr>
                  <w:r>
                    <w:t xml:space="preserve">Cetaceans </w:t>
                  </w:r>
                </w:p>
              </w:tc>
              <w:tc>
                <w:tcPr>
                  <w:tcW w:w="2858" w:type="dxa"/>
                </w:tcPr>
                <w:p w:rsidR="005A63D1" w:rsidRDefault="00DB5899" w14:paraId="00000090" w14:textId="77777777">
                  <w:pPr>
                    <w:pStyle w:val="Normal2"/>
                    <w:framePr w:hSpace="180" w:wrap="around" w:hAnchor="text" w:vAnchor="text" w:x="-390" w:y="341"/>
                    <w:spacing w:after="0"/>
                    <w:jc w:val="center"/>
                    <w:rPr>
                      <w:i/>
                    </w:rPr>
                  </w:pPr>
                  <w:r>
                    <w:rPr>
                      <w:i/>
                    </w:rPr>
                    <w:t xml:space="preserve">Balaenoptera musculus </w:t>
                  </w:r>
                </w:p>
              </w:tc>
              <w:tc>
                <w:tcPr>
                  <w:tcW w:w="3047" w:type="dxa"/>
                </w:tcPr>
                <w:p w:rsidR="005A63D1" w:rsidRDefault="00DB5899" w14:paraId="00000091" w14:textId="77777777">
                  <w:pPr>
                    <w:pStyle w:val="Normal2"/>
                    <w:framePr w:hSpace="180" w:wrap="around" w:hAnchor="text" w:vAnchor="text" w:x="-390" w:y="341"/>
                    <w:spacing w:after="0"/>
                    <w:jc w:val="center"/>
                  </w:pPr>
                  <w:r>
                    <w:t>Blue Whale</w:t>
                  </w:r>
                </w:p>
              </w:tc>
            </w:tr>
            <w:tr w:rsidR="005A63D1" w14:paraId="6657D9DC" w14:textId="77777777">
              <w:trPr>
                <w:trHeight w:val="300"/>
                <w:jc w:val="center"/>
              </w:trPr>
              <w:tc>
                <w:tcPr>
                  <w:tcW w:w="1200" w:type="dxa"/>
                </w:tcPr>
                <w:p w:rsidR="005A63D1" w:rsidRDefault="00DB5899" w14:paraId="00000092" w14:textId="77777777">
                  <w:pPr>
                    <w:pStyle w:val="Normal2"/>
                    <w:framePr w:hSpace="180" w:wrap="around" w:hAnchor="text" w:vAnchor="text" w:x="-390" w:y="341"/>
                    <w:spacing w:after="0"/>
                    <w:jc w:val="center"/>
                  </w:pPr>
                  <w:r>
                    <w:t xml:space="preserve">Sea turtle </w:t>
                  </w:r>
                </w:p>
              </w:tc>
              <w:tc>
                <w:tcPr>
                  <w:tcW w:w="2858" w:type="dxa"/>
                </w:tcPr>
                <w:p w:rsidR="005A63D1" w:rsidRDefault="00DB5899" w14:paraId="00000093" w14:textId="77777777">
                  <w:pPr>
                    <w:pStyle w:val="Normal2"/>
                    <w:framePr w:hSpace="180" w:wrap="around" w:hAnchor="text" w:vAnchor="text" w:x="-390" w:y="341"/>
                    <w:spacing w:after="0"/>
                    <w:jc w:val="center"/>
                    <w:rPr>
                      <w:i/>
                    </w:rPr>
                  </w:pPr>
                  <w:r>
                    <w:rPr>
                      <w:i/>
                    </w:rPr>
                    <w:t>Eretmochelys imbricata</w:t>
                  </w:r>
                </w:p>
              </w:tc>
              <w:tc>
                <w:tcPr>
                  <w:tcW w:w="3047" w:type="dxa"/>
                </w:tcPr>
                <w:p w:rsidR="005A63D1" w:rsidRDefault="00DB5899" w14:paraId="00000094" w14:textId="77777777">
                  <w:pPr>
                    <w:pStyle w:val="Normal2"/>
                    <w:framePr w:hSpace="180" w:wrap="around" w:hAnchor="text" w:vAnchor="text" w:x="-390" w:y="341"/>
                    <w:spacing w:after="0"/>
                    <w:jc w:val="center"/>
                  </w:pPr>
                  <w:r>
                    <w:t>Hawksbill</w:t>
                  </w:r>
                </w:p>
              </w:tc>
            </w:tr>
            <w:tr w:rsidR="005A63D1" w14:paraId="55164E71" w14:textId="77777777">
              <w:trPr>
                <w:trHeight w:val="300"/>
                <w:jc w:val="center"/>
              </w:trPr>
              <w:tc>
                <w:tcPr>
                  <w:tcW w:w="1200" w:type="dxa"/>
                </w:tcPr>
                <w:p w:rsidR="005A63D1" w:rsidRDefault="00DB5899" w14:paraId="00000095" w14:textId="77777777">
                  <w:pPr>
                    <w:pStyle w:val="Normal2"/>
                    <w:framePr w:hSpace="180" w:wrap="around" w:hAnchor="text" w:vAnchor="text" w:x="-390" w:y="341"/>
                    <w:spacing w:after="0"/>
                    <w:jc w:val="center"/>
                  </w:pPr>
                  <w:r>
                    <w:t xml:space="preserve">Shark </w:t>
                  </w:r>
                </w:p>
              </w:tc>
              <w:tc>
                <w:tcPr>
                  <w:tcW w:w="2858" w:type="dxa"/>
                </w:tcPr>
                <w:p w:rsidR="005A63D1" w:rsidRDefault="00DB5899" w14:paraId="00000096" w14:textId="77777777">
                  <w:pPr>
                    <w:pStyle w:val="Normal2"/>
                    <w:framePr w:hSpace="180" w:wrap="around" w:hAnchor="text" w:vAnchor="text" w:x="-390" w:y="341"/>
                    <w:spacing w:after="0"/>
                    <w:jc w:val="center"/>
                    <w:rPr>
                      <w:i/>
                    </w:rPr>
                  </w:pPr>
                  <w:r>
                    <w:rPr>
                      <w:i/>
                    </w:rPr>
                    <w:t>Mustelus whitenyi</w:t>
                  </w:r>
                </w:p>
              </w:tc>
              <w:tc>
                <w:tcPr>
                  <w:tcW w:w="3047" w:type="dxa"/>
                </w:tcPr>
                <w:p w:rsidR="005A63D1" w:rsidRDefault="00DB5899" w14:paraId="00000097" w14:textId="77777777">
                  <w:pPr>
                    <w:pStyle w:val="Normal2"/>
                    <w:framePr w:hSpace="180" w:wrap="around" w:hAnchor="text" w:vAnchor="text" w:x="-390" w:y="341"/>
                    <w:spacing w:after="0"/>
                    <w:jc w:val="center"/>
                  </w:pPr>
                  <w:r>
                    <w:t>Humpback smoothound</w:t>
                  </w:r>
                </w:p>
              </w:tc>
            </w:tr>
            <w:tr w:rsidR="005A63D1" w14:paraId="039CED20" w14:textId="77777777">
              <w:trPr>
                <w:trHeight w:val="300"/>
                <w:jc w:val="center"/>
              </w:trPr>
              <w:tc>
                <w:tcPr>
                  <w:tcW w:w="1200" w:type="dxa"/>
                </w:tcPr>
                <w:p w:rsidR="005A63D1" w:rsidRDefault="00DB5899" w14:paraId="00000098" w14:textId="77777777">
                  <w:pPr>
                    <w:pStyle w:val="Normal2"/>
                    <w:framePr w:hSpace="180" w:wrap="around" w:hAnchor="text" w:vAnchor="text" w:x="-390" w:y="341"/>
                    <w:spacing w:after="0"/>
                    <w:jc w:val="center"/>
                  </w:pPr>
                  <w:r>
                    <w:t>Seabirds</w:t>
                  </w:r>
                </w:p>
              </w:tc>
              <w:tc>
                <w:tcPr>
                  <w:tcW w:w="2858" w:type="dxa"/>
                </w:tcPr>
                <w:p w:rsidR="005A63D1" w:rsidRDefault="00DB5899" w14:paraId="00000099" w14:textId="77777777">
                  <w:pPr>
                    <w:pStyle w:val="Normal2"/>
                    <w:framePr w:hSpace="180" w:wrap="around" w:hAnchor="text" w:vAnchor="text" w:x="-390" w:y="341"/>
                    <w:spacing w:after="0"/>
                    <w:jc w:val="center"/>
                    <w:rPr>
                      <w:i/>
                    </w:rPr>
                  </w:pPr>
                  <w:r>
                    <w:rPr>
                      <w:i/>
                    </w:rPr>
                    <w:t>Phoebastria irrorata</w:t>
                  </w:r>
                </w:p>
              </w:tc>
              <w:tc>
                <w:tcPr>
                  <w:tcW w:w="3047" w:type="dxa"/>
                </w:tcPr>
                <w:p w:rsidR="005A63D1" w:rsidRDefault="00DB5899" w14:paraId="0000009A" w14:textId="77777777">
                  <w:pPr>
                    <w:pStyle w:val="Normal2"/>
                    <w:framePr w:hSpace="180" w:wrap="around" w:hAnchor="text" w:vAnchor="text" w:x="-390" w:y="341"/>
                    <w:spacing w:after="0"/>
                    <w:jc w:val="center"/>
                  </w:pPr>
                  <w:r>
                    <w:t>Waved albatross</w:t>
                  </w:r>
                </w:p>
              </w:tc>
            </w:tr>
            <w:tr w:rsidR="005A63D1" w14:paraId="17DD6117" w14:textId="77777777">
              <w:trPr>
                <w:trHeight w:val="300"/>
                <w:jc w:val="center"/>
              </w:trPr>
              <w:tc>
                <w:tcPr>
                  <w:tcW w:w="1200" w:type="dxa"/>
                </w:tcPr>
                <w:p w:rsidR="005A63D1" w:rsidRDefault="00DB5899" w14:paraId="0000009B" w14:textId="77777777">
                  <w:pPr>
                    <w:pStyle w:val="Normal2"/>
                    <w:framePr w:hSpace="180" w:wrap="around" w:hAnchor="text" w:vAnchor="text" w:x="-390" w:y="341"/>
                    <w:spacing w:after="0"/>
                    <w:jc w:val="center"/>
                  </w:pPr>
                  <w:r>
                    <w:t xml:space="preserve">Shark </w:t>
                  </w:r>
                </w:p>
              </w:tc>
              <w:tc>
                <w:tcPr>
                  <w:tcW w:w="2858" w:type="dxa"/>
                </w:tcPr>
                <w:p w:rsidR="005A63D1" w:rsidRDefault="00DB5899" w14:paraId="0000009C" w14:textId="77777777">
                  <w:pPr>
                    <w:pStyle w:val="Normal2"/>
                    <w:framePr w:hSpace="180" w:wrap="around" w:hAnchor="text" w:vAnchor="text" w:x="-390" w:y="341"/>
                    <w:spacing w:after="0"/>
                    <w:jc w:val="center"/>
                    <w:rPr>
                      <w:i/>
                    </w:rPr>
                  </w:pPr>
                  <w:r>
                    <w:rPr>
                      <w:i/>
                    </w:rPr>
                    <w:t>Carcharhinus longimanus</w:t>
                  </w:r>
                </w:p>
              </w:tc>
              <w:tc>
                <w:tcPr>
                  <w:tcW w:w="3047" w:type="dxa"/>
                </w:tcPr>
                <w:p w:rsidR="005A63D1" w:rsidRDefault="00DB5899" w14:paraId="0000009D" w14:textId="77777777">
                  <w:pPr>
                    <w:pStyle w:val="Normal2"/>
                    <w:framePr w:hSpace="180" w:wrap="around" w:hAnchor="text" w:vAnchor="text" w:x="-390" w:y="341"/>
                    <w:spacing w:after="0"/>
                    <w:jc w:val="center"/>
                  </w:pPr>
                  <w:r>
                    <w:t>Oceanic whitetip</w:t>
                  </w:r>
                </w:p>
              </w:tc>
            </w:tr>
            <w:tr w:rsidR="005A63D1" w14:paraId="0DF05E55" w14:textId="77777777">
              <w:trPr>
                <w:trHeight w:val="300"/>
                <w:jc w:val="center"/>
              </w:trPr>
              <w:tc>
                <w:tcPr>
                  <w:tcW w:w="1200" w:type="dxa"/>
                </w:tcPr>
                <w:p w:rsidR="005A63D1" w:rsidRDefault="00DB5899" w14:paraId="0000009E" w14:textId="77777777">
                  <w:pPr>
                    <w:pStyle w:val="Normal2"/>
                    <w:framePr w:hSpace="180" w:wrap="around" w:hAnchor="text" w:vAnchor="text" w:x="-390" w:y="341"/>
                    <w:spacing w:after="0"/>
                    <w:jc w:val="center"/>
                  </w:pPr>
                  <w:r>
                    <w:t xml:space="preserve">Shark </w:t>
                  </w:r>
                </w:p>
              </w:tc>
              <w:tc>
                <w:tcPr>
                  <w:tcW w:w="2858" w:type="dxa"/>
                </w:tcPr>
                <w:p w:rsidR="005A63D1" w:rsidRDefault="00DB5899" w14:paraId="0000009F" w14:textId="77777777">
                  <w:pPr>
                    <w:pStyle w:val="Normal2"/>
                    <w:framePr w:hSpace="180" w:wrap="around" w:hAnchor="text" w:vAnchor="text" w:x="-390" w:y="341"/>
                    <w:spacing w:after="0"/>
                    <w:jc w:val="center"/>
                    <w:rPr>
                      <w:i/>
                    </w:rPr>
                  </w:pPr>
                  <w:r>
                    <w:rPr>
                      <w:i/>
                    </w:rPr>
                    <w:t>Mustelus mento</w:t>
                  </w:r>
                </w:p>
              </w:tc>
              <w:tc>
                <w:tcPr>
                  <w:tcW w:w="3047" w:type="dxa"/>
                </w:tcPr>
                <w:p w:rsidR="005A63D1" w:rsidRDefault="00DB5899" w14:paraId="000000A0" w14:textId="77777777">
                  <w:pPr>
                    <w:pStyle w:val="Normal2"/>
                    <w:framePr w:hSpace="180" w:wrap="around" w:hAnchor="text" w:vAnchor="text" w:x="-390" w:y="341"/>
                    <w:spacing w:after="0"/>
                    <w:jc w:val="center"/>
                  </w:pPr>
                  <w:r>
                    <w:t>Speckled smoothound</w:t>
                  </w:r>
                </w:p>
              </w:tc>
            </w:tr>
            <w:tr w:rsidR="005A63D1" w14:paraId="3D595F96" w14:textId="77777777">
              <w:trPr>
                <w:trHeight w:val="300"/>
                <w:jc w:val="center"/>
              </w:trPr>
              <w:tc>
                <w:tcPr>
                  <w:tcW w:w="1200" w:type="dxa"/>
                </w:tcPr>
                <w:p w:rsidR="005A63D1" w:rsidRDefault="00DB5899" w14:paraId="000000A1" w14:textId="77777777">
                  <w:pPr>
                    <w:pStyle w:val="Normal2"/>
                    <w:framePr w:hSpace="180" w:wrap="around" w:hAnchor="text" w:vAnchor="text" w:x="-390" w:y="341"/>
                    <w:spacing w:after="0"/>
                    <w:jc w:val="center"/>
                  </w:pPr>
                  <w:r>
                    <w:t xml:space="preserve">Shark </w:t>
                  </w:r>
                </w:p>
              </w:tc>
              <w:tc>
                <w:tcPr>
                  <w:tcW w:w="2858" w:type="dxa"/>
                </w:tcPr>
                <w:p w:rsidR="005A63D1" w:rsidRDefault="00DB5899" w14:paraId="000000A2" w14:textId="77777777">
                  <w:pPr>
                    <w:pStyle w:val="Normal2"/>
                    <w:framePr w:hSpace="180" w:wrap="around" w:hAnchor="text" w:vAnchor="text" w:x="-390" w:y="341"/>
                    <w:spacing w:after="0"/>
                    <w:jc w:val="center"/>
                    <w:rPr>
                      <w:i/>
                    </w:rPr>
                  </w:pPr>
                  <w:r>
                    <w:rPr>
                      <w:i/>
                    </w:rPr>
                    <w:t>Sphyrna corona</w:t>
                  </w:r>
                </w:p>
              </w:tc>
              <w:tc>
                <w:tcPr>
                  <w:tcW w:w="3047" w:type="dxa"/>
                </w:tcPr>
                <w:p w:rsidR="005A63D1" w:rsidRDefault="00DB5899" w14:paraId="000000A3" w14:textId="77777777">
                  <w:pPr>
                    <w:pStyle w:val="Normal2"/>
                    <w:framePr w:hSpace="180" w:wrap="around" w:hAnchor="text" w:vAnchor="text" w:x="-390" w:y="341"/>
                    <w:spacing w:after="0"/>
                    <w:jc w:val="center"/>
                  </w:pPr>
                  <w:r>
                    <w:t>Mallethead shark</w:t>
                  </w:r>
                </w:p>
              </w:tc>
            </w:tr>
            <w:tr w:rsidR="005A63D1" w14:paraId="2F5121DB" w14:textId="77777777">
              <w:trPr>
                <w:trHeight w:val="300"/>
                <w:jc w:val="center"/>
              </w:trPr>
              <w:tc>
                <w:tcPr>
                  <w:tcW w:w="1200" w:type="dxa"/>
                </w:tcPr>
                <w:p w:rsidR="005A63D1" w:rsidRDefault="00DB5899" w14:paraId="000000A4" w14:textId="77777777">
                  <w:pPr>
                    <w:pStyle w:val="Normal2"/>
                    <w:framePr w:hSpace="180" w:wrap="around" w:hAnchor="text" w:vAnchor="text" w:x="-390" w:y="341"/>
                    <w:spacing w:after="0"/>
                    <w:jc w:val="center"/>
                  </w:pPr>
                  <w:r>
                    <w:t xml:space="preserve">Shark </w:t>
                  </w:r>
                </w:p>
              </w:tc>
              <w:tc>
                <w:tcPr>
                  <w:tcW w:w="2858" w:type="dxa"/>
                </w:tcPr>
                <w:p w:rsidR="005A63D1" w:rsidRDefault="00DB5899" w14:paraId="000000A5" w14:textId="77777777">
                  <w:pPr>
                    <w:pStyle w:val="Normal2"/>
                    <w:framePr w:hSpace="180" w:wrap="around" w:hAnchor="text" w:vAnchor="text" w:x="-390" w:y="341"/>
                    <w:spacing w:after="0"/>
                    <w:jc w:val="center"/>
                    <w:rPr>
                      <w:i/>
                    </w:rPr>
                  </w:pPr>
                  <w:r>
                    <w:rPr>
                      <w:i/>
                    </w:rPr>
                    <w:t>Sphyrna lewini</w:t>
                  </w:r>
                </w:p>
              </w:tc>
              <w:tc>
                <w:tcPr>
                  <w:tcW w:w="3047" w:type="dxa"/>
                </w:tcPr>
                <w:p w:rsidR="005A63D1" w:rsidRDefault="00DB5899" w14:paraId="000000A6" w14:textId="77777777">
                  <w:pPr>
                    <w:pStyle w:val="Normal2"/>
                    <w:framePr w:hSpace="180" w:wrap="around" w:hAnchor="text" w:vAnchor="text" w:x="-390" w:y="341"/>
                    <w:spacing w:after="0"/>
                    <w:jc w:val="center"/>
                  </w:pPr>
                  <w:r>
                    <w:t>Scalloped hammerhead</w:t>
                  </w:r>
                </w:p>
              </w:tc>
            </w:tr>
            <w:tr w:rsidR="005A63D1" w14:paraId="3AA7FFCA" w14:textId="77777777">
              <w:trPr>
                <w:trHeight w:val="300"/>
                <w:jc w:val="center"/>
              </w:trPr>
              <w:tc>
                <w:tcPr>
                  <w:tcW w:w="1200" w:type="dxa"/>
                </w:tcPr>
                <w:p w:rsidR="005A63D1" w:rsidRDefault="00DB5899" w14:paraId="000000A7" w14:textId="77777777">
                  <w:pPr>
                    <w:pStyle w:val="Normal2"/>
                    <w:framePr w:hSpace="180" w:wrap="around" w:hAnchor="text" w:vAnchor="text" w:x="-390" w:y="341"/>
                    <w:spacing w:after="0"/>
                    <w:jc w:val="center"/>
                  </w:pPr>
                  <w:r>
                    <w:t xml:space="preserve">Shark </w:t>
                  </w:r>
                </w:p>
              </w:tc>
              <w:tc>
                <w:tcPr>
                  <w:tcW w:w="2858" w:type="dxa"/>
                </w:tcPr>
                <w:p w:rsidR="005A63D1" w:rsidRDefault="00DB5899" w14:paraId="000000A8" w14:textId="77777777">
                  <w:pPr>
                    <w:pStyle w:val="Normal2"/>
                    <w:framePr w:hSpace="180" w:wrap="around" w:hAnchor="text" w:vAnchor="text" w:x="-390" w:y="341"/>
                    <w:spacing w:after="0"/>
                    <w:jc w:val="center"/>
                    <w:rPr>
                      <w:i/>
                    </w:rPr>
                  </w:pPr>
                  <w:r>
                    <w:rPr>
                      <w:i/>
                    </w:rPr>
                    <w:t>Sphyrna media</w:t>
                  </w:r>
                </w:p>
              </w:tc>
              <w:tc>
                <w:tcPr>
                  <w:tcW w:w="3047" w:type="dxa"/>
                </w:tcPr>
                <w:p w:rsidR="005A63D1" w:rsidRDefault="00DB5899" w14:paraId="000000A9" w14:textId="77777777">
                  <w:pPr>
                    <w:pStyle w:val="Normal2"/>
                    <w:framePr w:hSpace="180" w:wrap="around" w:hAnchor="text" w:vAnchor="text" w:x="-390" w:y="341"/>
                    <w:spacing w:after="0"/>
                    <w:jc w:val="center"/>
                  </w:pPr>
                  <w:r>
                    <w:t>Scoophead shark</w:t>
                  </w:r>
                </w:p>
              </w:tc>
            </w:tr>
            <w:tr w:rsidR="005A63D1" w14:paraId="6F2841F6" w14:textId="77777777">
              <w:trPr>
                <w:trHeight w:val="300"/>
                <w:jc w:val="center"/>
              </w:trPr>
              <w:tc>
                <w:tcPr>
                  <w:tcW w:w="1200" w:type="dxa"/>
                </w:tcPr>
                <w:p w:rsidR="005A63D1" w:rsidRDefault="00DB5899" w14:paraId="000000AA" w14:textId="77777777">
                  <w:pPr>
                    <w:pStyle w:val="Normal2"/>
                    <w:framePr w:hSpace="180" w:wrap="around" w:hAnchor="text" w:vAnchor="text" w:x="-390" w:y="341"/>
                    <w:spacing w:after="0"/>
                    <w:jc w:val="center"/>
                  </w:pPr>
                  <w:r>
                    <w:t xml:space="preserve">Shark </w:t>
                  </w:r>
                </w:p>
              </w:tc>
              <w:tc>
                <w:tcPr>
                  <w:tcW w:w="2858" w:type="dxa"/>
                </w:tcPr>
                <w:p w:rsidR="005A63D1" w:rsidRDefault="00DB5899" w14:paraId="000000AB" w14:textId="77777777">
                  <w:pPr>
                    <w:pStyle w:val="Normal2"/>
                    <w:framePr w:hSpace="180" w:wrap="around" w:hAnchor="text" w:vAnchor="text" w:x="-390" w:y="341"/>
                    <w:spacing w:after="0"/>
                    <w:jc w:val="center"/>
                    <w:rPr>
                      <w:i/>
                    </w:rPr>
                  </w:pPr>
                  <w:r>
                    <w:rPr>
                      <w:i/>
                    </w:rPr>
                    <w:t>Sphyrna mokarran</w:t>
                  </w:r>
                </w:p>
              </w:tc>
              <w:tc>
                <w:tcPr>
                  <w:tcW w:w="3047" w:type="dxa"/>
                </w:tcPr>
                <w:p w:rsidR="005A63D1" w:rsidRDefault="00DB5899" w14:paraId="000000AC" w14:textId="77777777">
                  <w:pPr>
                    <w:pStyle w:val="Normal2"/>
                    <w:framePr w:hSpace="180" w:wrap="around" w:hAnchor="text" w:vAnchor="text" w:x="-390" w:y="341"/>
                    <w:spacing w:after="0"/>
                    <w:jc w:val="center"/>
                  </w:pPr>
                  <w:r>
                    <w:t>Great hammerhead</w:t>
                  </w:r>
                </w:p>
              </w:tc>
            </w:tr>
          </w:tbl>
          <w:p w:rsidR="005A63D1" w:rsidRDefault="005A63D1" w14:paraId="000000AD" w14:textId="77777777">
            <w:pPr>
              <w:pStyle w:val="Normal2"/>
              <w:spacing w:after="0"/>
              <w:jc w:val="center"/>
              <w:rPr>
                <w:b/>
                <w:sz w:val="20"/>
                <w:szCs w:val="20"/>
              </w:rPr>
            </w:pPr>
          </w:p>
          <w:p w:rsidR="005A63D1" w:rsidRDefault="00DB5899" w14:paraId="000000AE" w14:textId="77777777">
            <w:pPr>
              <w:pStyle w:val="Normal2"/>
              <w:spacing w:after="0"/>
              <w:ind w:left="1417" w:firstLine="0"/>
              <w:rPr>
                <w:b/>
                <w:sz w:val="20"/>
                <w:szCs w:val="20"/>
              </w:rPr>
            </w:pPr>
            <w:r>
              <w:rPr>
                <w:b/>
                <w:sz w:val="20"/>
                <w:szCs w:val="20"/>
              </w:rPr>
              <w:t>Endangered Species:</w:t>
            </w:r>
          </w:p>
          <w:tbl>
            <w:tblPr>
              <w:tblStyle w:val="afff0"/>
              <w:tblW w:w="7075" w:type="dxa"/>
              <w:jc w:val="center"/>
              <w:tblInd w:w="0" w:type="dxa"/>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Layout w:type="fixed"/>
              <w:tblLook w:val="0400" w:firstRow="0" w:lastRow="0" w:firstColumn="0" w:lastColumn="0" w:noHBand="0" w:noVBand="1"/>
            </w:tblPr>
            <w:tblGrid>
              <w:gridCol w:w="1200"/>
              <w:gridCol w:w="2815"/>
              <w:gridCol w:w="3060"/>
            </w:tblGrid>
            <w:tr w:rsidR="005A63D1" w14:paraId="0A563021" w14:textId="77777777">
              <w:trPr>
                <w:trHeight w:val="300"/>
                <w:jc w:val="center"/>
              </w:trPr>
              <w:tc>
                <w:tcPr>
                  <w:tcW w:w="1200" w:type="dxa"/>
                </w:tcPr>
                <w:p w:rsidR="005A63D1" w:rsidRDefault="00DB5899" w14:paraId="000000AF" w14:textId="77777777">
                  <w:pPr>
                    <w:pStyle w:val="Normal2"/>
                    <w:framePr w:hSpace="180" w:wrap="around" w:hAnchor="text" w:vAnchor="text" w:x="-390" w:y="341"/>
                    <w:spacing w:after="0"/>
                    <w:jc w:val="center"/>
                  </w:pPr>
                  <w:r>
                    <w:t xml:space="preserve">Sea turtle </w:t>
                  </w:r>
                </w:p>
              </w:tc>
              <w:tc>
                <w:tcPr>
                  <w:tcW w:w="2815" w:type="dxa"/>
                </w:tcPr>
                <w:p w:rsidR="005A63D1" w:rsidRDefault="00DB5899" w14:paraId="000000B0" w14:textId="77777777">
                  <w:pPr>
                    <w:pStyle w:val="Normal2"/>
                    <w:framePr w:hSpace="180" w:wrap="around" w:hAnchor="text" w:vAnchor="text" w:x="-390" w:y="341"/>
                    <w:spacing w:after="0"/>
                    <w:jc w:val="center"/>
                    <w:rPr>
                      <w:i/>
                    </w:rPr>
                  </w:pPr>
                  <w:r>
                    <w:rPr>
                      <w:i/>
                    </w:rPr>
                    <w:t>Chelonia mydas</w:t>
                  </w:r>
                </w:p>
              </w:tc>
              <w:tc>
                <w:tcPr>
                  <w:tcW w:w="3060" w:type="dxa"/>
                </w:tcPr>
                <w:p w:rsidR="005A63D1" w:rsidRDefault="00DB5899" w14:paraId="000000B1" w14:textId="77777777">
                  <w:pPr>
                    <w:pStyle w:val="Normal2"/>
                    <w:framePr w:hSpace="180" w:wrap="around" w:hAnchor="text" w:vAnchor="text" w:x="-390" w:y="341"/>
                    <w:spacing w:after="0"/>
                    <w:jc w:val="center"/>
                  </w:pPr>
                  <w:r>
                    <w:t>Green turtle</w:t>
                  </w:r>
                </w:p>
              </w:tc>
            </w:tr>
            <w:tr w:rsidR="005A63D1" w14:paraId="067E851C" w14:textId="77777777">
              <w:trPr>
                <w:trHeight w:val="300"/>
                <w:jc w:val="center"/>
              </w:trPr>
              <w:tc>
                <w:tcPr>
                  <w:tcW w:w="1200" w:type="dxa"/>
                </w:tcPr>
                <w:p w:rsidR="005A63D1" w:rsidRDefault="00DB5899" w14:paraId="000000B2" w14:textId="77777777">
                  <w:pPr>
                    <w:pStyle w:val="Normal2"/>
                    <w:framePr w:hSpace="180" w:wrap="around" w:hAnchor="text" w:vAnchor="text" w:x="-390" w:y="341"/>
                    <w:spacing w:after="0"/>
                    <w:jc w:val="center"/>
                  </w:pPr>
                  <w:r>
                    <w:t xml:space="preserve">Ray </w:t>
                  </w:r>
                </w:p>
              </w:tc>
              <w:tc>
                <w:tcPr>
                  <w:tcW w:w="2815" w:type="dxa"/>
                </w:tcPr>
                <w:p w:rsidR="005A63D1" w:rsidRDefault="00DB5899" w14:paraId="000000B3" w14:textId="77777777">
                  <w:pPr>
                    <w:pStyle w:val="Normal2"/>
                    <w:framePr w:hSpace="180" w:wrap="around" w:hAnchor="text" w:vAnchor="text" w:x="-390" w:y="341"/>
                    <w:spacing w:after="0"/>
                    <w:jc w:val="center"/>
                    <w:rPr>
                      <w:i/>
                    </w:rPr>
                  </w:pPr>
                  <w:r>
                    <w:rPr>
                      <w:i/>
                    </w:rPr>
                    <w:t>Mobula birostris</w:t>
                  </w:r>
                </w:p>
              </w:tc>
              <w:tc>
                <w:tcPr>
                  <w:tcW w:w="3060" w:type="dxa"/>
                </w:tcPr>
                <w:p w:rsidR="005A63D1" w:rsidRDefault="00DB5899" w14:paraId="000000B4" w14:textId="77777777">
                  <w:pPr>
                    <w:pStyle w:val="Normal2"/>
                    <w:framePr w:hSpace="180" w:wrap="around" w:hAnchor="text" w:vAnchor="text" w:x="-390" w:y="341"/>
                    <w:spacing w:after="0"/>
                    <w:jc w:val="center"/>
                  </w:pPr>
                  <w:r>
                    <w:t>Giant Manta Ray</w:t>
                  </w:r>
                </w:p>
              </w:tc>
            </w:tr>
            <w:tr w:rsidR="005A63D1" w14:paraId="775E44DA" w14:textId="77777777">
              <w:trPr>
                <w:trHeight w:val="300"/>
                <w:jc w:val="center"/>
              </w:trPr>
              <w:tc>
                <w:tcPr>
                  <w:tcW w:w="1200" w:type="dxa"/>
                </w:tcPr>
                <w:p w:rsidR="005A63D1" w:rsidRDefault="00DB5899" w14:paraId="000000B5" w14:textId="77777777">
                  <w:pPr>
                    <w:pStyle w:val="Normal2"/>
                    <w:framePr w:hSpace="180" w:wrap="around" w:hAnchor="text" w:vAnchor="text" w:x="-390" w:y="341"/>
                    <w:spacing w:after="0"/>
                    <w:jc w:val="center"/>
                  </w:pPr>
                  <w:r>
                    <w:t xml:space="preserve">Ray </w:t>
                  </w:r>
                </w:p>
              </w:tc>
              <w:tc>
                <w:tcPr>
                  <w:tcW w:w="2815" w:type="dxa"/>
                </w:tcPr>
                <w:p w:rsidR="005A63D1" w:rsidRDefault="00DB5899" w14:paraId="000000B6" w14:textId="77777777">
                  <w:pPr>
                    <w:pStyle w:val="Normal2"/>
                    <w:framePr w:hSpace="180" w:wrap="around" w:hAnchor="text" w:vAnchor="text" w:x="-390" w:y="341"/>
                    <w:spacing w:after="0"/>
                    <w:jc w:val="center"/>
                    <w:rPr>
                      <w:i/>
                    </w:rPr>
                  </w:pPr>
                  <w:r>
                    <w:rPr>
                      <w:i/>
                    </w:rPr>
                    <w:t>Mobula mobular</w:t>
                  </w:r>
                </w:p>
              </w:tc>
              <w:tc>
                <w:tcPr>
                  <w:tcW w:w="3060" w:type="dxa"/>
                </w:tcPr>
                <w:p w:rsidR="005A63D1" w:rsidRDefault="00DB5899" w14:paraId="000000B7" w14:textId="77777777">
                  <w:pPr>
                    <w:pStyle w:val="Normal2"/>
                    <w:framePr w:hSpace="180" w:wrap="around" w:hAnchor="text" w:vAnchor="text" w:x="-390" w:y="341"/>
                    <w:spacing w:after="0"/>
                    <w:jc w:val="center"/>
                  </w:pPr>
                  <w:r>
                    <w:t>Spinetail Devil Ray</w:t>
                  </w:r>
                </w:p>
              </w:tc>
            </w:tr>
            <w:tr w:rsidR="005A63D1" w14:paraId="3446B830" w14:textId="77777777">
              <w:trPr>
                <w:trHeight w:val="300"/>
                <w:jc w:val="center"/>
              </w:trPr>
              <w:tc>
                <w:tcPr>
                  <w:tcW w:w="1200" w:type="dxa"/>
                </w:tcPr>
                <w:p w:rsidR="005A63D1" w:rsidRDefault="00DB5899" w14:paraId="000000B8" w14:textId="77777777">
                  <w:pPr>
                    <w:pStyle w:val="Normal2"/>
                    <w:framePr w:hSpace="180" w:wrap="around" w:hAnchor="text" w:vAnchor="text" w:x="-390" w:y="341"/>
                    <w:spacing w:after="0"/>
                    <w:jc w:val="center"/>
                  </w:pPr>
                  <w:r>
                    <w:t xml:space="preserve">Ray </w:t>
                  </w:r>
                </w:p>
              </w:tc>
              <w:tc>
                <w:tcPr>
                  <w:tcW w:w="2815" w:type="dxa"/>
                </w:tcPr>
                <w:p w:rsidR="005A63D1" w:rsidRDefault="00DB5899" w14:paraId="000000B9" w14:textId="77777777">
                  <w:pPr>
                    <w:pStyle w:val="Normal2"/>
                    <w:framePr w:hSpace="180" w:wrap="around" w:hAnchor="text" w:vAnchor="text" w:x="-390" w:y="341"/>
                    <w:spacing w:after="0"/>
                    <w:jc w:val="center"/>
                    <w:rPr>
                      <w:i/>
                    </w:rPr>
                  </w:pPr>
                  <w:r>
                    <w:rPr>
                      <w:i/>
                    </w:rPr>
                    <w:t>Mobula tarapacana</w:t>
                  </w:r>
                </w:p>
              </w:tc>
              <w:tc>
                <w:tcPr>
                  <w:tcW w:w="3060" w:type="dxa"/>
                </w:tcPr>
                <w:p w:rsidR="005A63D1" w:rsidRDefault="00DB5899" w14:paraId="000000BA" w14:textId="77777777">
                  <w:pPr>
                    <w:pStyle w:val="Normal2"/>
                    <w:framePr w:hSpace="180" w:wrap="around" w:hAnchor="text" w:vAnchor="text" w:x="-390" w:y="341"/>
                    <w:spacing w:after="0"/>
                    <w:jc w:val="center"/>
                  </w:pPr>
                  <w:r>
                    <w:t>Sicklefin Devilray</w:t>
                  </w:r>
                </w:p>
              </w:tc>
            </w:tr>
            <w:tr w:rsidR="005A63D1" w14:paraId="43BA2036" w14:textId="77777777">
              <w:trPr>
                <w:trHeight w:val="300"/>
                <w:jc w:val="center"/>
              </w:trPr>
              <w:tc>
                <w:tcPr>
                  <w:tcW w:w="1200" w:type="dxa"/>
                </w:tcPr>
                <w:p w:rsidR="005A63D1" w:rsidRDefault="00DB5899" w14:paraId="000000BB" w14:textId="77777777">
                  <w:pPr>
                    <w:pStyle w:val="Normal2"/>
                    <w:framePr w:hSpace="180" w:wrap="around" w:hAnchor="text" w:vAnchor="text" w:x="-390" w:y="341"/>
                    <w:spacing w:after="0"/>
                    <w:jc w:val="center"/>
                  </w:pPr>
                  <w:r>
                    <w:t xml:space="preserve">Ray </w:t>
                  </w:r>
                </w:p>
              </w:tc>
              <w:tc>
                <w:tcPr>
                  <w:tcW w:w="2815" w:type="dxa"/>
                </w:tcPr>
                <w:p w:rsidR="005A63D1" w:rsidRDefault="00DB5899" w14:paraId="000000BC" w14:textId="77777777">
                  <w:pPr>
                    <w:pStyle w:val="Normal2"/>
                    <w:framePr w:hSpace="180" w:wrap="around" w:hAnchor="text" w:vAnchor="text" w:x="-390" w:y="341"/>
                    <w:spacing w:after="0"/>
                    <w:jc w:val="center"/>
                    <w:rPr>
                      <w:i/>
                    </w:rPr>
                  </w:pPr>
                  <w:r>
                    <w:rPr>
                      <w:i/>
                    </w:rPr>
                    <w:t>Mobula thurstoni</w:t>
                  </w:r>
                </w:p>
              </w:tc>
              <w:tc>
                <w:tcPr>
                  <w:tcW w:w="3060" w:type="dxa"/>
                </w:tcPr>
                <w:p w:rsidR="005A63D1" w:rsidRDefault="00DB5899" w14:paraId="000000BD" w14:textId="77777777">
                  <w:pPr>
                    <w:pStyle w:val="Normal2"/>
                    <w:framePr w:hSpace="180" w:wrap="around" w:hAnchor="text" w:vAnchor="text" w:x="-390" w:y="341"/>
                    <w:spacing w:after="0"/>
                    <w:jc w:val="center"/>
                  </w:pPr>
                  <w:r>
                    <w:t>Bentfin Devilray</w:t>
                  </w:r>
                </w:p>
              </w:tc>
            </w:tr>
            <w:tr w:rsidR="005A63D1" w14:paraId="1D17EACD" w14:textId="77777777">
              <w:trPr>
                <w:trHeight w:val="300"/>
                <w:jc w:val="center"/>
              </w:trPr>
              <w:tc>
                <w:tcPr>
                  <w:tcW w:w="1200" w:type="dxa"/>
                </w:tcPr>
                <w:p w:rsidR="005A63D1" w:rsidRDefault="00DB5899" w14:paraId="000000BE" w14:textId="77777777">
                  <w:pPr>
                    <w:pStyle w:val="Normal2"/>
                    <w:framePr w:hSpace="180" w:wrap="around" w:hAnchor="text" w:vAnchor="text" w:x="-390" w:y="341"/>
                    <w:spacing w:after="0"/>
                    <w:jc w:val="center"/>
                  </w:pPr>
                  <w:r>
                    <w:t xml:space="preserve">Shark </w:t>
                  </w:r>
                </w:p>
              </w:tc>
              <w:tc>
                <w:tcPr>
                  <w:tcW w:w="2815" w:type="dxa"/>
                </w:tcPr>
                <w:p w:rsidR="005A63D1" w:rsidRDefault="00DB5899" w14:paraId="000000BF" w14:textId="77777777">
                  <w:pPr>
                    <w:pStyle w:val="Normal2"/>
                    <w:framePr w:hSpace="180" w:wrap="around" w:hAnchor="text" w:vAnchor="text" w:x="-390" w:y="341"/>
                    <w:spacing w:after="0"/>
                    <w:jc w:val="center"/>
                    <w:rPr>
                      <w:i/>
                    </w:rPr>
                  </w:pPr>
                  <w:r>
                    <w:rPr>
                      <w:i/>
                    </w:rPr>
                    <w:t>Alopias pelagicus</w:t>
                  </w:r>
                </w:p>
              </w:tc>
              <w:tc>
                <w:tcPr>
                  <w:tcW w:w="3060" w:type="dxa"/>
                </w:tcPr>
                <w:p w:rsidR="005A63D1" w:rsidRDefault="00DB5899" w14:paraId="000000C0" w14:textId="77777777">
                  <w:pPr>
                    <w:pStyle w:val="Normal2"/>
                    <w:framePr w:hSpace="180" w:wrap="around" w:hAnchor="text" w:vAnchor="text" w:x="-390" w:y="341"/>
                    <w:spacing w:after="0"/>
                    <w:jc w:val="center"/>
                  </w:pPr>
                  <w:r>
                    <w:t>Pelagic thresher</w:t>
                  </w:r>
                </w:p>
              </w:tc>
            </w:tr>
            <w:tr w:rsidR="005A63D1" w14:paraId="057B11FA" w14:textId="77777777">
              <w:trPr>
                <w:trHeight w:val="300"/>
                <w:jc w:val="center"/>
              </w:trPr>
              <w:tc>
                <w:tcPr>
                  <w:tcW w:w="1200" w:type="dxa"/>
                </w:tcPr>
                <w:p w:rsidR="005A63D1" w:rsidRDefault="00DB5899" w14:paraId="000000C1" w14:textId="77777777">
                  <w:pPr>
                    <w:pStyle w:val="Normal2"/>
                    <w:framePr w:hSpace="180" w:wrap="around" w:hAnchor="text" w:vAnchor="text" w:x="-390" w:y="341"/>
                    <w:spacing w:after="0"/>
                    <w:jc w:val="center"/>
                  </w:pPr>
                  <w:r>
                    <w:t xml:space="preserve">Shark </w:t>
                  </w:r>
                </w:p>
              </w:tc>
              <w:tc>
                <w:tcPr>
                  <w:tcW w:w="2815" w:type="dxa"/>
                </w:tcPr>
                <w:p w:rsidR="005A63D1" w:rsidRDefault="00DB5899" w14:paraId="000000C2" w14:textId="77777777">
                  <w:pPr>
                    <w:pStyle w:val="Normal2"/>
                    <w:framePr w:hSpace="180" w:wrap="around" w:hAnchor="text" w:vAnchor="text" w:x="-390" w:y="341"/>
                    <w:spacing w:after="0"/>
                    <w:jc w:val="center"/>
                    <w:rPr>
                      <w:i/>
                    </w:rPr>
                  </w:pPr>
                  <w:r>
                    <w:rPr>
                      <w:i/>
                    </w:rPr>
                    <w:t>Cetorhinus maximus</w:t>
                  </w:r>
                </w:p>
              </w:tc>
              <w:tc>
                <w:tcPr>
                  <w:tcW w:w="3060" w:type="dxa"/>
                </w:tcPr>
                <w:p w:rsidR="005A63D1" w:rsidRDefault="00DB5899" w14:paraId="000000C3" w14:textId="77777777">
                  <w:pPr>
                    <w:pStyle w:val="Normal2"/>
                    <w:framePr w:hSpace="180" w:wrap="around" w:hAnchor="text" w:vAnchor="text" w:x="-390" w:y="341"/>
                    <w:spacing w:after="0"/>
                    <w:jc w:val="center"/>
                  </w:pPr>
                  <w:r>
                    <w:t>Basking shark</w:t>
                  </w:r>
                </w:p>
              </w:tc>
            </w:tr>
            <w:tr w:rsidR="005A63D1" w14:paraId="2E2E0F60" w14:textId="77777777">
              <w:trPr>
                <w:trHeight w:val="300"/>
                <w:jc w:val="center"/>
              </w:trPr>
              <w:tc>
                <w:tcPr>
                  <w:tcW w:w="1200" w:type="dxa"/>
                </w:tcPr>
                <w:p w:rsidR="005A63D1" w:rsidRDefault="00DB5899" w14:paraId="000000C4" w14:textId="77777777">
                  <w:pPr>
                    <w:pStyle w:val="Normal2"/>
                    <w:framePr w:hSpace="180" w:wrap="around" w:hAnchor="text" w:vAnchor="text" w:x="-390" w:y="341"/>
                    <w:spacing w:after="0"/>
                    <w:jc w:val="center"/>
                  </w:pPr>
                  <w:r>
                    <w:t xml:space="preserve">Shark </w:t>
                  </w:r>
                </w:p>
              </w:tc>
              <w:tc>
                <w:tcPr>
                  <w:tcW w:w="2815" w:type="dxa"/>
                </w:tcPr>
                <w:p w:rsidR="005A63D1" w:rsidRDefault="00DB5899" w14:paraId="000000C5" w14:textId="77777777">
                  <w:pPr>
                    <w:pStyle w:val="Normal2"/>
                    <w:framePr w:hSpace="180" w:wrap="around" w:hAnchor="text" w:vAnchor="text" w:x="-390" w:y="341"/>
                    <w:spacing w:after="0"/>
                    <w:jc w:val="center"/>
                    <w:rPr>
                      <w:i/>
                    </w:rPr>
                  </w:pPr>
                  <w:r>
                    <w:rPr>
                      <w:i/>
                    </w:rPr>
                    <w:t>Ginglymostoma unami</w:t>
                  </w:r>
                </w:p>
              </w:tc>
              <w:tc>
                <w:tcPr>
                  <w:tcW w:w="3060" w:type="dxa"/>
                </w:tcPr>
                <w:p w:rsidR="005A63D1" w:rsidRDefault="00DB5899" w14:paraId="000000C6" w14:textId="77777777">
                  <w:pPr>
                    <w:pStyle w:val="Normal2"/>
                    <w:framePr w:hSpace="180" w:wrap="around" w:hAnchor="text" w:vAnchor="text" w:x="-390" w:y="341"/>
                    <w:spacing w:after="0"/>
                    <w:jc w:val="center"/>
                  </w:pPr>
                  <w:r>
                    <w:t>Nurse shark</w:t>
                  </w:r>
                </w:p>
              </w:tc>
            </w:tr>
            <w:tr w:rsidR="005A63D1" w14:paraId="05E84D1F" w14:textId="77777777">
              <w:trPr>
                <w:trHeight w:val="300"/>
                <w:jc w:val="center"/>
              </w:trPr>
              <w:tc>
                <w:tcPr>
                  <w:tcW w:w="1200" w:type="dxa"/>
                </w:tcPr>
                <w:p w:rsidR="005A63D1" w:rsidRDefault="00DB5899" w14:paraId="000000C7" w14:textId="77777777">
                  <w:pPr>
                    <w:pStyle w:val="Normal2"/>
                    <w:framePr w:hSpace="180" w:wrap="around" w:hAnchor="text" w:vAnchor="text" w:x="-390" w:y="341"/>
                    <w:spacing w:after="0"/>
                    <w:jc w:val="center"/>
                  </w:pPr>
                  <w:r>
                    <w:t xml:space="preserve">Shark </w:t>
                  </w:r>
                </w:p>
              </w:tc>
              <w:tc>
                <w:tcPr>
                  <w:tcW w:w="2815" w:type="dxa"/>
                </w:tcPr>
                <w:p w:rsidR="005A63D1" w:rsidRDefault="00DB5899" w14:paraId="000000C8" w14:textId="77777777">
                  <w:pPr>
                    <w:pStyle w:val="Normal2"/>
                    <w:framePr w:hSpace="180" w:wrap="around" w:hAnchor="text" w:vAnchor="text" w:x="-390" w:y="341"/>
                    <w:spacing w:after="0"/>
                    <w:jc w:val="center"/>
                    <w:rPr>
                      <w:i/>
                    </w:rPr>
                  </w:pPr>
                  <w:r>
                    <w:rPr>
                      <w:i/>
                    </w:rPr>
                    <w:t>Isurus oxyrinchus</w:t>
                  </w:r>
                </w:p>
              </w:tc>
              <w:tc>
                <w:tcPr>
                  <w:tcW w:w="3060" w:type="dxa"/>
                </w:tcPr>
                <w:p w:rsidR="005A63D1" w:rsidRDefault="00DB5899" w14:paraId="000000C9" w14:textId="77777777">
                  <w:pPr>
                    <w:pStyle w:val="Normal2"/>
                    <w:framePr w:hSpace="180" w:wrap="around" w:hAnchor="text" w:vAnchor="text" w:x="-390" w:y="341"/>
                    <w:spacing w:after="0"/>
                    <w:jc w:val="center"/>
                  </w:pPr>
                  <w:r>
                    <w:t>Shortfin mako</w:t>
                  </w:r>
                </w:p>
              </w:tc>
            </w:tr>
            <w:tr w:rsidR="005A63D1" w14:paraId="272919FE" w14:textId="77777777">
              <w:trPr>
                <w:trHeight w:val="300"/>
                <w:jc w:val="center"/>
              </w:trPr>
              <w:tc>
                <w:tcPr>
                  <w:tcW w:w="1200" w:type="dxa"/>
                </w:tcPr>
                <w:p w:rsidR="005A63D1" w:rsidRDefault="00DB5899" w14:paraId="000000CA" w14:textId="77777777">
                  <w:pPr>
                    <w:pStyle w:val="Normal2"/>
                    <w:framePr w:hSpace="180" w:wrap="around" w:hAnchor="text" w:vAnchor="text" w:x="-390" w:y="341"/>
                    <w:spacing w:after="0"/>
                    <w:jc w:val="center"/>
                  </w:pPr>
                  <w:r>
                    <w:t xml:space="preserve">Shark </w:t>
                  </w:r>
                </w:p>
              </w:tc>
              <w:tc>
                <w:tcPr>
                  <w:tcW w:w="2815" w:type="dxa"/>
                </w:tcPr>
                <w:p w:rsidR="005A63D1" w:rsidRDefault="00DB5899" w14:paraId="000000CB" w14:textId="77777777">
                  <w:pPr>
                    <w:pStyle w:val="Normal2"/>
                    <w:framePr w:hSpace="180" w:wrap="around" w:hAnchor="text" w:vAnchor="text" w:x="-390" w:y="341"/>
                    <w:spacing w:after="0"/>
                    <w:jc w:val="center"/>
                    <w:rPr>
                      <w:i/>
                    </w:rPr>
                  </w:pPr>
                  <w:r>
                    <w:rPr>
                      <w:i/>
                    </w:rPr>
                    <w:t>Isurus paucus</w:t>
                  </w:r>
                </w:p>
              </w:tc>
              <w:tc>
                <w:tcPr>
                  <w:tcW w:w="3060" w:type="dxa"/>
                </w:tcPr>
                <w:p w:rsidR="005A63D1" w:rsidRDefault="00DB5899" w14:paraId="000000CC" w14:textId="77777777">
                  <w:pPr>
                    <w:pStyle w:val="Normal2"/>
                    <w:framePr w:hSpace="180" w:wrap="around" w:hAnchor="text" w:vAnchor="text" w:x="-390" w:y="341"/>
                    <w:spacing w:after="0"/>
                    <w:jc w:val="center"/>
                  </w:pPr>
                  <w:r>
                    <w:t>Longfin mako</w:t>
                  </w:r>
                </w:p>
              </w:tc>
            </w:tr>
            <w:tr w:rsidR="005A63D1" w14:paraId="0C375657" w14:textId="77777777">
              <w:trPr>
                <w:trHeight w:val="300"/>
                <w:jc w:val="center"/>
              </w:trPr>
              <w:tc>
                <w:tcPr>
                  <w:tcW w:w="1200" w:type="dxa"/>
                </w:tcPr>
                <w:p w:rsidR="005A63D1" w:rsidRDefault="00DB5899" w14:paraId="000000CD" w14:textId="77777777">
                  <w:pPr>
                    <w:pStyle w:val="Normal2"/>
                    <w:framePr w:hSpace="180" w:wrap="around" w:hAnchor="text" w:vAnchor="text" w:x="-390" w:y="341"/>
                    <w:spacing w:after="0"/>
                    <w:jc w:val="center"/>
                  </w:pPr>
                  <w:r>
                    <w:t xml:space="preserve">Shark </w:t>
                  </w:r>
                </w:p>
              </w:tc>
              <w:tc>
                <w:tcPr>
                  <w:tcW w:w="2815" w:type="dxa"/>
                </w:tcPr>
                <w:p w:rsidR="005A63D1" w:rsidRDefault="00DB5899" w14:paraId="000000CE" w14:textId="77777777">
                  <w:pPr>
                    <w:pStyle w:val="Normal2"/>
                    <w:framePr w:hSpace="180" w:wrap="around" w:hAnchor="text" w:vAnchor="text" w:x="-390" w:y="341"/>
                    <w:spacing w:after="0"/>
                    <w:jc w:val="center"/>
                    <w:rPr>
                      <w:i/>
                    </w:rPr>
                  </w:pPr>
                  <w:r>
                    <w:rPr>
                      <w:i/>
                    </w:rPr>
                    <w:t>Nasolamia velox</w:t>
                  </w:r>
                </w:p>
              </w:tc>
              <w:tc>
                <w:tcPr>
                  <w:tcW w:w="3060" w:type="dxa"/>
                </w:tcPr>
                <w:p w:rsidR="005A63D1" w:rsidRDefault="00DB5899" w14:paraId="000000CF" w14:textId="77777777">
                  <w:pPr>
                    <w:pStyle w:val="Normal2"/>
                    <w:framePr w:hSpace="180" w:wrap="around" w:hAnchor="text" w:vAnchor="text" w:x="-390" w:y="341"/>
                    <w:spacing w:after="0"/>
                    <w:jc w:val="center"/>
                  </w:pPr>
                  <w:r>
                    <w:t>Whitenose shark</w:t>
                  </w:r>
                </w:p>
              </w:tc>
            </w:tr>
            <w:tr w:rsidR="005A63D1" w14:paraId="27708341" w14:textId="77777777">
              <w:trPr>
                <w:trHeight w:val="300"/>
                <w:jc w:val="center"/>
              </w:trPr>
              <w:tc>
                <w:tcPr>
                  <w:tcW w:w="1200" w:type="dxa"/>
                </w:tcPr>
                <w:p w:rsidR="005A63D1" w:rsidRDefault="00DB5899" w14:paraId="000000D0" w14:textId="77777777">
                  <w:pPr>
                    <w:pStyle w:val="Normal2"/>
                    <w:framePr w:hSpace="180" w:wrap="around" w:hAnchor="text" w:vAnchor="text" w:x="-390" w:y="341"/>
                    <w:spacing w:after="0"/>
                    <w:jc w:val="center"/>
                  </w:pPr>
                  <w:r>
                    <w:t xml:space="preserve">Shark </w:t>
                  </w:r>
                </w:p>
              </w:tc>
              <w:tc>
                <w:tcPr>
                  <w:tcW w:w="2815" w:type="dxa"/>
                </w:tcPr>
                <w:p w:rsidR="005A63D1" w:rsidRDefault="00DB5899" w14:paraId="000000D1" w14:textId="77777777">
                  <w:pPr>
                    <w:pStyle w:val="Normal2"/>
                    <w:framePr w:hSpace="180" w:wrap="around" w:hAnchor="text" w:vAnchor="text" w:x="-390" w:y="341"/>
                    <w:spacing w:after="0"/>
                    <w:jc w:val="center"/>
                    <w:rPr>
                      <w:i/>
                    </w:rPr>
                  </w:pPr>
                  <w:r>
                    <w:rPr>
                      <w:i/>
                    </w:rPr>
                    <w:t>Rhincodon typus</w:t>
                  </w:r>
                </w:p>
              </w:tc>
              <w:tc>
                <w:tcPr>
                  <w:tcW w:w="3060" w:type="dxa"/>
                </w:tcPr>
                <w:p w:rsidR="005A63D1" w:rsidRDefault="00DB5899" w14:paraId="000000D2" w14:textId="77777777">
                  <w:pPr>
                    <w:pStyle w:val="Normal2"/>
                    <w:framePr w:hSpace="180" w:wrap="around" w:hAnchor="text" w:vAnchor="text" w:x="-390" w:y="341"/>
                    <w:spacing w:after="0"/>
                    <w:jc w:val="center"/>
                  </w:pPr>
                  <w:r>
                    <w:t>Whale shark</w:t>
                  </w:r>
                </w:p>
              </w:tc>
            </w:tr>
            <w:tr w:rsidR="005A63D1" w14:paraId="297B53BE" w14:textId="77777777">
              <w:trPr>
                <w:trHeight w:val="300"/>
                <w:jc w:val="center"/>
              </w:trPr>
              <w:tc>
                <w:tcPr>
                  <w:tcW w:w="1200" w:type="dxa"/>
                </w:tcPr>
                <w:p w:rsidR="005A63D1" w:rsidRDefault="00DB5899" w14:paraId="000000D3" w14:textId="77777777">
                  <w:pPr>
                    <w:pStyle w:val="Normal2"/>
                    <w:framePr w:hSpace="180" w:wrap="around" w:hAnchor="text" w:vAnchor="text" w:x="-390" w:y="341"/>
                    <w:spacing w:after="0"/>
                    <w:jc w:val="center"/>
                  </w:pPr>
                  <w:r>
                    <w:t xml:space="preserve">Shark </w:t>
                  </w:r>
                </w:p>
              </w:tc>
              <w:tc>
                <w:tcPr>
                  <w:tcW w:w="2815" w:type="dxa"/>
                </w:tcPr>
                <w:p w:rsidR="005A63D1" w:rsidRDefault="00DB5899" w14:paraId="000000D4" w14:textId="77777777">
                  <w:pPr>
                    <w:pStyle w:val="Normal2"/>
                    <w:framePr w:hSpace="180" w:wrap="around" w:hAnchor="text" w:vAnchor="text" w:x="-390" w:y="341"/>
                    <w:spacing w:after="0"/>
                    <w:jc w:val="center"/>
                    <w:rPr>
                      <w:i/>
                    </w:rPr>
                  </w:pPr>
                  <w:r>
                    <w:rPr>
                      <w:i/>
                    </w:rPr>
                    <w:t>Sphyrna tiburo</w:t>
                  </w:r>
                </w:p>
              </w:tc>
              <w:tc>
                <w:tcPr>
                  <w:tcW w:w="3060" w:type="dxa"/>
                </w:tcPr>
                <w:p w:rsidR="005A63D1" w:rsidRDefault="00DB5899" w14:paraId="000000D5" w14:textId="77777777">
                  <w:pPr>
                    <w:pStyle w:val="Normal2"/>
                    <w:framePr w:hSpace="180" w:wrap="around" w:hAnchor="text" w:vAnchor="text" w:x="-390" w:y="341"/>
                    <w:spacing w:after="0"/>
                    <w:jc w:val="center"/>
                  </w:pPr>
                  <w:r>
                    <w:t>Bonnethead</w:t>
                  </w:r>
                </w:p>
              </w:tc>
            </w:tr>
          </w:tbl>
          <w:p w:rsidR="005A63D1" w:rsidRDefault="005A63D1" w14:paraId="000000D6" w14:textId="77777777">
            <w:pPr>
              <w:pStyle w:val="Normal2"/>
              <w:spacing w:after="0"/>
              <w:ind w:left="0" w:firstLine="0"/>
              <w:jc w:val="both"/>
            </w:pPr>
          </w:p>
          <w:p w:rsidR="005A63D1" w:rsidRDefault="00DB5899" w14:paraId="000000D7" w14:textId="77777777">
            <w:pPr>
              <w:pStyle w:val="Normal2"/>
              <w:ind w:left="0" w:firstLine="0"/>
              <w:jc w:val="both"/>
              <w:rPr>
                <w:sz w:val="21"/>
                <w:szCs w:val="21"/>
              </w:rPr>
            </w:pPr>
            <w:r>
              <w:rPr>
                <w:sz w:val="21"/>
                <w:szCs w:val="21"/>
              </w:rPr>
              <w:t>Additional specific information about the biodiversity of each country’s MPAs is provided below:</w:t>
            </w:r>
          </w:p>
          <w:p w:rsidR="005A63D1" w:rsidRDefault="00DB5899" w14:paraId="000000D8" w14:textId="77777777">
            <w:pPr>
              <w:pStyle w:val="Normal2"/>
              <w:pBdr>
                <w:top w:val="nil"/>
                <w:left w:val="nil"/>
                <w:bottom w:val="nil"/>
                <w:right w:val="nil"/>
                <w:between w:val="nil"/>
              </w:pBdr>
              <w:ind w:left="0" w:firstLine="0"/>
              <w:jc w:val="both"/>
              <w:rPr>
                <w:rFonts w:ascii="Arial" w:hAnsi="Arial" w:eastAsia="Arial" w:cs="Arial"/>
                <w:color w:val="212529"/>
                <w:sz w:val="24"/>
                <w:szCs w:val="24"/>
              </w:rPr>
            </w:pPr>
            <w:r>
              <w:rPr>
                <w:b/>
                <w:i/>
                <w:sz w:val="21"/>
                <w:szCs w:val="21"/>
              </w:rPr>
              <w:t xml:space="preserve">Costa Rica: </w:t>
            </w:r>
            <w:r>
              <w:rPr>
                <w:sz w:val="21"/>
                <w:szCs w:val="21"/>
              </w:rPr>
              <w:t>Cocos Island NP's seabed is praised by divers as the best in the world for observing large pelagic species such as sharks, rays, tuna and dolphins. The island holds various titles including Costa Rican Historical-Architectural Heritage and Protected Wetland of International Importance Ramsar. The Ramsar Wetlands Convention highlights "the marine area of Cocos Island and the existence of coral and fish species in great abundance. In addition, it has the most extensive and species-rich reef growth in the East</w:t>
            </w:r>
            <w:r>
              <w:rPr>
                <w:sz w:val="21"/>
                <w:szCs w:val="21"/>
              </w:rPr>
              <w:t>ern Pacific; it is a meeting place for pelagic (open sea) and reef (coastal water) animals” (CMAR Pacífico 2023b). The Bicentenario Marine Management Area has endemic island species, such as the cod grouper (Serranidae: Mycteroperca olfax), and other common species such as butterflyfish and angelfish, show a constant gene flow between these marine protected areas, despite being geographically separated by hundreds of kilometres (FAICO 2023).</w:t>
            </w:r>
          </w:p>
          <w:p w:rsidR="005A63D1" w:rsidRDefault="00DB5899" w14:paraId="000000D9" w14:textId="77777777">
            <w:pPr>
              <w:pStyle w:val="Normal2"/>
              <w:ind w:left="0" w:firstLine="0"/>
              <w:jc w:val="both"/>
              <w:rPr>
                <w:sz w:val="21"/>
                <w:szCs w:val="21"/>
              </w:rPr>
            </w:pPr>
            <w:r>
              <w:rPr>
                <w:b/>
                <w:i/>
                <w:sz w:val="21"/>
                <w:szCs w:val="21"/>
              </w:rPr>
              <w:t xml:space="preserve">Panama: </w:t>
            </w:r>
            <w:r>
              <w:rPr>
                <w:sz w:val="21"/>
                <w:szCs w:val="21"/>
              </w:rPr>
              <w:t>Endemism in Coiba NP includes one subfamily, four genera, one subgenus, 66 species and 24 subspecies. Two species of wood-decomposing fungi (Aphyllophorales),</w:t>
            </w:r>
            <w:r>
              <w:rPr>
                <w:i/>
                <w:sz w:val="21"/>
                <w:szCs w:val="21"/>
              </w:rPr>
              <w:t xml:space="preserve"> Antrodiella reflexa</w:t>
            </w:r>
            <w:r>
              <w:rPr>
                <w:sz w:val="21"/>
                <w:szCs w:val="21"/>
              </w:rPr>
              <w:t xml:space="preserve"> and </w:t>
            </w:r>
            <w:r>
              <w:rPr>
                <w:i/>
                <w:sz w:val="21"/>
                <w:szCs w:val="21"/>
              </w:rPr>
              <w:t>Macrohyporia pileata</w:t>
            </w:r>
            <w:r>
              <w:rPr>
                <w:sz w:val="21"/>
                <w:szCs w:val="21"/>
              </w:rPr>
              <w:t xml:space="preserve"> are reported as endemic to the NP. Among the endemic flora species, one genus and one species, </w:t>
            </w:r>
            <w:r>
              <w:rPr>
                <w:i/>
                <w:sz w:val="21"/>
                <w:szCs w:val="21"/>
              </w:rPr>
              <w:t>Desmotes incomparabilis</w:t>
            </w:r>
            <w:r>
              <w:rPr>
                <w:sz w:val="21"/>
                <w:szCs w:val="21"/>
              </w:rPr>
              <w:t xml:space="preserve"> and two endemic species, </w:t>
            </w:r>
            <w:r>
              <w:rPr>
                <w:i/>
                <w:sz w:val="21"/>
                <w:szCs w:val="21"/>
              </w:rPr>
              <w:t>Fleischmannia coibensis</w:t>
            </w:r>
            <w:r>
              <w:rPr>
                <w:sz w:val="21"/>
                <w:szCs w:val="21"/>
              </w:rPr>
              <w:t xml:space="preserve"> and </w:t>
            </w:r>
            <w:r>
              <w:rPr>
                <w:i/>
                <w:sz w:val="21"/>
                <w:szCs w:val="21"/>
              </w:rPr>
              <w:t>Psychotria fosteri,</w:t>
            </w:r>
            <w:r>
              <w:rPr>
                <w:sz w:val="21"/>
                <w:szCs w:val="21"/>
              </w:rPr>
              <w:t xml:space="preserve"> can be mentioned within the vascular plants (Autoridad Nacional del Ambiente 2009). The Coiba ridge is also considered a biodiversity hotspot, home to endangered sea turtles, whales, sharks, and countless species of seabirds (</w:t>
            </w:r>
            <w:r>
              <w:t>Wyss Foundation 2023</w:t>
            </w:r>
            <w:r>
              <w:rPr>
                <w:sz w:val="21"/>
                <w:szCs w:val="21"/>
              </w:rPr>
              <w:t>).</w:t>
            </w:r>
          </w:p>
          <w:p w:rsidR="005A63D1" w:rsidRDefault="00DB5899" w14:paraId="000000DA" w14:textId="77777777">
            <w:pPr>
              <w:pStyle w:val="Normal2"/>
              <w:ind w:left="0" w:firstLine="0"/>
              <w:jc w:val="both"/>
              <w:rPr>
                <w:sz w:val="21"/>
                <w:szCs w:val="21"/>
              </w:rPr>
            </w:pPr>
            <w:r>
              <w:rPr>
                <w:b/>
                <w:i/>
                <w:sz w:val="21"/>
                <w:szCs w:val="21"/>
              </w:rPr>
              <w:t xml:space="preserve">Colombia: </w:t>
            </w:r>
            <w:r>
              <w:rPr>
                <w:sz w:val="21"/>
                <w:szCs w:val="21"/>
              </w:rPr>
              <w:t>Gorgona Island has abundant vegetation (86% of the island is covered) and high rainfall (6,900mm), which favours the presence of great biodiversity. The island is home to 159 migratory and resident birds, 35 terrestrial reptiles, 543 vascular plants, 2 freshwater fish, among others. Its marine area has 0.3 km2 of coral formations, it being the largest extension of hard corals in the Colombian Pacific. There are 25 hard corals, 24 echinoderms, 53 polychaetes, 525 molluscs, 159 crustaceans, 379 marine fish, 1</w:t>
            </w:r>
            <w:r>
              <w:rPr>
                <w:sz w:val="21"/>
                <w:szCs w:val="21"/>
              </w:rPr>
              <w:t>5 marine mammals, 6 marine reptiles, 86 macroalgae, among other species (CMAR Pacífico 2023a). Likewise, the Malpelo Sanctuary is a ‘reservoir' for biodiversity, particularly sharks, giant grouper and billfish and is one of the few places in the world where sightings of the short-nosed ragged-toothed shark, a deepwater shark, have been confirmed. Other biodiversity highlights include 17 marine mammal species, seven marine reptile species, 394 fish species and 340 species of mollusks. Known marine endemics i</w:t>
            </w:r>
            <w:r>
              <w:rPr>
                <w:sz w:val="21"/>
                <w:szCs w:val="21"/>
              </w:rPr>
              <w:t>nclude five fish species and two sea star species (UNESCO 2023). The Yuruparí-Malpelo District contains pelagic ecosystems and seabeds, with migratory animals such as tuna, goldfish and marine mammals, and includes some threathened species like the the hawksbill sea turtle (Eretmochelys imbricata) and the hammerhead (Sphyrna lewini) and whale (Rhincodon typus) sharks (PNNC 2023a). Colinas y Lomas Submarinas of the North Pacific is an area of high productivity that congregates medium pelagics such as billfis</w:t>
            </w:r>
            <w:r>
              <w:rPr>
                <w:sz w:val="21"/>
                <w:szCs w:val="21"/>
              </w:rPr>
              <w:t>h, sailfish, marlin, sierra wahoo and dorado, carbonate and non-carbonate sandy bottoms, as well as the bottlenose dolphin Tursiops truncatus that will be targets for conservation (MINAMBIENTE 2022).</w:t>
            </w:r>
          </w:p>
          <w:p w:rsidR="005A63D1" w:rsidRDefault="00DB5899" w14:paraId="000000DB" w14:textId="77777777">
            <w:pPr>
              <w:pStyle w:val="Normal2"/>
              <w:ind w:left="0" w:firstLine="0"/>
              <w:jc w:val="both"/>
              <w:rPr>
                <w:sz w:val="21"/>
                <w:szCs w:val="21"/>
              </w:rPr>
            </w:pPr>
            <w:r>
              <w:rPr>
                <w:b/>
                <w:i/>
                <w:sz w:val="21"/>
                <w:szCs w:val="21"/>
              </w:rPr>
              <w:t>Ecuador:</w:t>
            </w:r>
            <w:r>
              <w:rPr>
                <w:sz w:val="21"/>
                <w:szCs w:val="21"/>
              </w:rPr>
              <w:t xml:space="preserve"> The geographical and historical isolation of Galapagos has resulted in a high degree of biodiversity and endemism. More than 2900 marine species have been reported, of which 18.2% are endemic. More than 45 endemic bird species, 42 reptile species, 15 mammal species and 79 fish species live in Galapagos and coexist harmoniously with the local population. The Galapagos Islands also have a rich variety of endemic flora, reaching 500 species of vascular plants, bryophytes and algae (UNESCO 2015). The convergen</w:t>
            </w:r>
            <w:r>
              <w:rPr>
                <w:sz w:val="21"/>
                <w:szCs w:val="21"/>
              </w:rPr>
              <w:t>ce and influence of currents in the Galapagos marine reserve has generated a unique marine and terrestrial biodiversity, with organisms from warm climates such as corals and reef fish, to penguins and fur seals from cold climates (DPNG 2014). In the Hermandad reserve, there is high biodiversity in terms of pelagic species with a vulnerable conservation status, such as the shark Hammerhead (S. Lewini), Thresher Shark (A. Pelagicus) and Silky Shark (C. Falciformis) and the Pacific Green Turtle (Chelonia Mydas</w:t>
            </w:r>
            <w:r>
              <w:rPr>
                <w:sz w:val="21"/>
                <w:szCs w:val="21"/>
              </w:rPr>
              <w:t>), and therefore their protection requires immediate attention (Ministerio del Ambiente, Agua y Transición Ecológica 2022).</w:t>
            </w:r>
          </w:p>
          <w:p w:rsidR="005A63D1" w:rsidRDefault="00DB5899" w14:paraId="000000DC" w14:textId="77777777">
            <w:pPr>
              <w:pStyle w:val="Normal2"/>
              <w:ind w:left="0" w:firstLine="0"/>
              <w:jc w:val="both"/>
              <w:rPr>
                <w:sz w:val="21"/>
                <w:szCs w:val="21"/>
              </w:rPr>
            </w:pPr>
            <w:r>
              <w:rPr>
                <w:sz w:val="21"/>
                <w:szCs w:val="21"/>
              </w:rPr>
              <w:t>The increase in human population and development in the last decades has resulted in various negative impacts on the environment, including increased pollution on water bodies from agricultural runoff and urban waste, leading to habitat destruction and compromising ecosystem resilience as well as livelihoods. Unsustainable fishing is a main activity threatening this vast area, and bycatch is considered the most significant threat to the survival of marine megafauna, including species and populations of mari</w:t>
            </w:r>
            <w:r>
              <w:rPr>
                <w:sz w:val="21"/>
                <w:szCs w:val="21"/>
              </w:rPr>
              <w:t xml:space="preserve">ne mammals, turtles, sharks and rays worldwide. Agricultural activity is also affecting certain bird species, such as the Witch-bird, which became extinct on the islands of San Cristóbal and Floreana and whose future is unpredictable on Santa Cruz. Marine ecosystems are also being severely affected by climate change. In fact, changes have been observed in the geographical distribution of marine species in all oceanic regions (Poloczanska et al. 2016). Small islands are increasingly affected by increases in </w:t>
            </w:r>
            <w:r>
              <w:rPr>
                <w:sz w:val="21"/>
                <w:szCs w:val="21"/>
              </w:rPr>
              <w:t>temperature, the growing impacts of tropical cyclones, storm surges, droughts, changing precipitation patterns, sea level rise, coral bleaching and invasive species, all of which are already detectable across both natural and human systems. Climate change is predicted to increase sea levels, change ocean temperatures, alter oceanic currents around the Islands and change the amount and distribution of rainfall. These conditions, together with current human activity and pressure on the natural ecosystems, wil</w:t>
            </w:r>
            <w:r>
              <w:rPr>
                <w:sz w:val="21"/>
                <w:szCs w:val="21"/>
              </w:rPr>
              <w:t>l result in accelerated species losses. The loss of the island’s biodiversity will directly impact the local communities as their livelihoods are primarily tourism, fisheries, and agriculture, all of which are dependent on these threatened natural resources (Larrea and Di Carlo 2011).</w:t>
            </w:r>
          </w:p>
          <w:p w:rsidR="005A63D1" w:rsidRDefault="00DB5899" w14:paraId="000000DD" w14:textId="77777777">
            <w:pPr>
              <w:pStyle w:val="Normal2"/>
              <w:ind w:left="0" w:firstLine="0"/>
              <w:jc w:val="both"/>
              <w:rPr>
                <w:sz w:val="21"/>
                <w:szCs w:val="21"/>
              </w:rPr>
            </w:pPr>
            <w:r>
              <w:rPr>
                <w:sz w:val="21"/>
                <w:szCs w:val="21"/>
              </w:rPr>
              <w:t>While the Central ETP continues to attract sustainability investment, the scale of solutions does not match the current magnitude of threats (GEF 2023).</w:t>
            </w:r>
          </w:p>
        </w:tc>
      </w:tr>
      <w:tr w:rsidR="005A63D1" w14:paraId="223C3510" w14:textId="77777777">
        <w:trPr>
          <w:trHeight w:val="23013" w:hRule="exact"/>
        </w:trPr>
        <w:tc>
          <w:tcPr>
            <w:tcW w:w="10185" w:type="dxa"/>
          </w:tcPr>
          <w:p w:rsidR="005A63D1" w:rsidRDefault="00DB5899" w14:paraId="000000DE" w14:textId="77777777">
            <w:pPr>
              <w:pStyle w:val="Normal2"/>
              <w:spacing w:after="0"/>
              <w:ind w:left="90" w:firstLine="0"/>
              <w:rPr>
                <w:rFonts w:cs="Calibri"/>
                <w:sz w:val="24"/>
                <w:szCs w:val="24"/>
              </w:rPr>
            </w:pPr>
            <w:r>
              <w:rPr>
                <w:rFonts w:cs="Calibri"/>
                <w:b/>
                <w:sz w:val="24"/>
                <w:szCs w:val="24"/>
              </w:rPr>
              <w:t>Socio-economic Context of Project</w:t>
            </w:r>
            <w:r>
              <w:rPr>
                <w:rFonts w:cs="Calibri"/>
                <w:sz w:val="24"/>
                <w:szCs w:val="24"/>
              </w:rPr>
              <w:t xml:space="preserve"> </w:t>
            </w:r>
            <w:r>
              <w:rPr>
                <w:rFonts w:cs="Calibri"/>
                <w:b/>
                <w:sz w:val="24"/>
                <w:szCs w:val="24"/>
              </w:rPr>
              <w:t>Area</w:t>
            </w:r>
          </w:p>
          <w:p w:rsidR="005A63D1" w:rsidRDefault="00DB5899" w14:paraId="000000DF" w14:textId="77777777">
            <w:pPr>
              <w:pStyle w:val="Normal2"/>
              <w:numPr>
                <w:ilvl w:val="0"/>
                <w:numId w:val="3"/>
              </w:numPr>
              <w:pBdr>
                <w:top w:val="nil"/>
                <w:left w:val="nil"/>
                <w:bottom w:val="nil"/>
                <w:right w:val="nil"/>
                <w:between w:val="nil"/>
              </w:pBdr>
              <w:spacing w:before="80" w:after="200"/>
              <w:ind w:left="566"/>
              <w:rPr>
                <w:rFonts w:cs="Calibri"/>
                <w:i/>
                <w:color w:val="1C4587"/>
                <w:sz w:val="20"/>
                <w:szCs w:val="20"/>
              </w:rPr>
            </w:pPr>
            <w:r>
              <w:rPr>
                <w:i/>
                <w:color w:val="1C4587"/>
                <w:sz w:val="20"/>
                <w:szCs w:val="20"/>
              </w:rPr>
              <w:t>Describe the broad economic, social and cultural context of, and local communities living in, the area of the proposed project and identify disadvantaged groups present in the area. Include statistical information on the number of men, women, indigenous people, disadvantaged/vulnerable/disabled groups, economic/livelihood activity, household income.</w:t>
            </w:r>
          </w:p>
          <w:p w:rsidR="005A63D1" w:rsidRDefault="00DB5899" w14:paraId="000000E0" w14:textId="77777777">
            <w:pPr>
              <w:pStyle w:val="Normal2"/>
              <w:pBdr>
                <w:top w:val="nil"/>
                <w:left w:val="nil"/>
                <w:bottom w:val="nil"/>
                <w:right w:val="nil"/>
                <w:between w:val="nil"/>
              </w:pBdr>
              <w:spacing w:after="200"/>
              <w:ind w:left="0" w:firstLine="0"/>
              <w:jc w:val="both"/>
              <w:rPr>
                <w:sz w:val="21"/>
                <w:szCs w:val="21"/>
              </w:rPr>
            </w:pPr>
            <w:r>
              <w:rPr>
                <w:sz w:val="21"/>
                <w:szCs w:val="21"/>
              </w:rPr>
              <w:t>Most of the inhabitants of the CMAR project area reside in the Galapagos Archipelago islands, although the other MPAs also constitute important resource areas for the surrounding population. Therefore, most project beneficiaries will primarily include people involved in economic activities in these areas, including workers involved in tourism and fishing activities. CMAR and MPAs management staff and researchers will also benefit from the project.</w:t>
            </w:r>
          </w:p>
          <w:p w:rsidR="005A63D1" w:rsidRDefault="00DB5899" w14:paraId="000000E1" w14:textId="77777777">
            <w:pPr>
              <w:pStyle w:val="Normal2"/>
              <w:pBdr>
                <w:top w:val="nil"/>
                <w:left w:val="nil"/>
                <w:bottom w:val="nil"/>
                <w:right w:val="nil"/>
                <w:between w:val="nil"/>
              </w:pBdr>
              <w:spacing w:after="200"/>
              <w:ind w:left="0" w:firstLine="0"/>
              <w:jc w:val="both"/>
              <w:rPr>
                <w:sz w:val="21"/>
                <w:szCs w:val="21"/>
              </w:rPr>
            </w:pPr>
            <w:r>
              <w:rPr>
                <w:sz w:val="21"/>
                <w:szCs w:val="21"/>
              </w:rPr>
              <w:t>Economic activities and employment in the CMAR are highly dependent on the use of natural resources and ecological services of the MPAs. They are largely limited to the provision of services (tourism), the extraction of direct products (fishing), marine transportation or harvesting and jobs in processing industries. Some exceptions are found in the areas of influence, where there are job offers in the primary sectors oriented to agriculture and livestock.  For artisanal extractive activities such as fishing</w:t>
            </w:r>
            <w:r>
              <w:rPr>
                <w:sz w:val="21"/>
                <w:szCs w:val="21"/>
              </w:rPr>
              <w:t>, the use of natural resources is free. The only criterion for access to fishing resources is compliance with the established minimum regulations (i.e. fishing licences). Fishing resources are only limited by their availability and certain restrictions in protected areas and EEZs. In the CMAR region, national authorities regulate fishing through temporary closures, catch size limitations or fishing gear.</w:t>
            </w:r>
          </w:p>
          <w:p w:rsidR="005A63D1" w:rsidRDefault="00DB5899" w14:paraId="000000E2" w14:textId="77777777">
            <w:pPr>
              <w:pStyle w:val="Normal2"/>
              <w:pBdr>
                <w:top w:val="nil"/>
                <w:left w:val="nil"/>
                <w:bottom w:val="nil"/>
                <w:right w:val="nil"/>
                <w:between w:val="nil"/>
              </w:pBdr>
              <w:spacing w:after="200"/>
              <w:ind w:left="0" w:firstLine="0"/>
              <w:jc w:val="both"/>
              <w:rPr>
                <w:sz w:val="21"/>
                <w:szCs w:val="21"/>
                <w:highlight w:val="yellow"/>
              </w:rPr>
            </w:pPr>
            <w:r>
              <w:rPr>
                <w:sz w:val="21"/>
                <w:szCs w:val="21"/>
              </w:rPr>
              <w:t>CMAR's area of influence (with the exception of the Galapagos Islands) is a region dominated by high unemployment, poor access to services and significant poverty, despite the fact that the fishing, tourism and maritime transport sectors earn high incomes. Therefore, there are needs and opportunities for the development of projects that favour the sustainable use of resources, improving the poverty conditions of the populations, giving more room for participation to the most vulnerable people and empowering</w:t>
            </w:r>
            <w:r>
              <w:rPr>
                <w:sz w:val="21"/>
                <w:szCs w:val="21"/>
              </w:rPr>
              <w:t xml:space="preserve"> women in local economies. Poverty levels in the intervention areas of the four countries are higher than the mean national levels, with the exception of the Galapagos Islands, where the situation is reversed.</w:t>
            </w:r>
          </w:p>
          <w:p w:rsidR="005A63D1" w:rsidRDefault="00DB5899" w14:paraId="000000E3" w14:textId="77777777">
            <w:pPr>
              <w:pStyle w:val="Normal2"/>
              <w:pBdr>
                <w:top w:val="nil"/>
                <w:left w:val="nil"/>
                <w:bottom w:val="nil"/>
                <w:right w:val="nil"/>
                <w:between w:val="nil"/>
              </w:pBdr>
              <w:spacing w:after="80"/>
              <w:ind w:left="0" w:firstLine="0"/>
              <w:jc w:val="both"/>
              <w:rPr>
                <w:b/>
                <w:sz w:val="21"/>
                <w:szCs w:val="21"/>
              </w:rPr>
            </w:pPr>
            <w:r>
              <w:rPr>
                <w:b/>
                <w:sz w:val="21"/>
                <w:szCs w:val="21"/>
              </w:rPr>
              <w:t>Costa Rica:</w:t>
            </w:r>
          </w:p>
          <w:p w:rsidR="005A63D1" w:rsidRDefault="00DB5899" w14:paraId="000000E4" w14:textId="77777777">
            <w:pPr>
              <w:pStyle w:val="Normal2"/>
              <w:pBdr>
                <w:top w:val="nil"/>
                <w:left w:val="nil"/>
                <w:bottom w:val="nil"/>
                <w:right w:val="nil"/>
                <w:between w:val="nil"/>
              </w:pBdr>
              <w:spacing w:after="200"/>
              <w:ind w:left="0" w:firstLine="0"/>
              <w:jc w:val="both"/>
              <w:rPr>
                <w:sz w:val="21"/>
                <w:szCs w:val="21"/>
              </w:rPr>
            </w:pPr>
            <w:r>
              <w:rPr>
                <w:sz w:val="21"/>
                <w:szCs w:val="21"/>
              </w:rPr>
              <w:t>The group of actors in Isla de Cocos NP (Figure 3) are the following</w:t>
            </w:r>
            <w:r>
              <w:rPr>
                <w:sz w:val="21"/>
                <w:szCs w:val="21"/>
                <w:vertAlign w:val="superscript"/>
              </w:rPr>
              <w:footnoteReference w:id="4"/>
            </w:r>
            <w:r>
              <w:rPr>
                <w:sz w:val="21"/>
                <w:szCs w:val="21"/>
              </w:rPr>
              <w:t>:</w:t>
            </w:r>
          </w:p>
          <w:p w:rsidR="005A63D1" w:rsidRDefault="00DB5899" w14:paraId="000000E5" w14:textId="77777777">
            <w:pPr>
              <w:pStyle w:val="Normal2"/>
              <w:numPr>
                <w:ilvl w:val="0"/>
                <w:numId w:val="13"/>
              </w:numPr>
              <w:pBdr>
                <w:top w:val="nil"/>
                <w:left w:val="nil"/>
                <w:bottom w:val="nil"/>
                <w:right w:val="nil"/>
                <w:between w:val="nil"/>
              </w:pBdr>
              <w:spacing w:before="200" w:after="0" w:line="276" w:lineRule="auto"/>
              <w:jc w:val="both"/>
              <w:rPr>
                <w:sz w:val="21"/>
                <w:szCs w:val="21"/>
              </w:rPr>
            </w:pPr>
            <w:r>
              <w:rPr>
                <w:sz w:val="21"/>
                <w:szCs w:val="21"/>
              </w:rPr>
              <w:t>Tourists: There is a tourism plan and access areas are restricted for diving. Tourism can be considered low impact. Only small boats can enter the area for a duration of 1 week (strict control). Boats: there are yachts and sailboats that go to the island occasionally. Licences and registers exist.</w:t>
            </w:r>
          </w:p>
          <w:p w:rsidR="005A63D1" w:rsidRDefault="00DB5899" w14:paraId="000000E6" w14:textId="77777777">
            <w:pPr>
              <w:pStyle w:val="Normal2"/>
              <w:numPr>
                <w:ilvl w:val="0"/>
                <w:numId w:val="13"/>
              </w:numPr>
              <w:pBdr>
                <w:top w:val="nil"/>
                <w:left w:val="nil"/>
                <w:bottom w:val="nil"/>
                <w:right w:val="nil"/>
                <w:between w:val="nil"/>
              </w:pBdr>
              <w:spacing w:after="0" w:line="276" w:lineRule="auto"/>
              <w:jc w:val="both"/>
              <w:rPr>
                <w:sz w:val="21"/>
                <w:szCs w:val="21"/>
              </w:rPr>
            </w:pPr>
            <w:r>
              <w:rPr>
                <w:sz w:val="21"/>
                <w:szCs w:val="21"/>
              </w:rPr>
              <w:t>Rangers: A team of approximately 10 people.</w:t>
            </w:r>
          </w:p>
          <w:p w:rsidR="005A63D1" w:rsidRDefault="00DB5899" w14:paraId="000000E7" w14:textId="77777777">
            <w:pPr>
              <w:pStyle w:val="Normal2"/>
              <w:numPr>
                <w:ilvl w:val="0"/>
                <w:numId w:val="13"/>
              </w:numPr>
              <w:pBdr>
                <w:top w:val="nil"/>
                <w:left w:val="nil"/>
                <w:bottom w:val="nil"/>
                <w:right w:val="nil"/>
                <w:between w:val="nil"/>
              </w:pBdr>
              <w:spacing w:after="0" w:line="276" w:lineRule="auto"/>
              <w:jc w:val="both"/>
              <w:rPr>
                <w:sz w:val="21"/>
                <w:szCs w:val="21"/>
              </w:rPr>
            </w:pPr>
            <w:r>
              <w:rPr>
                <w:sz w:val="21"/>
                <w:szCs w:val="21"/>
              </w:rPr>
              <w:t>Ministry of public security: coastguard.</w:t>
            </w:r>
          </w:p>
          <w:p w:rsidR="005A63D1" w:rsidRDefault="00DB5899" w14:paraId="000000E8" w14:textId="77777777">
            <w:pPr>
              <w:pStyle w:val="Normal2"/>
              <w:numPr>
                <w:ilvl w:val="0"/>
                <w:numId w:val="13"/>
              </w:numPr>
              <w:pBdr>
                <w:top w:val="nil"/>
                <w:left w:val="nil"/>
                <w:bottom w:val="nil"/>
                <w:right w:val="nil"/>
                <w:between w:val="nil"/>
              </w:pBdr>
              <w:spacing w:after="0" w:line="276" w:lineRule="auto"/>
              <w:jc w:val="both"/>
              <w:rPr>
                <w:sz w:val="21"/>
                <w:szCs w:val="21"/>
              </w:rPr>
            </w:pPr>
            <w:r>
              <w:rPr>
                <w:sz w:val="21"/>
                <w:szCs w:val="21"/>
              </w:rPr>
              <w:t>Bomberos de Costa Rica (firefighting services) has a station on the island. There are also coast guards.</w:t>
            </w:r>
          </w:p>
          <w:p w:rsidR="005A63D1" w:rsidRDefault="00DB5899" w14:paraId="000000E9" w14:textId="77777777">
            <w:pPr>
              <w:pStyle w:val="Normal2"/>
              <w:numPr>
                <w:ilvl w:val="0"/>
                <w:numId w:val="13"/>
              </w:numPr>
              <w:pBdr>
                <w:top w:val="nil"/>
                <w:left w:val="nil"/>
                <w:bottom w:val="nil"/>
                <w:right w:val="nil"/>
                <w:between w:val="nil"/>
              </w:pBdr>
              <w:spacing w:after="0" w:line="276" w:lineRule="auto"/>
              <w:jc w:val="both"/>
              <w:rPr>
                <w:sz w:val="21"/>
                <w:szCs w:val="21"/>
              </w:rPr>
            </w:pPr>
            <w:r>
              <w:rPr>
                <w:sz w:val="21"/>
                <w:szCs w:val="21"/>
              </w:rPr>
              <w:t xml:space="preserve">NGOs such as FAICO, Costa Rica por Siempre, Misión Tiburón, INNOCEANA, Rewild, Fundación Bezos, Re-planet, Conservación Internacional. </w:t>
            </w:r>
          </w:p>
          <w:p w:rsidR="005A63D1" w:rsidRDefault="00DB5899" w14:paraId="000000EA" w14:textId="77777777">
            <w:pPr>
              <w:pStyle w:val="Normal2"/>
              <w:numPr>
                <w:ilvl w:val="0"/>
                <w:numId w:val="13"/>
              </w:numPr>
              <w:pBdr>
                <w:top w:val="nil"/>
                <w:left w:val="nil"/>
                <w:bottom w:val="nil"/>
                <w:right w:val="nil"/>
                <w:between w:val="nil"/>
              </w:pBdr>
              <w:spacing w:after="200" w:line="276" w:lineRule="auto"/>
              <w:jc w:val="both"/>
              <w:rPr>
                <w:sz w:val="21"/>
                <w:szCs w:val="21"/>
              </w:rPr>
            </w:pPr>
            <w:r>
              <w:rPr>
                <w:sz w:val="21"/>
                <w:szCs w:val="21"/>
              </w:rPr>
              <w:t>Education and research (University of Costa Rica).</w:t>
            </w:r>
          </w:p>
          <w:p w:rsidR="005A63D1" w:rsidRDefault="00DB5899" w14:paraId="000000EB" w14:textId="77777777">
            <w:pPr>
              <w:pStyle w:val="Normal2"/>
              <w:spacing w:before="200" w:after="0" w:line="276" w:lineRule="auto"/>
              <w:ind w:left="0" w:firstLine="0"/>
              <w:jc w:val="both"/>
              <w:rPr>
                <w:sz w:val="21"/>
                <w:szCs w:val="21"/>
              </w:rPr>
            </w:pPr>
            <w:r>
              <w:rPr>
                <w:sz w:val="21"/>
                <w:szCs w:val="21"/>
              </w:rPr>
              <w:t>Fishing is not allowed around the islands.</w:t>
            </w:r>
          </w:p>
          <w:p w:rsidR="005A63D1" w:rsidRDefault="00DB5899" w14:paraId="000000EC" w14:textId="77777777">
            <w:pPr>
              <w:pStyle w:val="Normal2"/>
              <w:spacing w:after="0" w:line="276" w:lineRule="auto"/>
              <w:ind w:left="0" w:firstLine="0"/>
              <w:jc w:val="center"/>
              <w:rPr>
                <w:color w:val="0000FF"/>
              </w:rPr>
            </w:pPr>
            <w:r>
              <w:rPr>
                <w:noProof/>
                <w:color w:val="0000FF"/>
              </w:rPr>
              <w:drawing>
                <wp:inline distT="114300" distB="114300" distL="114300" distR="114300" wp14:anchorId="2ACBE31A" wp14:editId="07777777">
                  <wp:extent cx="5238221" cy="3528907"/>
                  <wp:effectExtent l="0" t="0" r="0" b="0"/>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238221" cy="3528907"/>
                          </a:xfrm>
                          <a:prstGeom prst="rect">
                            <a:avLst/>
                          </a:prstGeom>
                          <a:ln/>
                        </pic:spPr>
                      </pic:pic>
                    </a:graphicData>
                  </a:graphic>
                </wp:inline>
              </w:drawing>
            </w:r>
          </w:p>
          <w:p w:rsidR="005A63D1" w:rsidRDefault="00DB5899" w14:paraId="000000ED" w14:textId="77777777">
            <w:pPr>
              <w:pStyle w:val="Normal2"/>
              <w:spacing w:after="0" w:line="276" w:lineRule="auto"/>
              <w:ind w:left="0" w:firstLine="0"/>
              <w:jc w:val="center"/>
              <w:rPr>
                <w:sz w:val="20"/>
                <w:szCs w:val="20"/>
              </w:rPr>
            </w:pPr>
            <w:r>
              <w:rPr>
                <w:sz w:val="20"/>
                <w:szCs w:val="20"/>
              </w:rPr>
              <w:t>Figure 3: Cocos Island.</w:t>
            </w:r>
          </w:p>
          <w:p w:rsidR="005A63D1" w:rsidRDefault="005A63D1" w14:paraId="000000EE" w14:textId="77777777">
            <w:pPr>
              <w:pStyle w:val="Normal2"/>
              <w:pBdr>
                <w:top w:val="nil"/>
                <w:left w:val="nil"/>
                <w:bottom w:val="nil"/>
                <w:right w:val="nil"/>
                <w:between w:val="nil"/>
              </w:pBdr>
              <w:spacing w:after="80"/>
              <w:ind w:left="0" w:firstLine="0"/>
              <w:jc w:val="both"/>
              <w:rPr>
                <w:sz w:val="21"/>
                <w:szCs w:val="21"/>
              </w:rPr>
            </w:pPr>
          </w:p>
          <w:p w:rsidR="005A63D1" w:rsidRDefault="00DB5899" w14:paraId="000000EF" w14:textId="77777777">
            <w:pPr>
              <w:pStyle w:val="Normal2"/>
              <w:pBdr>
                <w:top w:val="nil"/>
                <w:left w:val="nil"/>
                <w:bottom w:val="nil"/>
                <w:right w:val="nil"/>
                <w:between w:val="nil"/>
              </w:pBdr>
              <w:spacing w:after="80"/>
              <w:ind w:left="0" w:firstLine="0"/>
              <w:jc w:val="both"/>
              <w:rPr>
                <w:sz w:val="21"/>
                <w:szCs w:val="21"/>
              </w:rPr>
            </w:pPr>
            <w:r>
              <w:rPr>
                <w:sz w:val="21"/>
                <w:szCs w:val="21"/>
              </w:rPr>
              <w:t>However, fishing is permitted in the Bicentenario Marine Management area (see Figure 4)</w:t>
            </w:r>
            <w:r>
              <w:rPr>
                <w:sz w:val="21"/>
                <w:szCs w:val="21"/>
                <w:vertAlign w:val="superscript"/>
              </w:rPr>
              <w:footnoteReference w:id="5"/>
            </w:r>
            <w:r>
              <w:rPr>
                <w:sz w:val="21"/>
                <w:szCs w:val="21"/>
              </w:rPr>
              <w:t>. There is only semi-industrial fishing (longline) in the area. There is no artisanal fishing on the island or in the Bicentenary Area (FAICO 2023). There are no IPs in the area.</w:t>
            </w:r>
          </w:p>
          <w:p w:rsidR="005A63D1" w:rsidRDefault="00DB5899" w14:paraId="000000F0" w14:textId="77777777">
            <w:pPr>
              <w:pStyle w:val="Normal2"/>
              <w:pBdr>
                <w:top w:val="nil"/>
                <w:left w:val="nil"/>
                <w:bottom w:val="nil"/>
                <w:right w:val="nil"/>
                <w:between w:val="nil"/>
              </w:pBdr>
              <w:spacing w:after="0"/>
              <w:ind w:left="0" w:firstLine="0"/>
              <w:jc w:val="center"/>
              <w:rPr>
                <w:color w:val="0000FF"/>
              </w:rPr>
            </w:pPr>
            <w:r>
              <w:rPr>
                <w:noProof/>
                <w:color w:val="0000FF"/>
              </w:rPr>
              <w:drawing>
                <wp:inline distT="114300" distB="114300" distL="114300" distR="114300" wp14:anchorId="1499BDDF" wp14:editId="07777777">
                  <wp:extent cx="3790950" cy="2932998"/>
                  <wp:effectExtent l="0" t="0" r="0" b="0"/>
                  <wp:docPr id="3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3790950" cy="2932998"/>
                          </a:xfrm>
                          <a:prstGeom prst="rect">
                            <a:avLst/>
                          </a:prstGeom>
                          <a:ln/>
                        </pic:spPr>
                      </pic:pic>
                    </a:graphicData>
                  </a:graphic>
                </wp:inline>
              </w:drawing>
            </w:r>
          </w:p>
          <w:p w:rsidR="005A63D1" w:rsidRDefault="00DB5899" w14:paraId="000000F1" w14:textId="77777777">
            <w:pPr>
              <w:pStyle w:val="Normal2"/>
              <w:pBdr>
                <w:top w:val="nil"/>
                <w:left w:val="nil"/>
                <w:bottom w:val="nil"/>
                <w:right w:val="nil"/>
                <w:between w:val="nil"/>
              </w:pBdr>
              <w:spacing w:after="80"/>
              <w:ind w:left="0" w:firstLine="0"/>
              <w:jc w:val="center"/>
              <w:rPr>
                <w:sz w:val="20"/>
                <w:szCs w:val="20"/>
              </w:rPr>
            </w:pPr>
            <w:r>
              <w:rPr>
                <w:sz w:val="20"/>
                <w:szCs w:val="20"/>
              </w:rPr>
              <w:t>Figure 4. Bicentenario Marine Management Area. Source: FAICO 2023.</w:t>
            </w:r>
          </w:p>
          <w:p w:rsidR="005A63D1" w:rsidRDefault="00DB5899" w14:paraId="000000F2" w14:textId="77777777">
            <w:pPr>
              <w:pStyle w:val="Normal2"/>
              <w:spacing w:after="80"/>
              <w:ind w:left="0" w:firstLine="0"/>
              <w:jc w:val="both"/>
              <w:rPr>
                <w:b/>
                <w:sz w:val="21"/>
                <w:szCs w:val="21"/>
              </w:rPr>
            </w:pPr>
            <w:r>
              <w:rPr>
                <w:b/>
                <w:sz w:val="21"/>
                <w:szCs w:val="21"/>
              </w:rPr>
              <w:t>Panama:</w:t>
            </w:r>
          </w:p>
          <w:p w:rsidR="005A63D1" w:rsidRDefault="00DB5899" w14:paraId="000000F3" w14:textId="77777777">
            <w:pPr>
              <w:pStyle w:val="Normal2"/>
              <w:spacing w:after="200"/>
              <w:ind w:left="0" w:firstLine="0"/>
              <w:jc w:val="both"/>
              <w:rPr>
                <w:sz w:val="21"/>
                <w:szCs w:val="21"/>
              </w:rPr>
            </w:pPr>
            <w:r>
              <w:rPr>
                <w:sz w:val="21"/>
                <w:szCs w:val="21"/>
              </w:rPr>
              <w:t xml:space="preserve">From 1919 to 2004, the penal colony on Isla Coiba constituted the only local human population in the island. As of today, the prison is no longer operative, with the prisoners having been relocated to other facilities (Coiba NP 2023). Except for ranger control stations, the large island that is part of the NP is currently uninhabited. There are islets outside the NP that are also inhabited, such as Coibita, where there is a research station. </w:t>
            </w:r>
          </w:p>
          <w:p w:rsidR="005A63D1" w:rsidRDefault="00DB5899" w14:paraId="000000F4" w14:textId="77777777">
            <w:pPr>
              <w:pStyle w:val="Normal2"/>
              <w:spacing w:after="200"/>
              <w:ind w:left="0" w:firstLine="0"/>
              <w:jc w:val="both"/>
              <w:rPr>
                <w:sz w:val="21"/>
                <w:szCs w:val="21"/>
              </w:rPr>
            </w:pPr>
            <w:r>
              <w:rPr>
                <w:sz w:val="21"/>
                <w:szCs w:val="21"/>
              </w:rPr>
              <w:t>Although Isla Coiba is currently uninhabited, the island is accessed by people engaging in sport fishing and subsistence fishing by communities in the area of influence of Coiba NP (see Figure 5), as well as for other purposes such as sport diving, sport fishing, and marine mammal watching and research. Since Coiba NP has no communities or permanent resident population, the greatest sources of pressure come from the so-called area of influence of the protected area (Autoridad Nacional del Ambiente 2009).</w:t>
            </w:r>
          </w:p>
          <w:p w:rsidR="005A63D1" w:rsidRDefault="00DB5899" w14:paraId="000000F5" w14:textId="77777777">
            <w:pPr>
              <w:pStyle w:val="Normal2"/>
              <w:spacing w:after="200"/>
              <w:ind w:left="0" w:firstLine="0"/>
              <w:jc w:val="center"/>
              <w:rPr>
                <w:rFonts w:ascii="Arial" w:hAnsi="Arial" w:eastAsia="Arial" w:cs="Arial"/>
                <w:color w:val="292C32"/>
                <w:sz w:val="21"/>
                <w:szCs w:val="21"/>
                <w:highlight w:val="white"/>
              </w:rPr>
            </w:pPr>
            <w:r>
              <w:rPr>
                <w:rFonts w:ascii="Arial" w:hAnsi="Arial" w:eastAsia="Arial" w:cs="Arial"/>
                <w:noProof/>
                <w:color w:val="292C32"/>
                <w:sz w:val="21"/>
                <w:szCs w:val="21"/>
                <w:highlight w:val="white"/>
              </w:rPr>
              <w:drawing>
                <wp:inline distT="114300" distB="114300" distL="114300" distR="114300" wp14:anchorId="348389F4" wp14:editId="07777777">
                  <wp:extent cx="2909888" cy="4255567"/>
                  <wp:effectExtent l="0" t="0" r="0" b="0"/>
                  <wp:docPr id="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2909888" cy="4255567"/>
                          </a:xfrm>
                          <a:prstGeom prst="rect">
                            <a:avLst/>
                          </a:prstGeom>
                          <a:ln/>
                        </pic:spPr>
                      </pic:pic>
                    </a:graphicData>
                  </a:graphic>
                </wp:inline>
              </w:drawing>
            </w:r>
          </w:p>
          <w:p w:rsidR="005A63D1" w:rsidRDefault="00DB5899" w14:paraId="000000F6" w14:textId="77777777">
            <w:pPr>
              <w:pStyle w:val="Normal2"/>
              <w:ind w:left="90" w:firstLine="0"/>
              <w:jc w:val="center"/>
              <w:rPr>
                <w:rFonts w:ascii="Arial" w:hAnsi="Arial" w:eastAsia="Arial" w:cs="Arial"/>
                <w:color w:val="292C32"/>
                <w:sz w:val="21"/>
                <w:szCs w:val="21"/>
                <w:highlight w:val="white"/>
              </w:rPr>
            </w:pPr>
            <w:r>
              <w:rPr>
                <w:sz w:val="20"/>
                <w:szCs w:val="20"/>
              </w:rPr>
              <w:t xml:space="preserve">Figure 5. Resource Management Zone in Isla Coiba. Source: Mar Viva 2021. </w:t>
            </w:r>
          </w:p>
          <w:p w:rsidR="005A63D1" w:rsidRDefault="00DB5899" w14:paraId="000000F7" w14:textId="77777777">
            <w:pPr>
              <w:pStyle w:val="Normal2"/>
              <w:spacing w:after="100"/>
              <w:ind w:left="0" w:firstLine="0"/>
              <w:jc w:val="both"/>
              <w:rPr>
                <w:sz w:val="21"/>
                <w:szCs w:val="21"/>
                <w:highlight w:val="yellow"/>
              </w:rPr>
            </w:pPr>
            <w:r>
              <w:rPr>
                <w:sz w:val="21"/>
                <w:szCs w:val="21"/>
                <w:highlight w:val="white"/>
              </w:rPr>
              <w:t>The users of the Coiba NP are the following</w:t>
            </w:r>
            <w:r>
              <w:rPr>
                <w:sz w:val="21"/>
                <w:szCs w:val="21"/>
                <w:highlight w:val="white"/>
                <w:vertAlign w:val="superscript"/>
              </w:rPr>
              <w:footnoteReference w:id="6"/>
            </w:r>
            <w:r>
              <w:rPr>
                <w:sz w:val="21"/>
                <w:szCs w:val="21"/>
                <w:highlight w:val="white"/>
              </w:rPr>
              <w:t>:</w:t>
            </w:r>
          </w:p>
          <w:p w:rsidR="005A63D1" w:rsidRDefault="00DB5899" w14:paraId="000000F8" w14:textId="77777777">
            <w:pPr>
              <w:pStyle w:val="Normal2"/>
              <w:numPr>
                <w:ilvl w:val="0"/>
                <w:numId w:val="4"/>
              </w:numPr>
              <w:spacing w:after="80"/>
              <w:jc w:val="both"/>
              <w:rPr>
                <w:sz w:val="21"/>
                <w:szCs w:val="21"/>
                <w:highlight w:val="white"/>
              </w:rPr>
            </w:pPr>
            <w:r>
              <w:rPr>
                <w:sz w:val="21"/>
                <w:szCs w:val="21"/>
                <w:highlight w:val="white"/>
              </w:rPr>
              <w:t>Fisherfolk: Currently there are 14 fishing permits in force in Coiba NP, i.e. 12 artisanal vessels allowed to enter the area. There is a good relationship with these actors and they even report to the authorities when they identify illegal activities in the area. The Fisheries Management Plan establishes closed fishing seasons and objectives. There are no IPs in the area. There are 39 women and 161 men involved in artisanal fishing in Coiba.</w:t>
            </w:r>
          </w:p>
          <w:p w:rsidR="005A63D1" w:rsidRDefault="00DB5899" w14:paraId="000000F9" w14:textId="77777777">
            <w:pPr>
              <w:pStyle w:val="Normal2"/>
              <w:numPr>
                <w:ilvl w:val="0"/>
                <w:numId w:val="4"/>
              </w:numPr>
              <w:spacing w:after="80"/>
              <w:jc w:val="both"/>
              <w:rPr>
                <w:sz w:val="21"/>
                <w:szCs w:val="21"/>
                <w:highlight w:val="white"/>
              </w:rPr>
            </w:pPr>
            <w:r>
              <w:rPr>
                <w:sz w:val="21"/>
                <w:szCs w:val="21"/>
                <w:highlight w:val="white"/>
              </w:rPr>
              <w:t>Tourism: There are tour operators, tourists and cruise ship staff (season is from February to March).</w:t>
            </w:r>
          </w:p>
          <w:p w:rsidR="005A63D1" w:rsidRDefault="00DB5899" w14:paraId="000000FA" w14:textId="77777777">
            <w:pPr>
              <w:pStyle w:val="Normal2"/>
              <w:numPr>
                <w:ilvl w:val="0"/>
                <w:numId w:val="4"/>
              </w:numPr>
              <w:spacing w:after="80"/>
              <w:jc w:val="both"/>
              <w:rPr>
                <w:sz w:val="21"/>
                <w:szCs w:val="21"/>
                <w:highlight w:val="white"/>
              </w:rPr>
            </w:pPr>
            <w:r>
              <w:rPr>
                <w:sz w:val="21"/>
                <w:szCs w:val="21"/>
                <w:highlight w:val="white"/>
              </w:rPr>
              <w:t>Research organisations, such as Fundación Islas Secas and Coiba AIP, a public-private partnership working on research issues.</w:t>
            </w:r>
          </w:p>
          <w:p w:rsidR="005A63D1" w:rsidRDefault="00DB5899" w14:paraId="000000FB" w14:textId="77777777">
            <w:pPr>
              <w:pStyle w:val="Normal2"/>
              <w:numPr>
                <w:ilvl w:val="0"/>
                <w:numId w:val="4"/>
              </w:numPr>
              <w:spacing w:after="80"/>
              <w:jc w:val="both"/>
              <w:rPr>
                <w:sz w:val="21"/>
                <w:szCs w:val="21"/>
                <w:highlight w:val="white"/>
              </w:rPr>
            </w:pPr>
            <w:r>
              <w:rPr>
                <w:sz w:val="21"/>
                <w:szCs w:val="21"/>
                <w:highlight w:val="white"/>
              </w:rPr>
              <w:t xml:space="preserve">Civil Society Organisations (CSOs), such as the Federation of Artisanal Fishermen of the Area of Influence of the Coiba National Park (FEPACOIBA) and UNESCO. FEPACOIBA works in a Special Marine Protected Area or Use Zone outside the NP and is granted special fishing permits. The Association’s activities are woman-led. </w:t>
            </w:r>
          </w:p>
          <w:p w:rsidR="005A63D1" w:rsidRDefault="00DB5899" w14:paraId="000000FC" w14:textId="77777777">
            <w:pPr>
              <w:pStyle w:val="Normal2"/>
              <w:numPr>
                <w:ilvl w:val="0"/>
                <w:numId w:val="4"/>
              </w:numPr>
              <w:spacing w:after="0"/>
              <w:jc w:val="both"/>
              <w:rPr>
                <w:sz w:val="21"/>
                <w:szCs w:val="21"/>
                <w:highlight w:val="white"/>
              </w:rPr>
            </w:pPr>
            <w:r>
              <w:rPr>
                <w:sz w:val="21"/>
                <w:szCs w:val="21"/>
                <w:highlight w:val="white"/>
              </w:rPr>
              <w:t>NP Staff: There are 2 ranger stations and 12 rangers in total for the whole island.</w:t>
            </w:r>
          </w:p>
          <w:p w:rsidR="005A63D1" w:rsidRDefault="005A63D1" w14:paraId="000000FD" w14:textId="77777777">
            <w:pPr>
              <w:pStyle w:val="Normal2"/>
              <w:spacing w:after="0"/>
              <w:ind w:left="0" w:firstLine="0"/>
              <w:jc w:val="both"/>
              <w:rPr>
                <w:sz w:val="21"/>
                <w:szCs w:val="21"/>
                <w:highlight w:val="white"/>
              </w:rPr>
            </w:pPr>
          </w:p>
          <w:p w:rsidR="005A63D1" w:rsidRDefault="00DB5899" w14:paraId="000000FE" w14:textId="77777777">
            <w:pPr>
              <w:pStyle w:val="Normal2"/>
              <w:spacing w:after="200"/>
              <w:ind w:left="0" w:firstLine="0"/>
              <w:jc w:val="both"/>
              <w:rPr>
                <w:b/>
                <w:sz w:val="21"/>
                <w:szCs w:val="21"/>
              </w:rPr>
            </w:pPr>
            <w:r>
              <w:rPr>
                <w:sz w:val="21"/>
                <w:szCs w:val="21"/>
                <w:highlight w:val="white"/>
              </w:rPr>
              <w:t xml:space="preserve">The Coiba Ridge is a submerged MPA and is therefore uninhabited by humans. About two thirds of the ridge are designated as “no-take” areas to fully protect the unique biodiversity of the region, while the remaining portion excludes industrial fishing but continues to support the livelihoods of coastal communities in Panama (Wyss Foundation 2023). </w:t>
            </w:r>
          </w:p>
          <w:p w:rsidR="005A63D1" w:rsidRDefault="00DB5899" w14:paraId="000000FF" w14:textId="77777777">
            <w:pPr>
              <w:pStyle w:val="Normal2"/>
              <w:pBdr>
                <w:top w:val="nil"/>
                <w:left w:val="nil"/>
                <w:bottom w:val="nil"/>
                <w:right w:val="nil"/>
                <w:between w:val="nil"/>
              </w:pBdr>
              <w:spacing w:after="80"/>
              <w:ind w:left="0" w:firstLine="0"/>
              <w:jc w:val="both"/>
              <w:rPr>
                <w:b/>
                <w:sz w:val="21"/>
                <w:szCs w:val="21"/>
              </w:rPr>
            </w:pPr>
            <w:r>
              <w:rPr>
                <w:b/>
                <w:sz w:val="21"/>
                <w:szCs w:val="21"/>
              </w:rPr>
              <w:t xml:space="preserve">Colombia: </w:t>
            </w:r>
          </w:p>
          <w:p w:rsidR="005A63D1" w:rsidRDefault="00DB5899" w14:paraId="00000100" w14:textId="77777777">
            <w:pPr>
              <w:pStyle w:val="Normal2"/>
              <w:spacing w:after="200"/>
              <w:ind w:left="0" w:firstLine="0"/>
              <w:jc w:val="both"/>
              <w:rPr>
                <w:sz w:val="21"/>
                <w:szCs w:val="21"/>
              </w:rPr>
            </w:pPr>
            <w:r>
              <w:rPr>
                <w:sz w:val="21"/>
                <w:szCs w:val="21"/>
              </w:rPr>
              <w:t>None of the MPAs in Colombia are inhabited. The Gorgona National Natural Park is a hotspot for ecotourism activities; being, by tradition, one of the natural places with the highest daily or temporary visitation by nationals and foreigners (students, national and foreign divers, and other forms of leisure tourism).</w:t>
            </w:r>
          </w:p>
          <w:p w:rsidR="005A63D1" w:rsidRDefault="00DB5899" w14:paraId="00000101" w14:textId="77777777">
            <w:pPr>
              <w:pStyle w:val="Normal2"/>
              <w:spacing w:after="0"/>
              <w:ind w:left="0" w:firstLine="0"/>
              <w:jc w:val="center"/>
            </w:pPr>
            <w:r>
              <w:rPr>
                <w:noProof/>
              </w:rPr>
              <w:drawing>
                <wp:inline distT="114300" distB="114300" distL="114300" distR="114300" wp14:anchorId="04415DD1" wp14:editId="07777777">
                  <wp:extent cx="4491038" cy="3393680"/>
                  <wp:effectExtent l="0" t="0" r="0" b="0"/>
                  <wp:docPr id="4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4491038" cy="3393680"/>
                          </a:xfrm>
                          <a:prstGeom prst="rect">
                            <a:avLst/>
                          </a:prstGeom>
                          <a:ln/>
                        </pic:spPr>
                      </pic:pic>
                    </a:graphicData>
                  </a:graphic>
                </wp:inline>
              </w:drawing>
            </w:r>
          </w:p>
          <w:p w:rsidR="005A63D1" w:rsidRDefault="00DB5899" w14:paraId="00000102" w14:textId="77777777">
            <w:pPr>
              <w:pStyle w:val="Normal2"/>
              <w:spacing w:after="0"/>
              <w:ind w:left="0" w:firstLine="0"/>
              <w:jc w:val="center"/>
              <w:rPr>
                <w:sz w:val="20"/>
                <w:szCs w:val="20"/>
              </w:rPr>
            </w:pPr>
            <w:r>
              <w:rPr>
                <w:sz w:val="20"/>
                <w:szCs w:val="20"/>
              </w:rPr>
              <w:t>Figure 6. Zoning of NP Gorgona (red: high use areas; green: primitive areas; light green: area of natural recovery; yellow: no-use areas). Source: SIG DTPA-PNN/MINAMBIENTE 2018</w:t>
            </w:r>
          </w:p>
          <w:p w:rsidR="005A63D1" w:rsidRDefault="00DB5899" w14:paraId="00000103" w14:textId="77777777">
            <w:pPr>
              <w:pStyle w:val="Normal2"/>
              <w:pBdr>
                <w:top w:val="nil"/>
                <w:left w:val="nil"/>
                <w:bottom w:val="nil"/>
                <w:right w:val="nil"/>
                <w:between w:val="nil"/>
              </w:pBdr>
              <w:spacing w:after="200"/>
              <w:ind w:left="0" w:firstLine="0"/>
              <w:jc w:val="both"/>
              <w:rPr>
                <w:sz w:val="21"/>
                <w:szCs w:val="21"/>
              </w:rPr>
            </w:pPr>
            <w:r>
              <w:rPr>
                <w:sz w:val="21"/>
                <w:szCs w:val="21"/>
              </w:rPr>
              <w:t>The service providers present in the area, mainly in the municipality of Guapi, but also in Bazán and surrounding areas, are maritime transporters, restaurant and hotel personnel, diving instructors, handicrafts saleswomen/men and environmental guides or interpreters. These groups of actors are detailed in more detail below:</w:t>
            </w:r>
          </w:p>
          <w:p w:rsidR="005A63D1" w:rsidRDefault="00DB5899" w14:paraId="00000104" w14:textId="77777777">
            <w:pPr>
              <w:pStyle w:val="Normal2"/>
              <w:numPr>
                <w:ilvl w:val="0"/>
                <w:numId w:val="5"/>
              </w:numPr>
              <w:pBdr>
                <w:top w:val="nil"/>
                <w:left w:val="nil"/>
                <w:bottom w:val="nil"/>
                <w:right w:val="nil"/>
                <w:between w:val="nil"/>
              </w:pBdr>
              <w:spacing w:after="80"/>
              <w:jc w:val="both"/>
              <w:rPr>
                <w:sz w:val="21"/>
                <w:szCs w:val="21"/>
              </w:rPr>
            </w:pPr>
            <w:r>
              <w:rPr>
                <w:sz w:val="21"/>
                <w:szCs w:val="21"/>
              </w:rPr>
              <w:t>Fisheries: Afro-Colombian communities living in coastal regions have a right of access to the Gorgona National Natural Park and area of influence for their fishing expeditions (eg. community of Bazán) (Vive Gorgona 2024). In addition, members of the indigenous organisations Eperara Siapidara can also be considered users of the park (MINAMBIENTE 2018). The Park has a process of permanent interaction with the community of Bazán, given their historical use of the Gorgona marine area, which has led to the estab</w:t>
            </w:r>
            <w:r>
              <w:rPr>
                <w:sz w:val="21"/>
                <w:szCs w:val="21"/>
              </w:rPr>
              <w:t>lishment of the first use agr</w:t>
            </w:r>
            <w:r>
              <w:rPr>
                <w:sz w:val="21"/>
                <w:szCs w:val="21"/>
                <w:highlight w:val="white"/>
              </w:rPr>
              <w:t xml:space="preserve">eement in force </w:t>
            </w:r>
            <w:r>
              <w:rPr>
                <w:sz w:val="21"/>
                <w:szCs w:val="21"/>
              </w:rPr>
              <w:t>(MINAMBIENTE 2018). The park is used as a rest area for fishing expeditions;</w:t>
            </w:r>
          </w:p>
          <w:p w:rsidR="005A63D1" w:rsidRDefault="00DB5899" w14:paraId="00000105" w14:textId="77777777">
            <w:pPr>
              <w:pStyle w:val="Normal2"/>
              <w:numPr>
                <w:ilvl w:val="0"/>
                <w:numId w:val="5"/>
              </w:numPr>
              <w:pBdr>
                <w:top w:val="nil"/>
                <w:left w:val="nil"/>
                <w:bottom w:val="nil"/>
                <w:right w:val="nil"/>
                <w:between w:val="nil"/>
              </w:pBdr>
              <w:spacing w:after="80"/>
              <w:jc w:val="both"/>
              <w:rPr>
                <w:sz w:val="21"/>
                <w:szCs w:val="21"/>
              </w:rPr>
            </w:pPr>
            <w:r>
              <w:rPr>
                <w:sz w:val="21"/>
                <w:szCs w:val="21"/>
                <w:highlight w:val="white"/>
              </w:rPr>
              <w:t>Tourism: The municipalities of Guapi, Timbiqui, El Charco, La Tola, Mosquera and Olaya Herrera benefit from the development of ecotourism activities in the park, as the provision of ecotourism services generates approximately 25 direct jobs in these municipalities and purchases and contracting of services in these communities amounting to 700 million pesos per year;</w:t>
            </w:r>
          </w:p>
          <w:p w:rsidR="005A63D1" w:rsidRDefault="00DB5899" w14:paraId="00000106" w14:textId="77777777">
            <w:pPr>
              <w:pStyle w:val="Normal2"/>
              <w:numPr>
                <w:ilvl w:val="0"/>
                <w:numId w:val="5"/>
              </w:numPr>
              <w:pBdr>
                <w:top w:val="nil"/>
                <w:left w:val="nil"/>
                <w:bottom w:val="nil"/>
                <w:right w:val="nil"/>
                <w:between w:val="nil"/>
              </w:pBdr>
              <w:spacing w:after="80"/>
              <w:jc w:val="both"/>
              <w:rPr>
                <w:sz w:val="21"/>
                <w:szCs w:val="21"/>
                <w:highlight w:val="white"/>
              </w:rPr>
            </w:pPr>
            <w:r>
              <w:rPr>
                <w:sz w:val="21"/>
                <w:szCs w:val="21"/>
                <w:highlight w:val="white"/>
              </w:rPr>
              <w:t>Educational activities;</w:t>
            </w:r>
          </w:p>
          <w:p w:rsidR="005A63D1" w:rsidRDefault="00DB5899" w14:paraId="00000107" w14:textId="77777777">
            <w:pPr>
              <w:pStyle w:val="Normal2"/>
              <w:numPr>
                <w:ilvl w:val="0"/>
                <w:numId w:val="5"/>
              </w:numPr>
              <w:pBdr>
                <w:top w:val="nil"/>
                <w:left w:val="nil"/>
                <w:bottom w:val="nil"/>
                <w:right w:val="nil"/>
                <w:between w:val="nil"/>
              </w:pBdr>
              <w:spacing w:after="80"/>
              <w:jc w:val="both"/>
              <w:rPr>
                <w:sz w:val="21"/>
                <w:szCs w:val="21"/>
              </w:rPr>
            </w:pPr>
            <w:r>
              <w:rPr>
                <w:sz w:val="21"/>
                <w:szCs w:val="21"/>
                <w:highlight w:val="white"/>
              </w:rPr>
              <w:t xml:space="preserve">Academic and research groups, which develop research and monitoring projects. </w:t>
            </w:r>
          </w:p>
          <w:p w:rsidR="005A63D1" w:rsidRDefault="005A63D1" w14:paraId="00000108" w14:textId="77777777">
            <w:pPr>
              <w:pStyle w:val="Normal2"/>
              <w:spacing w:after="0"/>
              <w:ind w:left="0" w:firstLine="0"/>
              <w:jc w:val="both"/>
              <w:rPr>
                <w:sz w:val="21"/>
                <w:szCs w:val="21"/>
              </w:rPr>
            </w:pPr>
          </w:p>
          <w:p w:rsidR="005A63D1" w:rsidRDefault="00DB5899" w14:paraId="00000109" w14:textId="77777777">
            <w:pPr>
              <w:pStyle w:val="Normal2"/>
              <w:pBdr>
                <w:top w:val="nil"/>
                <w:left w:val="nil"/>
                <w:bottom w:val="nil"/>
                <w:right w:val="nil"/>
                <w:between w:val="nil"/>
              </w:pBdr>
              <w:spacing w:after="200"/>
              <w:ind w:left="0" w:firstLine="0"/>
              <w:jc w:val="both"/>
              <w:rPr>
                <w:sz w:val="21"/>
                <w:szCs w:val="21"/>
              </w:rPr>
            </w:pPr>
            <w:r>
              <w:rPr>
                <w:sz w:val="21"/>
                <w:szCs w:val="21"/>
              </w:rPr>
              <w:t>The Mapelo Marine Sanctuary is the largest no-fishing zone in the Eastern Tropical Pacific and is widely recognized as one of the top diving sites in the world (certified divers need to be authorised by operators (boats)). There are no native communities or colonisation zones in this MPA, and the presence of humans is limited to the marines of the National Navy's control and surveillance post and the sporadic stay of scientific researchers (PNNC 2023b). Although, legally, the entire property is a no-take ar</w:t>
            </w:r>
            <w:r>
              <w:rPr>
                <w:sz w:val="21"/>
                <w:szCs w:val="21"/>
              </w:rPr>
              <w:t>ea, monitoring of illegal commercial and artisanal fishing is needed and depends on costly patrolling and law enforcement both in and around the sanctuary. Due to its size and remoteness, Malpelo Island cannot develop into a major tourist destination and will remain a niche destination for specialised, boat-based diving tourism. Overall, visitor numbers and group sizes are controlled in accordance with established limits. Research and Environmental Education is also active in the area, and tourists along wi</w:t>
            </w:r>
            <w:r>
              <w:rPr>
                <w:sz w:val="21"/>
                <w:szCs w:val="21"/>
              </w:rPr>
              <w:t>th scientists and the rotating Navy personnel are the only regular visitors to Malpelo Island. It is undisputed that many, if not most, of the property's marine secrets remain to be discovered, suggesting a major potential for research in an almost pristine natural environment (UNESCO 2023). The information provided so far lists the community members involved in tourism as 6 women and 7 men (Ecotourism with Fundación Malpelo).</w:t>
            </w:r>
          </w:p>
          <w:p w:rsidR="005A63D1" w:rsidRDefault="00DB5899" w14:paraId="0000010A" w14:textId="77777777">
            <w:pPr>
              <w:pStyle w:val="Normal2"/>
              <w:pBdr>
                <w:top w:val="nil"/>
                <w:left w:val="nil"/>
                <w:bottom w:val="nil"/>
                <w:right w:val="nil"/>
                <w:between w:val="nil"/>
              </w:pBdr>
              <w:spacing w:after="0"/>
              <w:ind w:left="0" w:firstLine="0"/>
              <w:jc w:val="center"/>
            </w:pPr>
            <w:r>
              <w:rPr>
                <w:noProof/>
              </w:rPr>
              <w:drawing>
                <wp:inline distT="114300" distB="114300" distL="114300" distR="114300" wp14:anchorId="3A162217" wp14:editId="07777777">
                  <wp:extent cx="4576763" cy="3636332"/>
                  <wp:effectExtent l="0" t="0" r="0" b="0"/>
                  <wp:docPr id="4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4576763" cy="3636332"/>
                          </a:xfrm>
                          <a:prstGeom prst="rect">
                            <a:avLst/>
                          </a:prstGeom>
                          <a:ln/>
                        </pic:spPr>
                      </pic:pic>
                    </a:graphicData>
                  </a:graphic>
                </wp:inline>
              </w:drawing>
            </w:r>
          </w:p>
          <w:p w:rsidR="005A63D1" w:rsidRDefault="00DB5899" w14:paraId="0000010B" w14:textId="77777777">
            <w:pPr>
              <w:pStyle w:val="Normal2"/>
              <w:spacing w:after="0"/>
              <w:ind w:left="0" w:firstLine="0"/>
              <w:jc w:val="center"/>
            </w:pPr>
            <w:r>
              <w:rPr>
                <w:sz w:val="20"/>
                <w:szCs w:val="20"/>
              </w:rPr>
              <w:t>Figure 7. Malpelo island. Source: Malpelo Foundation.</w:t>
            </w:r>
          </w:p>
          <w:p w:rsidR="005A63D1" w:rsidRDefault="005A63D1" w14:paraId="0000010C" w14:textId="77777777">
            <w:pPr>
              <w:pStyle w:val="Normal2"/>
              <w:spacing w:after="0"/>
              <w:ind w:left="0" w:firstLine="0"/>
              <w:jc w:val="both"/>
              <w:rPr>
                <w:i/>
                <w:color w:val="0000FF"/>
              </w:rPr>
            </w:pPr>
          </w:p>
          <w:p w:rsidR="005A63D1" w:rsidRDefault="00DB5899" w14:paraId="0000010D" w14:textId="77777777">
            <w:pPr>
              <w:pStyle w:val="Normal2"/>
              <w:spacing w:after="200"/>
              <w:ind w:left="0" w:firstLine="0"/>
              <w:jc w:val="both"/>
              <w:rPr>
                <w:i/>
                <w:sz w:val="21"/>
                <w:szCs w:val="21"/>
              </w:rPr>
            </w:pPr>
            <w:r>
              <w:rPr>
                <w:sz w:val="21"/>
                <w:szCs w:val="21"/>
                <w:highlight w:val="white"/>
              </w:rPr>
              <w:t>In terms of multi-use areas, there is the Yurupari - Mapelo Integrated Management District, where the entire area is marine and does not contain any terrestrial land. Ecotourism is permitted, although national and foreign vessels visiting the protected area must first apply for entry permits to the Malpelo Fauna and Flora Sanctuary at the offices of PNNC in Bogotá (PNNC 2023a). On the other hand, the Colinas y Lomas Submarinas of the North Pacific is envisioned as an area suitable for sustainable fishing (</w:t>
            </w:r>
            <w:r>
              <w:rPr>
                <w:sz w:val="21"/>
                <w:szCs w:val="21"/>
              </w:rPr>
              <w:t>MINAMBIENTE 2022</w:t>
            </w:r>
            <w:r>
              <w:rPr>
                <w:sz w:val="21"/>
                <w:szCs w:val="21"/>
                <w:highlight w:val="white"/>
              </w:rPr>
              <w:t>).</w:t>
            </w:r>
          </w:p>
          <w:p w:rsidR="005A63D1" w:rsidRDefault="00DB5899" w14:paraId="0000010E" w14:textId="77777777">
            <w:pPr>
              <w:pStyle w:val="Normal2"/>
              <w:spacing w:after="200"/>
              <w:ind w:left="0" w:firstLine="0"/>
              <w:jc w:val="both"/>
              <w:rPr>
                <w:b/>
                <w:sz w:val="21"/>
                <w:szCs w:val="21"/>
              </w:rPr>
            </w:pPr>
            <w:r>
              <w:rPr>
                <w:sz w:val="21"/>
                <w:szCs w:val="21"/>
              </w:rPr>
              <w:t>The number of men and women living in these coastal communities is unknown, and whether these communities include IPs, or disadvantaged/vulnerable/disabled groups, will be determined in subsequent analysis.</w:t>
            </w:r>
          </w:p>
          <w:p w:rsidR="005A63D1" w:rsidRDefault="00DB5899" w14:paraId="0000010F" w14:textId="77777777">
            <w:pPr>
              <w:pStyle w:val="Normal2"/>
              <w:pBdr>
                <w:top w:val="nil"/>
                <w:left w:val="nil"/>
                <w:bottom w:val="nil"/>
                <w:right w:val="nil"/>
                <w:between w:val="nil"/>
              </w:pBdr>
              <w:spacing w:after="80"/>
              <w:ind w:left="0" w:firstLine="0"/>
              <w:jc w:val="both"/>
              <w:rPr>
                <w:b/>
                <w:sz w:val="21"/>
                <w:szCs w:val="21"/>
              </w:rPr>
            </w:pPr>
            <w:r>
              <w:rPr>
                <w:b/>
                <w:sz w:val="21"/>
                <w:szCs w:val="21"/>
              </w:rPr>
              <w:t>Ecuador:</w:t>
            </w:r>
          </w:p>
          <w:p w:rsidR="005A63D1" w:rsidRDefault="00DB5899" w14:paraId="00000110" w14:textId="77777777">
            <w:pPr>
              <w:pStyle w:val="Normal2"/>
              <w:pBdr>
                <w:top w:val="nil"/>
                <w:left w:val="nil"/>
                <w:bottom w:val="nil"/>
                <w:right w:val="nil"/>
                <w:between w:val="nil"/>
              </w:pBdr>
              <w:spacing w:after="200"/>
              <w:ind w:left="0" w:firstLine="0"/>
              <w:jc w:val="both"/>
              <w:rPr>
                <w:color w:val="CC0000"/>
                <w:sz w:val="21"/>
                <w:szCs w:val="21"/>
              </w:rPr>
            </w:pPr>
            <w:r>
              <w:rPr>
                <w:sz w:val="21"/>
                <w:szCs w:val="21"/>
              </w:rPr>
              <w:t xml:space="preserve">The Galapagos Marine reserve </w:t>
            </w:r>
            <w:r>
              <w:rPr>
                <w:sz w:val="21"/>
                <w:szCs w:val="21"/>
                <w:highlight w:val="white"/>
              </w:rPr>
              <w:t xml:space="preserve">is a multiple-use area created to appropriately manage marine species of commercial interest and to conserve and protect its ecosystems with unique fauna and flora. This reserve surrounds the Galapagos Archipelago islands (see Figure 3). </w:t>
            </w:r>
            <w:r>
              <w:rPr>
                <w:sz w:val="21"/>
                <w:szCs w:val="21"/>
              </w:rPr>
              <w:t>The most recent census in 2015 measured the Galapagos islands’ population at 25.244 (51,8% men and 48,2% women), with a growth rate of 1,8%. Most of the residents in the Galapagos Archipelago islands self-identify as mixed race or “mestizos” (85%), while 8% consider themsel</w:t>
            </w:r>
            <w:r>
              <w:rPr>
                <w:sz w:val="21"/>
                <w:szCs w:val="21"/>
              </w:rPr>
              <w:t>ves to be indigenous. The rest of the population self-identify as white (3%), Afro-Ecuadorian (3%), Montubio (1%), or other (INEC 2015). It is still to be determined whether groups self-identifying as Indigenous Peoples (IPs) in the Galapago islands (i.e. the Salasacas community, whose members are mainly engaged in agricultural activities) may be adversely or positively affected by the project. This will have to be determined when final project activities and their locations are confirmed.</w:t>
            </w:r>
          </w:p>
          <w:p w:rsidR="005A63D1" w:rsidRDefault="00DB5899" w14:paraId="00000111" w14:textId="77777777">
            <w:pPr>
              <w:pStyle w:val="Normal2"/>
              <w:pBdr>
                <w:top w:val="nil"/>
                <w:left w:val="nil"/>
                <w:bottom w:val="nil"/>
                <w:right w:val="nil"/>
                <w:between w:val="nil"/>
              </w:pBdr>
              <w:spacing w:after="0"/>
              <w:ind w:left="0" w:firstLine="0"/>
              <w:jc w:val="center"/>
              <w:rPr>
                <w:color w:val="CC0000"/>
              </w:rPr>
            </w:pPr>
            <w:r>
              <w:rPr>
                <w:noProof/>
                <w:color w:val="CC0000"/>
              </w:rPr>
              <w:drawing>
                <wp:inline distT="114300" distB="114300" distL="114300" distR="114300" wp14:anchorId="3AFDF003" wp14:editId="07777777">
                  <wp:extent cx="4162425" cy="4431868"/>
                  <wp:effectExtent l="12700" t="12700" r="12700" b="12700"/>
                  <wp:docPr id="4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1"/>
                          <a:srcRect/>
                          <a:stretch>
                            <a:fillRect/>
                          </a:stretch>
                        </pic:blipFill>
                        <pic:spPr>
                          <a:xfrm>
                            <a:off x="0" y="0"/>
                            <a:ext cx="4162425" cy="4431868"/>
                          </a:xfrm>
                          <a:prstGeom prst="rect">
                            <a:avLst/>
                          </a:prstGeom>
                          <a:ln w="12700">
                            <a:solidFill>
                              <a:srgbClr val="1C4587"/>
                            </a:solidFill>
                            <a:prstDash val="solid"/>
                          </a:ln>
                        </pic:spPr>
                      </pic:pic>
                    </a:graphicData>
                  </a:graphic>
                </wp:inline>
              </w:drawing>
            </w:r>
          </w:p>
          <w:p w:rsidR="005A63D1" w:rsidRDefault="00DB5899" w14:paraId="00000112" w14:textId="77777777">
            <w:pPr>
              <w:pStyle w:val="Normal2"/>
              <w:ind w:left="90" w:firstLine="0"/>
              <w:jc w:val="center"/>
              <w:rPr>
                <w:color w:val="CC0000"/>
              </w:rPr>
            </w:pPr>
            <w:r>
              <w:rPr>
                <w:sz w:val="20"/>
                <w:szCs w:val="20"/>
              </w:rPr>
              <w:t>Figure 8. Galapagos protected areas. Source: DPNG 2014.</w:t>
            </w:r>
          </w:p>
          <w:p w:rsidR="005A63D1" w:rsidRDefault="00DB5899" w14:paraId="00000113" w14:textId="77777777">
            <w:pPr>
              <w:pStyle w:val="Normal2"/>
              <w:pBdr>
                <w:top w:val="nil"/>
                <w:left w:val="nil"/>
                <w:bottom w:val="nil"/>
                <w:right w:val="nil"/>
                <w:between w:val="nil"/>
              </w:pBdr>
              <w:spacing w:after="200"/>
              <w:ind w:left="0" w:firstLine="0"/>
              <w:jc w:val="both"/>
              <w:rPr>
                <w:sz w:val="21"/>
                <w:szCs w:val="21"/>
              </w:rPr>
            </w:pPr>
            <w:r>
              <w:rPr>
                <w:sz w:val="21"/>
                <w:szCs w:val="21"/>
              </w:rPr>
              <w:t>In the Galapagos Archipelago islands, most women work in services and sales occupations as well as other basic occupations such as cleaning, domestic services or agricultural, fishing, or mining activities. Other professions with a sizable proportion of female workers include administrative support (13,8%) and scientific and intellectual positions (13 %). On the other hand, most men work as tradesmen, craftsmen and in service and sales occupations. Other less prominent but still important occupations are ba</w:t>
            </w:r>
            <w:r>
              <w:rPr>
                <w:sz w:val="21"/>
                <w:szCs w:val="21"/>
              </w:rPr>
              <w:t>sic occupations, plant and machinery operators (11%), and farmers and skilled workers (10%) (INEC 2010). The average monthly current household income in Galapagos is 1,901.3 dollars (INEC 2017).</w:t>
            </w:r>
          </w:p>
          <w:p w:rsidR="005A63D1" w:rsidRDefault="00DB5899" w14:paraId="00000114" w14:textId="77777777">
            <w:pPr>
              <w:pStyle w:val="Normal2"/>
              <w:pBdr>
                <w:top w:val="nil"/>
                <w:left w:val="nil"/>
                <w:bottom w:val="nil"/>
                <w:right w:val="nil"/>
                <w:between w:val="nil"/>
              </w:pBdr>
              <w:spacing w:after="200"/>
              <w:ind w:left="0" w:firstLine="0"/>
              <w:jc w:val="both"/>
              <w:rPr>
                <w:sz w:val="21"/>
                <w:szCs w:val="21"/>
              </w:rPr>
            </w:pPr>
            <w:r>
              <w:rPr>
                <w:sz w:val="21"/>
                <w:szCs w:val="21"/>
              </w:rPr>
              <w:t>In the National Park, 97% of the terrestrial area is fully protected, while 3% of the area is used by the population. There are also buffer zones for where resource use is permitted. In the marine area, there are no take zones and other areas where fishing is authorised. There are four main groups of actors present in the islands</w:t>
            </w:r>
            <w:r>
              <w:rPr>
                <w:sz w:val="21"/>
                <w:szCs w:val="21"/>
                <w:vertAlign w:val="superscript"/>
              </w:rPr>
              <w:footnoteReference w:id="7"/>
            </w:r>
            <w:r>
              <w:rPr>
                <w:sz w:val="21"/>
                <w:szCs w:val="21"/>
              </w:rPr>
              <w:t xml:space="preserve">: </w:t>
            </w:r>
          </w:p>
          <w:p w:rsidR="005A63D1" w:rsidRDefault="00DB5899" w14:paraId="00000115" w14:textId="77777777">
            <w:pPr>
              <w:pStyle w:val="Normal2"/>
              <w:numPr>
                <w:ilvl w:val="0"/>
                <w:numId w:val="4"/>
              </w:numPr>
              <w:pBdr>
                <w:top w:val="nil"/>
                <w:left w:val="nil"/>
                <w:bottom w:val="nil"/>
                <w:right w:val="nil"/>
                <w:between w:val="nil"/>
              </w:pBdr>
              <w:spacing w:after="80"/>
              <w:jc w:val="both"/>
              <w:rPr>
                <w:sz w:val="21"/>
                <w:szCs w:val="21"/>
              </w:rPr>
            </w:pPr>
            <w:r>
              <w:rPr>
                <w:sz w:val="21"/>
                <w:szCs w:val="21"/>
              </w:rPr>
              <w:t>Tourism: guilds, associations, cruise ships, and the hotel sector. The National Park has proven to be the main basis for the economic development of the province and an important source of foreign exchange for the country. The main economic activity in the archipelago is tourism, based on the conservation policies and actions implemented by the Galapagos National Park Directorate (DPNG) administration (DPNG 2014);</w:t>
            </w:r>
          </w:p>
          <w:p w:rsidR="005A63D1" w:rsidRDefault="00DB5899" w14:paraId="00000116" w14:textId="77777777">
            <w:pPr>
              <w:pStyle w:val="Normal2"/>
              <w:numPr>
                <w:ilvl w:val="0"/>
                <w:numId w:val="4"/>
              </w:numPr>
              <w:pBdr>
                <w:top w:val="nil"/>
                <w:left w:val="nil"/>
                <w:bottom w:val="nil"/>
                <w:right w:val="nil"/>
                <w:between w:val="nil"/>
              </w:pBdr>
              <w:spacing w:after="80"/>
              <w:jc w:val="both"/>
              <w:rPr>
                <w:sz w:val="21"/>
                <w:szCs w:val="21"/>
              </w:rPr>
            </w:pPr>
            <w:r>
              <w:rPr>
                <w:sz w:val="21"/>
                <w:szCs w:val="21"/>
              </w:rPr>
              <w:t>Fisheries: fishing cooperatives. This is one of the largest user sectors. Only artisanal fishing is permitted (regulated through permits);</w:t>
            </w:r>
          </w:p>
          <w:p w:rsidR="005A63D1" w:rsidRDefault="00DB5899" w14:paraId="00000117" w14:textId="77777777">
            <w:pPr>
              <w:pStyle w:val="Normal2"/>
              <w:numPr>
                <w:ilvl w:val="0"/>
                <w:numId w:val="4"/>
              </w:numPr>
              <w:pBdr>
                <w:top w:val="nil"/>
                <w:left w:val="nil"/>
                <w:bottom w:val="nil"/>
                <w:right w:val="nil"/>
                <w:between w:val="nil"/>
              </w:pBdr>
              <w:spacing w:after="80"/>
              <w:jc w:val="both"/>
              <w:rPr>
                <w:sz w:val="21"/>
                <w:szCs w:val="21"/>
              </w:rPr>
            </w:pPr>
            <w:r>
              <w:rPr>
                <w:sz w:val="21"/>
                <w:szCs w:val="21"/>
              </w:rPr>
              <w:t>Tour guides and interpreters, who are usually members of local communities. The NP provides them with training and certification for their activities;</w:t>
            </w:r>
          </w:p>
          <w:p w:rsidR="005A63D1" w:rsidRDefault="00DB5899" w14:paraId="00000118" w14:textId="77777777">
            <w:pPr>
              <w:pStyle w:val="Normal2"/>
              <w:numPr>
                <w:ilvl w:val="0"/>
                <w:numId w:val="4"/>
              </w:numPr>
              <w:pBdr>
                <w:top w:val="nil"/>
                <w:left w:val="nil"/>
                <w:bottom w:val="nil"/>
                <w:right w:val="nil"/>
                <w:between w:val="nil"/>
              </w:pBdr>
              <w:spacing w:after="80"/>
              <w:jc w:val="both"/>
              <w:rPr>
                <w:sz w:val="21"/>
                <w:szCs w:val="21"/>
              </w:rPr>
            </w:pPr>
            <w:r>
              <w:rPr>
                <w:sz w:val="21"/>
                <w:szCs w:val="21"/>
              </w:rPr>
              <w:t>Science industry: researchers;</w:t>
            </w:r>
          </w:p>
          <w:p w:rsidR="005A63D1" w:rsidRDefault="00DB5899" w14:paraId="00000119" w14:textId="77777777">
            <w:pPr>
              <w:pStyle w:val="Normal2"/>
              <w:numPr>
                <w:ilvl w:val="0"/>
                <w:numId w:val="4"/>
              </w:numPr>
              <w:pBdr>
                <w:top w:val="nil"/>
                <w:left w:val="nil"/>
                <w:bottom w:val="nil"/>
                <w:right w:val="nil"/>
                <w:between w:val="nil"/>
              </w:pBdr>
              <w:spacing w:after="80"/>
              <w:jc w:val="both"/>
              <w:rPr>
                <w:sz w:val="21"/>
                <w:szCs w:val="21"/>
              </w:rPr>
            </w:pPr>
            <w:r>
              <w:rPr>
                <w:sz w:val="21"/>
                <w:szCs w:val="21"/>
              </w:rPr>
              <w:t>Public and private entities;</w:t>
            </w:r>
          </w:p>
          <w:p w:rsidR="005A63D1" w:rsidRDefault="00DB5899" w14:paraId="0000011A" w14:textId="77777777">
            <w:pPr>
              <w:pStyle w:val="Normal2"/>
              <w:numPr>
                <w:ilvl w:val="0"/>
                <w:numId w:val="4"/>
              </w:numPr>
              <w:pBdr>
                <w:top w:val="nil"/>
                <w:left w:val="nil"/>
                <w:bottom w:val="nil"/>
                <w:right w:val="nil"/>
                <w:between w:val="nil"/>
              </w:pBdr>
              <w:spacing w:after="80"/>
              <w:jc w:val="both"/>
              <w:rPr>
                <w:sz w:val="21"/>
                <w:szCs w:val="21"/>
                <w:highlight w:val="white"/>
              </w:rPr>
            </w:pPr>
            <w:r>
              <w:rPr>
                <w:sz w:val="21"/>
                <w:szCs w:val="21"/>
                <w:highlight w:val="white"/>
              </w:rPr>
              <w:t>Governmental institutions: Galapagos National Park (Ministry of Environment - MAATE), Ministries of Defence, Production and Fisheries.</w:t>
            </w:r>
          </w:p>
          <w:p w:rsidR="005A63D1" w:rsidRDefault="005A63D1" w14:paraId="0000011B" w14:textId="77777777">
            <w:pPr>
              <w:pStyle w:val="Normal2"/>
              <w:pBdr>
                <w:top w:val="nil"/>
                <w:left w:val="nil"/>
                <w:bottom w:val="nil"/>
                <w:right w:val="nil"/>
                <w:between w:val="nil"/>
              </w:pBdr>
              <w:spacing w:after="0"/>
              <w:ind w:left="720" w:firstLine="0"/>
              <w:jc w:val="both"/>
              <w:rPr>
                <w:sz w:val="21"/>
                <w:szCs w:val="21"/>
                <w:highlight w:val="white"/>
              </w:rPr>
            </w:pPr>
          </w:p>
          <w:p w:rsidR="005A63D1" w:rsidRDefault="00DB5899" w14:paraId="0000011C" w14:textId="77777777">
            <w:pPr>
              <w:pStyle w:val="Normal2"/>
              <w:pBdr>
                <w:top w:val="nil"/>
                <w:left w:val="nil"/>
                <w:bottom w:val="nil"/>
                <w:right w:val="nil"/>
                <w:between w:val="nil"/>
              </w:pBdr>
              <w:spacing w:after="200"/>
              <w:ind w:left="0" w:firstLine="0"/>
              <w:jc w:val="both"/>
              <w:rPr>
                <w:sz w:val="21"/>
                <w:szCs w:val="21"/>
              </w:rPr>
            </w:pPr>
            <w:r>
              <w:rPr>
                <w:sz w:val="21"/>
                <w:szCs w:val="21"/>
              </w:rPr>
              <w:t>The Hermandad marine reserve is a marine corridor linking the Galapagos Marine Reserve with Costa Rica’s marine protected area (see Figure 9). Sustainable fishing is permitted in this corridor</w:t>
            </w:r>
            <w:r>
              <w:rPr>
                <w:sz w:val="21"/>
                <w:szCs w:val="21"/>
                <w:vertAlign w:val="superscript"/>
              </w:rPr>
              <w:footnoteReference w:id="8"/>
            </w:r>
            <w:r>
              <w:rPr>
                <w:sz w:val="21"/>
                <w:szCs w:val="21"/>
              </w:rPr>
              <w:t xml:space="preserve">. The continental fishing sector, as the main user of the Ecuadorian Insular Exclusive Economic Zone, will maintain the use of key areas in the most productive zones of the region to develop its activity under a responsible management approach that promotes sustainable catches in the long term (Ministerio del Ambiente, Agua y Transición Ecológica 2022). </w:t>
            </w:r>
          </w:p>
          <w:p w:rsidR="005A63D1" w:rsidRDefault="00DB5899" w14:paraId="0000011D" w14:textId="77777777">
            <w:pPr>
              <w:pStyle w:val="Normal2"/>
              <w:pBdr>
                <w:top w:val="nil"/>
                <w:left w:val="nil"/>
                <w:bottom w:val="nil"/>
                <w:right w:val="nil"/>
                <w:between w:val="nil"/>
              </w:pBdr>
              <w:spacing w:after="0"/>
              <w:ind w:left="0" w:firstLine="0"/>
              <w:jc w:val="center"/>
            </w:pPr>
            <w:r>
              <w:rPr>
                <w:noProof/>
              </w:rPr>
              <w:drawing>
                <wp:inline distT="114300" distB="114300" distL="114300" distR="114300" wp14:anchorId="16DEDACB" wp14:editId="07777777">
                  <wp:extent cx="3993490" cy="4367213"/>
                  <wp:effectExtent l="0" t="0" r="0" b="0"/>
                  <wp:docPr id="4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2"/>
                          <a:srcRect/>
                          <a:stretch>
                            <a:fillRect/>
                          </a:stretch>
                        </pic:blipFill>
                        <pic:spPr>
                          <a:xfrm rot="5400000">
                            <a:off x="0" y="0"/>
                            <a:ext cx="3993490" cy="4367213"/>
                          </a:xfrm>
                          <a:prstGeom prst="rect">
                            <a:avLst/>
                          </a:prstGeom>
                          <a:ln/>
                        </pic:spPr>
                      </pic:pic>
                    </a:graphicData>
                  </a:graphic>
                </wp:inline>
              </w:drawing>
            </w:r>
          </w:p>
          <w:p w:rsidR="005A63D1" w:rsidRDefault="00DB5899" w14:paraId="0000011E" w14:textId="77777777">
            <w:pPr>
              <w:pStyle w:val="Normal2"/>
              <w:ind w:left="90" w:firstLine="0"/>
              <w:jc w:val="center"/>
              <w:rPr>
                <w:color w:val="CC0000"/>
              </w:rPr>
            </w:pPr>
            <w:r>
              <w:rPr>
                <w:sz w:val="20"/>
                <w:szCs w:val="20"/>
              </w:rPr>
              <w:t>Figure 9. Hermandad Marine Reserve. Source: DPNG 2014.</w:t>
            </w:r>
          </w:p>
          <w:p w:rsidR="005A63D1" w:rsidRDefault="005A63D1" w14:paraId="0000011F" w14:textId="77777777">
            <w:pPr>
              <w:pStyle w:val="Normal2"/>
              <w:pBdr>
                <w:top w:val="nil"/>
                <w:left w:val="nil"/>
                <w:bottom w:val="nil"/>
                <w:right w:val="nil"/>
                <w:between w:val="nil"/>
              </w:pBdr>
              <w:spacing w:after="0"/>
              <w:ind w:left="0" w:firstLine="0"/>
              <w:rPr>
                <w:i/>
                <w:color w:val="1C4587"/>
                <w:sz w:val="20"/>
                <w:szCs w:val="20"/>
              </w:rPr>
            </w:pPr>
          </w:p>
          <w:p w:rsidR="005A63D1" w:rsidRDefault="005A63D1" w14:paraId="00000120" w14:textId="77777777">
            <w:pPr>
              <w:pStyle w:val="Normal2"/>
              <w:pBdr>
                <w:top w:val="nil"/>
                <w:left w:val="nil"/>
                <w:bottom w:val="nil"/>
                <w:right w:val="nil"/>
                <w:between w:val="nil"/>
              </w:pBdr>
              <w:spacing w:after="0"/>
              <w:ind w:left="0" w:firstLine="0"/>
              <w:rPr>
                <w:i/>
                <w:color w:val="1C4587"/>
                <w:sz w:val="20"/>
                <w:szCs w:val="20"/>
              </w:rPr>
            </w:pPr>
          </w:p>
          <w:p w:rsidR="005A63D1" w:rsidRDefault="00DB5899" w14:paraId="00000121" w14:textId="77777777">
            <w:pPr>
              <w:pStyle w:val="Normal2"/>
              <w:numPr>
                <w:ilvl w:val="0"/>
                <w:numId w:val="3"/>
              </w:numPr>
              <w:pBdr>
                <w:top w:val="nil"/>
                <w:left w:val="nil"/>
                <w:bottom w:val="nil"/>
                <w:right w:val="nil"/>
                <w:between w:val="nil"/>
              </w:pBdr>
              <w:spacing w:after="0"/>
              <w:ind w:left="566" w:right="23"/>
              <w:jc w:val="both"/>
              <w:rPr>
                <w:rFonts w:cs="Calibri"/>
                <w:i/>
                <w:color w:val="1C4587"/>
                <w:sz w:val="20"/>
                <w:szCs w:val="20"/>
              </w:rPr>
            </w:pPr>
            <w:r>
              <w:rPr>
                <w:i/>
                <w:color w:val="1C4587"/>
                <w:sz w:val="20"/>
                <w:szCs w:val="20"/>
              </w:rPr>
              <w:t>Describe how men and women access, use, manage and govern the natural resources that the project seeks to focus on. How could project activities affect or benefit women and men, and people with diverse gender identities where relevant?</w:t>
            </w:r>
          </w:p>
          <w:p w:rsidR="005A63D1" w:rsidRDefault="005A63D1" w14:paraId="00000122" w14:textId="77777777">
            <w:pPr>
              <w:pStyle w:val="Normal2"/>
              <w:pBdr>
                <w:top w:val="nil"/>
                <w:left w:val="nil"/>
                <w:bottom w:val="nil"/>
                <w:right w:val="nil"/>
                <w:between w:val="nil"/>
              </w:pBdr>
              <w:spacing w:after="0"/>
              <w:ind w:left="0" w:firstLine="0"/>
              <w:rPr>
                <w:i/>
                <w:color w:val="1C4587"/>
                <w:sz w:val="20"/>
                <w:szCs w:val="20"/>
              </w:rPr>
            </w:pPr>
          </w:p>
          <w:p w:rsidR="005A63D1" w:rsidRDefault="00DB5899" w14:paraId="00000123" w14:textId="77777777">
            <w:pPr>
              <w:pStyle w:val="Normal2"/>
              <w:pBdr>
                <w:top w:val="nil"/>
                <w:left w:val="nil"/>
                <w:bottom w:val="nil"/>
                <w:right w:val="nil"/>
                <w:between w:val="nil"/>
              </w:pBdr>
              <w:spacing w:after="200" w:line="259" w:lineRule="auto"/>
              <w:ind w:left="0" w:firstLine="0"/>
              <w:jc w:val="both"/>
              <w:rPr>
                <w:sz w:val="21"/>
                <w:szCs w:val="21"/>
              </w:rPr>
            </w:pPr>
            <w:r>
              <w:t>The preliminary analysis of socioeconomic and sociocultural variables carried out in the CMAR pre-feasibility study (2016) shows that there are gender differences in access to resources and employment. In general, men are dedi</w:t>
            </w:r>
            <w:r>
              <w:rPr>
                <w:sz w:val="21"/>
                <w:szCs w:val="21"/>
              </w:rPr>
              <w:t>cated to extractive activities with demands for extended hours and greater requirements for physical strength, such as agriculture, livestock and fishing. This represents 25% of the EAP for men, compared to 1% for women. Women are primarily engaged in tourism and, to a lesser extent in small-scale fisheries and its supply chain, although they do play an important role in the commercialization of artisanal fishing, in the production of industrial fishing products, and in the service sector (hotels, gastronom</w:t>
            </w:r>
            <w:r>
              <w:rPr>
                <w:sz w:val="21"/>
                <w:szCs w:val="21"/>
              </w:rPr>
              <w:t>y, food sales and small businesses). On the other hand, commerce and transportation services in the areas of influence are dominated by men (CMAR 2016).  There are also women working for CMAR and as scientists in the area. A more significant proportion of men also work in small-scale fisheries. These gender differences have also been presented in additional analyses (e.g. ACD 2010).</w:t>
            </w:r>
          </w:p>
          <w:p w:rsidR="005A63D1" w:rsidRDefault="00DB5899" w14:paraId="00000124" w14:textId="77777777">
            <w:pPr>
              <w:pStyle w:val="Normal2"/>
              <w:spacing w:after="200" w:line="259" w:lineRule="auto"/>
              <w:ind w:left="0" w:firstLine="0"/>
              <w:jc w:val="both"/>
              <w:rPr>
                <w:sz w:val="21"/>
                <w:szCs w:val="21"/>
              </w:rPr>
            </w:pPr>
            <w:r>
              <w:rPr>
                <w:sz w:val="21"/>
                <w:szCs w:val="21"/>
              </w:rPr>
              <w:t xml:space="preserve">Many of the communities living on the coast or in the islands depend on fishing as their primary source of income. A significant percentage of women work in the processing of fish in small factories or selling fish and seafood (prawns, in particular) in local markets, an activity that some of them depend solely on for their livelihoods. A closed seasons for fishing has been implemented during January and March of each year in some areas (e.g. Buenaventura, </w:t>
            </w:r>
            <w:r>
              <w:rPr>
                <w:b/>
                <w:sz w:val="21"/>
                <w:szCs w:val="21"/>
              </w:rPr>
              <w:t>Colombia</w:t>
            </w:r>
            <w:r>
              <w:rPr>
                <w:sz w:val="21"/>
                <w:szCs w:val="21"/>
              </w:rPr>
              <w:t xml:space="preserve">), which means that women receive less income; a situation that puts the food security and well-being of them and their families at risk (CMAR Pacífico 2015). As a possible solution to this situation, an agreement between WWF and the National Aquaculture and Fisheries Authority (AUNAP) in 2020 meant that 105 fisherwoman or </w:t>
            </w:r>
            <w:r>
              <w:rPr>
                <w:i/>
                <w:sz w:val="21"/>
                <w:szCs w:val="21"/>
              </w:rPr>
              <w:t xml:space="preserve">platoneras </w:t>
            </w:r>
            <w:r>
              <w:rPr>
                <w:sz w:val="21"/>
                <w:szCs w:val="21"/>
              </w:rPr>
              <w:t>were selected to participate in a seed capital programme, an initiative that opened up spaces for training on entrepreneurship and allowed them access to other products</w:t>
            </w:r>
            <w:r>
              <w:rPr>
                <w:sz w:val="21"/>
                <w:szCs w:val="21"/>
              </w:rPr>
              <w:t xml:space="preserve"> that they were able to market during the closed season (WWF 2020).</w:t>
            </w:r>
          </w:p>
          <w:p w:rsidR="005A63D1" w:rsidRDefault="00DB5899" w14:paraId="00000125" w14:textId="77777777">
            <w:pPr>
              <w:pStyle w:val="Normal2"/>
              <w:spacing w:after="200" w:line="259" w:lineRule="auto"/>
              <w:ind w:left="0" w:firstLine="0"/>
              <w:jc w:val="both"/>
              <w:rPr>
                <w:sz w:val="21"/>
                <w:szCs w:val="21"/>
              </w:rPr>
            </w:pPr>
            <w:r>
              <w:rPr>
                <w:sz w:val="21"/>
                <w:szCs w:val="21"/>
              </w:rPr>
              <w:t xml:space="preserve">According to the report “USAID/South America Region Gender and Fisheries Analysis” (USAID 2023) for </w:t>
            </w:r>
            <w:r>
              <w:rPr>
                <w:b/>
                <w:sz w:val="21"/>
                <w:szCs w:val="21"/>
              </w:rPr>
              <w:t>Colombia</w:t>
            </w:r>
            <w:r>
              <w:rPr>
                <w:sz w:val="21"/>
                <w:szCs w:val="21"/>
              </w:rPr>
              <w:t xml:space="preserve"> and </w:t>
            </w:r>
            <w:r>
              <w:rPr>
                <w:b/>
                <w:sz w:val="21"/>
                <w:szCs w:val="21"/>
              </w:rPr>
              <w:t>Ecuador</w:t>
            </w:r>
            <w:r>
              <w:rPr>
                <w:sz w:val="21"/>
                <w:szCs w:val="21"/>
              </w:rPr>
              <w:t>, a large percentage of women work in fish processing factories in suboptimal conditions, since they have an invisible role within value chains. Men occupy the majority of positions of authority in formal and informal decision-making bodies and in fishing companies, and women lack access to opportunities to improve their socioeconomic conditions.</w:t>
            </w:r>
          </w:p>
          <w:p w:rsidR="005A63D1" w:rsidRDefault="00DB5899" w14:paraId="00000126" w14:textId="77777777">
            <w:pPr>
              <w:pStyle w:val="Normal2"/>
              <w:spacing w:after="200" w:line="259" w:lineRule="auto"/>
              <w:ind w:left="0" w:firstLine="0"/>
              <w:jc w:val="both"/>
              <w:rPr>
                <w:sz w:val="21"/>
                <w:szCs w:val="21"/>
              </w:rPr>
            </w:pPr>
            <w:r>
              <w:rPr>
                <w:sz w:val="21"/>
                <w:szCs w:val="21"/>
              </w:rPr>
              <w:t xml:space="preserve">In the South Pacific of </w:t>
            </w:r>
            <w:r>
              <w:rPr>
                <w:b/>
                <w:sz w:val="21"/>
                <w:szCs w:val="21"/>
              </w:rPr>
              <w:t>Costa Rica</w:t>
            </w:r>
            <w:r>
              <w:rPr>
                <w:sz w:val="21"/>
                <w:szCs w:val="21"/>
              </w:rPr>
              <w:t>, half of the artisanal and piangüero fishermen are women, but the fishermen's organizations are led by men (CMAR 2016).</w:t>
            </w:r>
          </w:p>
          <w:p w:rsidR="005A63D1" w:rsidRDefault="00DB5899" w14:paraId="00000127" w14:textId="77777777">
            <w:pPr>
              <w:pStyle w:val="Normal2"/>
              <w:spacing w:after="200" w:line="259" w:lineRule="auto"/>
              <w:ind w:left="0" w:firstLine="0"/>
              <w:jc w:val="both"/>
              <w:rPr>
                <w:sz w:val="21"/>
                <w:szCs w:val="21"/>
              </w:rPr>
            </w:pPr>
            <w:r>
              <w:rPr>
                <w:sz w:val="21"/>
                <w:szCs w:val="21"/>
              </w:rPr>
              <w:t xml:space="preserve">In the report carried out by Vivienne Solis Rivera on "Fisheries and gender equality" for </w:t>
            </w:r>
            <w:r>
              <w:rPr>
                <w:b/>
                <w:sz w:val="21"/>
                <w:szCs w:val="21"/>
              </w:rPr>
              <w:t xml:space="preserve">Costa Rica </w:t>
            </w:r>
            <w:r>
              <w:rPr>
                <w:sz w:val="21"/>
                <w:szCs w:val="21"/>
              </w:rPr>
              <w:t>(2013), it is also stated that the work of women in activities related to natural resources is intense but little recognized and access to the spaces where they take restricted environmental and economic policy decisions.</w:t>
            </w:r>
          </w:p>
          <w:p w:rsidR="005A63D1" w:rsidRDefault="00DB5899" w14:paraId="00000128" w14:textId="77777777">
            <w:pPr>
              <w:pStyle w:val="Normal2"/>
              <w:spacing w:after="200" w:line="259" w:lineRule="auto"/>
              <w:ind w:left="0" w:firstLine="0"/>
              <w:jc w:val="both"/>
              <w:rPr>
                <w:sz w:val="21"/>
                <w:szCs w:val="21"/>
              </w:rPr>
            </w:pPr>
            <w:r>
              <w:rPr>
                <w:sz w:val="21"/>
                <w:szCs w:val="21"/>
              </w:rPr>
              <w:t>As outlined in the PACA report of 2020, there is the misconception that activities such as fishing, tourism, environmental stewardship and aquaculture are predominantly associated with men. Consequently, the crucial contributions of women in these domains often go unrecognised.</w:t>
            </w:r>
          </w:p>
          <w:p w:rsidR="005A63D1" w:rsidRDefault="00DB5899" w14:paraId="00000129" w14:textId="77777777">
            <w:pPr>
              <w:pStyle w:val="Normal2"/>
              <w:pBdr>
                <w:top w:val="nil"/>
                <w:left w:val="nil"/>
                <w:bottom w:val="nil"/>
                <w:right w:val="nil"/>
                <w:between w:val="nil"/>
              </w:pBdr>
              <w:spacing w:after="200" w:line="259" w:lineRule="auto"/>
              <w:ind w:left="0" w:firstLine="0"/>
              <w:jc w:val="both"/>
              <w:rPr>
                <w:sz w:val="21"/>
                <w:szCs w:val="21"/>
              </w:rPr>
            </w:pPr>
            <w:r>
              <w:rPr>
                <w:sz w:val="21"/>
                <w:szCs w:val="21"/>
              </w:rPr>
              <w:t xml:space="preserve">In </w:t>
            </w:r>
            <w:r>
              <w:rPr>
                <w:b/>
                <w:sz w:val="21"/>
                <w:szCs w:val="21"/>
              </w:rPr>
              <w:t>Panama's tourism sector</w:t>
            </w:r>
            <w:r>
              <w:rPr>
                <w:sz w:val="21"/>
                <w:szCs w:val="21"/>
              </w:rPr>
              <w:t xml:space="preserve">, boat captains are men and few guides are women. Women participate in tourism-related activities, but women's roles and contributions in the whale watching supply chain are not visible.It is noteworthy that the migration that occurs in </w:t>
            </w:r>
            <w:r>
              <w:rPr>
                <w:b/>
                <w:sz w:val="21"/>
                <w:szCs w:val="21"/>
              </w:rPr>
              <w:t>Panama</w:t>
            </w:r>
            <w:r>
              <w:rPr>
                <w:sz w:val="21"/>
                <w:szCs w:val="21"/>
              </w:rPr>
              <w:t xml:space="preserve"> is mainly carried out by women (CMAR 2016).</w:t>
            </w:r>
          </w:p>
          <w:p w:rsidR="005A63D1" w:rsidRDefault="00DB5899" w14:paraId="0000012A" w14:textId="77777777">
            <w:pPr>
              <w:pStyle w:val="Normal2"/>
              <w:spacing w:after="200" w:line="259" w:lineRule="auto"/>
              <w:ind w:left="0" w:firstLine="0"/>
              <w:jc w:val="both"/>
              <w:rPr>
                <w:sz w:val="21"/>
                <w:szCs w:val="21"/>
                <w:highlight w:val="yellow"/>
              </w:rPr>
            </w:pPr>
            <w:r>
              <w:rPr>
                <w:sz w:val="21"/>
                <w:szCs w:val="21"/>
              </w:rPr>
              <w:t>Information related to gender in the tourism or maritime transport sector for the project area is scarce or non-existent. The project could exacerbate situations of lower income for these communities if restrictions are supported without adequate mitigation measures or if new ones are established. Therefore, the project will further analyse women’s roles in project fisheries and tourism activities and ensure that they participate in and benefit from the project and that no additional workload is imposed thr</w:t>
            </w:r>
            <w:r>
              <w:rPr>
                <w:sz w:val="21"/>
                <w:szCs w:val="21"/>
              </w:rPr>
              <w:t>ough project activities (GEF 2023).</w:t>
            </w:r>
          </w:p>
          <w:p w:rsidR="005A63D1" w:rsidRDefault="00DB5899" w14:paraId="0000012B" w14:textId="77777777">
            <w:pPr>
              <w:pStyle w:val="Normal2"/>
              <w:spacing w:after="200" w:line="259" w:lineRule="auto"/>
              <w:ind w:left="0" w:firstLine="0"/>
              <w:jc w:val="both"/>
              <w:rPr>
                <w:sz w:val="21"/>
                <w:szCs w:val="21"/>
                <w:highlight w:val="yellow"/>
              </w:rPr>
            </w:pPr>
            <w:r>
              <w:rPr>
                <w:sz w:val="21"/>
                <w:szCs w:val="21"/>
              </w:rPr>
              <w:t>Management plans (outlined in Component 2) will be updated – or developed for those MPAs where no management plan exists – to acknowledge gender and intergenerational uses and inclusion as well as acknowledging the role of Afro-descendent and other coastal community MPA users where applicable. Components 3 and 4 have a strong gender focus and will work with male and female business owners providing blue economy focused technical expertise. Blue economy activities (outlined under Component 3) will be develop</w:t>
            </w:r>
            <w:r>
              <w:rPr>
                <w:sz w:val="21"/>
                <w:szCs w:val="21"/>
              </w:rPr>
              <w:t>ed with women entrepreneur input. Activities in all blue economy work will include meetings with men and women in each sector to better understand their roles and limitations, and how the project can help improve women’s involvement. Exchanges (outlined in Component 4) will include exchanges of women’s groups so they can learn and share information from other women entrepreneurs and how they have overcome obstacles to their engagement. Meetings and exchanges with CMAR staff and researchers will be organised</w:t>
            </w:r>
            <w:r>
              <w:rPr>
                <w:sz w:val="21"/>
                <w:szCs w:val="21"/>
              </w:rPr>
              <w:t xml:space="preserve"> with input from women participants to help ensure their active participation in project activities (CI 2023).</w:t>
            </w:r>
          </w:p>
          <w:p w:rsidR="005A63D1" w:rsidRDefault="005A63D1" w14:paraId="0000012C" w14:textId="77777777">
            <w:pPr>
              <w:pStyle w:val="Normal2"/>
              <w:pBdr>
                <w:top w:val="nil"/>
                <w:left w:val="nil"/>
                <w:bottom w:val="nil"/>
                <w:right w:val="nil"/>
                <w:between w:val="nil"/>
              </w:pBdr>
              <w:spacing w:after="0"/>
              <w:ind w:left="0" w:firstLine="0"/>
              <w:rPr>
                <w:highlight w:val="yellow"/>
              </w:rPr>
            </w:pPr>
          </w:p>
          <w:p w:rsidR="005A63D1" w:rsidRDefault="00DB5899" w14:paraId="0000012D" w14:textId="77777777">
            <w:pPr>
              <w:pStyle w:val="Normal2"/>
              <w:numPr>
                <w:ilvl w:val="0"/>
                <w:numId w:val="3"/>
              </w:numPr>
              <w:pBdr>
                <w:top w:val="nil"/>
                <w:left w:val="nil"/>
                <w:bottom w:val="nil"/>
                <w:right w:val="nil"/>
                <w:between w:val="nil"/>
              </w:pBdr>
              <w:spacing w:after="0"/>
              <w:ind w:left="566" w:right="165"/>
              <w:jc w:val="both"/>
              <w:rPr>
                <w:rFonts w:cs="Calibri"/>
                <w:i/>
                <w:color w:val="1C4587"/>
                <w:sz w:val="20"/>
                <w:szCs w:val="20"/>
              </w:rPr>
            </w:pPr>
            <w:r>
              <w:rPr>
                <w:i/>
                <w:color w:val="1C4587"/>
                <w:sz w:val="20"/>
                <w:szCs w:val="20"/>
              </w:rPr>
              <w:t>Describe the extent of gender-based violence (GBV) and Sexual Exploitation, Sexual Abuse and Sexual Harassment (SEAH). Are GBV and SEAH relatively high at the national and project level? Is the project planning to introduce activities that may perpetuate or exacerbate GBV and SEAH?</w:t>
            </w:r>
          </w:p>
          <w:p w:rsidR="005A63D1" w:rsidRDefault="005A63D1" w14:paraId="0000012E" w14:textId="77777777">
            <w:pPr>
              <w:pStyle w:val="Normal2"/>
              <w:pBdr>
                <w:top w:val="nil"/>
                <w:left w:val="nil"/>
                <w:bottom w:val="nil"/>
                <w:right w:val="nil"/>
                <w:between w:val="nil"/>
              </w:pBdr>
              <w:spacing w:after="0"/>
              <w:ind w:left="0" w:firstLine="0"/>
              <w:rPr>
                <w:i/>
                <w:color w:val="1C4587"/>
                <w:sz w:val="8"/>
                <w:szCs w:val="8"/>
              </w:rPr>
            </w:pPr>
          </w:p>
          <w:p w:rsidR="005A63D1" w:rsidRDefault="00DB5899" w14:paraId="0000012F" w14:textId="77777777">
            <w:pPr>
              <w:pStyle w:val="Normal2"/>
              <w:pBdr>
                <w:top w:val="nil"/>
                <w:left w:val="nil"/>
                <w:bottom w:val="nil"/>
                <w:right w:val="nil"/>
                <w:between w:val="nil"/>
              </w:pBdr>
              <w:spacing w:before="40" w:after="200"/>
              <w:ind w:left="48" w:right="46" w:firstLine="0"/>
              <w:jc w:val="both"/>
              <w:rPr>
                <w:sz w:val="21"/>
                <w:szCs w:val="21"/>
              </w:rPr>
            </w:pPr>
            <w:r>
              <w:rPr>
                <w:sz w:val="21"/>
                <w:szCs w:val="21"/>
              </w:rPr>
              <w:t xml:space="preserve">In </w:t>
            </w:r>
            <w:r>
              <w:rPr>
                <w:b/>
                <w:sz w:val="21"/>
                <w:szCs w:val="21"/>
              </w:rPr>
              <w:t>Colombia</w:t>
            </w:r>
            <w:r>
              <w:rPr>
                <w:sz w:val="21"/>
                <w:szCs w:val="21"/>
              </w:rPr>
              <w:t xml:space="preserve"> and </w:t>
            </w:r>
            <w:r>
              <w:rPr>
                <w:b/>
                <w:sz w:val="21"/>
                <w:szCs w:val="21"/>
              </w:rPr>
              <w:t>Ecuador</w:t>
            </w:r>
            <w:r>
              <w:rPr>
                <w:sz w:val="21"/>
                <w:szCs w:val="21"/>
              </w:rPr>
              <w:t>, the incidence of gender-based violence (GBV) and workplace harassment is assumed to be significant, but limited information is available (USAID 2023). In Colombia, the percentage of women who have suffered violence is significant: 70.8% (psychological), 40.1% (physical), 33.3% (economic), 12% (sexual), 74.7% (some violence). However, this is not only a gendered problem, as a considerable number of men have also been victims of violence: 79.1% (psychological), 27.9% (physical), 27.2% (e</w:t>
            </w:r>
            <w:r>
              <w:rPr>
                <w:sz w:val="21"/>
                <w:szCs w:val="21"/>
              </w:rPr>
              <w:t>conomic), 1.3% (sexual), 79.4% (some violence) (Data on Pacific coast of Colombia; ENDS Colombia 2015). In Galapagos, 60.6 percent of women over 15 years of age at the national level indicate that they have experienced some type of violence (physical, psychological, sexual). Psychological violence, as in the rest of Ecuador, is the most recurrent form of violence in the province of Galapagos with 49.9%. In the case of patrimonial violence, 2 out of 10 women have experienced it in the province.</w:t>
            </w:r>
          </w:p>
          <w:p w:rsidR="005A63D1" w:rsidRDefault="00DB5899" w14:paraId="00000130" w14:textId="77777777">
            <w:pPr>
              <w:pStyle w:val="Normal2"/>
              <w:pBdr>
                <w:top w:val="nil"/>
                <w:left w:val="nil"/>
                <w:bottom w:val="nil"/>
                <w:right w:val="nil"/>
                <w:between w:val="nil"/>
              </w:pBdr>
              <w:spacing w:before="40" w:after="200"/>
              <w:ind w:left="48" w:right="46" w:firstLine="0"/>
              <w:jc w:val="both"/>
              <w:rPr>
                <w:sz w:val="21"/>
                <w:szCs w:val="21"/>
              </w:rPr>
            </w:pPr>
            <w:r>
              <w:rPr>
                <w:sz w:val="21"/>
                <w:szCs w:val="21"/>
              </w:rPr>
              <w:t xml:space="preserve">In </w:t>
            </w:r>
            <w:r>
              <w:rPr>
                <w:b/>
                <w:sz w:val="21"/>
                <w:szCs w:val="21"/>
              </w:rPr>
              <w:t>Panamá</w:t>
            </w:r>
            <w:r>
              <w:rPr>
                <w:sz w:val="21"/>
                <w:szCs w:val="21"/>
              </w:rPr>
              <w:t xml:space="preserve"> (NP Coiba) GBV exists but it is still taboo. Alcohol is a trigger and lack of education and access to information does not help (MARVIVA’s interview 2023). Women’s deaths at the hands of their intimate partner or former partner in Panamá is estimated to be 5% . Femicide or feminicide, most recent data available in Panamá: 1.1% (CEPAL 2022).</w:t>
            </w:r>
          </w:p>
          <w:p w:rsidR="005A63D1" w:rsidRDefault="00DB5899" w14:paraId="00000131" w14:textId="77777777">
            <w:pPr>
              <w:pStyle w:val="Normal2"/>
              <w:pBdr>
                <w:top w:val="nil"/>
                <w:left w:val="nil"/>
                <w:bottom w:val="nil"/>
                <w:right w:val="nil"/>
                <w:between w:val="nil"/>
              </w:pBdr>
              <w:spacing w:before="40" w:after="200"/>
              <w:ind w:left="48" w:right="46" w:firstLine="0"/>
              <w:jc w:val="both"/>
              <w:rPr>
                <w:sz w:val="21"/>
                <w:szCs w:val="21"/>
                <w:highlight w:val="yellow"/>
              </w:rPr>
            </w:pPr>
            <w:r>
              <w:rPr>
                <w:b/>
                <w:sz w:val="21"/>
                <w:szCs w:val="21"/>
              </w:rPr>
              <w:t>Costa Rica</w:t>
            </w:r>
            <w:r>
              <w:rPr>
                <w:sz w:val="21"/>
                <w:szCs w:val="21"/>
              </w:rPr>
              <w:t xml:space="preserve"> has various policies and laws to protect women and girls exposed to GBV and SEAH. None of these measures, however, cover the specificities of those who live in coastal areas or engage in small-scale artisanal fishing (International Collective in Support of Fishworkers-ICSF 2022). Women’s deaths at the hands of their intimate partner or former partner in Costa Rica is estimated to be 5%. Femicide or feminicide, most recent data available in Costa Rica: 7% (CEPAL 2022).</w:t>
            </w:r>
          </w:p>
          <w:p w:rsidR="005A63D1" w:rsidRDefault="00DB5899" w14:paraId="00000132" w14:textId="77777777">
            <w:pPr>
              <w:pStyle w:val="Normal2"/>
              <w:pBdr>
                <w:top w:val="nil"/>
                <w:left w:val="nil"/>
                <w:bottom w:val="nil"/>
                <w:right w:val="nil"/>
                <w:between w:val="nil"/>
              </w:pBdr>
              <w:spacing w:before="40" w:after="200"/>
              <w:ind w:left="48" w:right="46" w:firstLine="0"/>
              <w:jc w:val="both"/>
              <w:rPr>
                <w:sz w:val="21"/>
                <w:szCs w:val="21"/>
              </w:rPr>
            </w:pPr>
            <w:r>
              <w:rPr>
                <w:sz w:val="21"/>
                <w:szCs w:val="21"/>
              </w:rPr>
              <w:t>Moreover, both narcotrafficking and human trafficking are known to occur in the project area (particularly around Galapagos), while information on the links between tourism and SEAH are now being documented. In Ecuador, 72,1% of causes of sentences against women are in relation to narcotrafficking. This figure is high when compared to the prosecutions of male detainees, as only 32% were arrested for drug crimes. One reason for the discrepancy is that women are forced to commit crimes under threat (INEC 2022</w:t>
            </w:r>
            <w:r>
              <w:rPr>
                <w:sz w:val="21"/>
                <w:szCs w:val="21"/>
              </w:rPr>
              <w:t>; CIDH 2023).</w:t>
            </w:r>
          </w:p>
          <w:p w:rsidR="005A63D1" w:rsidRDefault="00DB5899" w14:paraId="00000133" w14:textId="77777777">
            <w:pPr>
              <w:pStyle w:val="Normal2"/>
              <w:pBdr>
                <w:top w:val="nil"/>
                <w:left w:val="nil"/>
                <w:bottom w:val="nil"/>
                <w:right w:val="nil"/>
                <w:between w:val="nil"/>
              </w:pBdr>
              <w:spacing w:before="40" w:after="200"/>
              <w:ind w:left="48" w:right="46" w:firstLine="0"/>
              <w:jc w:val="both"/>
              <w:rPr>
                <w:sz w:val="21"/>
                <w:szCs w:val="21"/>
              </w:rPr>
            </w:pPr>
            <w:r>
              <w:rPr>
                <w:sz w:val="21"/>
                <w:szCs w:val="21"/>
              </w:rPr>
              <w:t>During the PPG phase, the project will include considerations on GBV and SEAH as part of the accountability data available for MPAs or sectoral policies. The findings of these studies will be used to guide the development of activities within each component to ensure that the project in no way perpetuates or exacerbates these practices (CI 2023).</w:t>
            </w:r>
          </w:p>
          <w:p w:rsidR="005A63D1" w:rsidRDefault="00DB5899" w14:paraId="00000134" w14:textId="77777777">
            <w:pPr>
              <w:pStyle w:val="Normal2"/>
              <w:spacing w:after="0"/>
              <w:ind w:left="0" w:firstLine="0"/>
              <w:jc w:val="both"/>
              <w:rPr>
                <w:sz w:val="21"/>
                <w:szCs w:val="21"/>
              </w:rPr>
            </w:pPr>
            <w:r>
              <w:rPr>
                <w:sz w:val="21"/>
                <w:szCs w:val="21"/>
              </w:rPr>
              <w:t>For more information on gender, please see the separate deliverable: Gender Mainstreaming Plan (GMP).</w:t>
            </w:r>
          </w:p>
        </w:tc>
      </w:tr>
      <w:tr w:rsidR="005A63D1" w14:paraId="47E2CA68" w14:textId="77777777">
        <w:trPr>
          <w:trHeight w:val="240"/>
        </w:trPr>
        <w:tc>
          <w:tcPr>
            <w:tcW w:w="10185" w:type="dxa"/>
          </w:tcPr>
          <w:p w:rsidR="005A63D1" w:rsidRDefault="00DB5899" w14:paraId="00000135" w14:textId="77777777">
            <w:pPr>
              <w:pStyle w:val="Normal2"/>
              <w:pBdr>
                <w:top w:val="nil"/>
                <w:left w:val="nil"/>
                <w:bottom w:val="nil"/>
                <w:right w:val="nil"/>
                <w:between w:val="nil"/>
              </w:pBdr>
              <w:spacing w:after="0" w:line="276" w:lineRule="auto"/>
              <w:ind w:left="90" w:firstLine="0"/>
              <w:rPr>
                <w:rFonts w:cs="Calibri"/>
                <w:sz w:val="20"/>
                <w:szCs w:val="20"/>
              </w:rPr>
            </w:pPr>
            <w:r>
              <w:rPr>
                <w:rFonts w:cs="Calibri"/>
                <w:b/>
                <w:sz w:val="20"/>
                <w:szCs w:val="20"/>
              </w:rPr>
              <w:t>Institutional Capacity</w:t>
            </w:r>
            <w:r>
              <w:rPr>
                <w:rFonts w:cs="Calibri"/>
                <w:sz w:val="20"/>
                <w:szCs w:val="20"/>
              </w:rPr>
              <w:t xml:space="preserve"> </w:t>
            </w:r>
          </w:p>
          <w:p w:rsidR="005A63D1" w:rsidRDefault="00DB5899" w14:paraId="00000136" w14:textId="77777777">
            <w:pPr>
              <w:pStyle w:val="Normal2"/>
              <w:numPr>
                <w:ilvl w:val="0"/>
                <w:numId w:val="3"/>
              </w:numPr>
              <w:pBdr>
                <w:top w:val="nil"/>
                <w:left w:val="nil"/>
                <w:bottom w:val="nil"/>
                <w:right w:val="nil"/>
                <w:between w:val="nil"/>
              </w:pBdr>
              <w:spacing w:after="0"/>
              <w:ind w:left="566"/>
              <w:rPr>
                <w:rFonts w:cs="Calibri"/>
                <w:i/>
                <w:color w:val="1C4587"/>
                <w:sz w:val="20"/>
                <w:szCs w:val="20"/>
              </w:rPr>
            </w:pPr>
            <w:r>
              <w:rPr>
                <w:i/>
                <w:color w:val="1C4587"/>
                <w:sz w:val="20"/>
                <w:szCs w:val="20"/>
              </w:rPr>
              <w:t>Describe the institutional experience in implementing environmental and social safeguards, gender and stakeholder engagement.</w:t>
            </w:r>
          </w:p>
          <w:p w:rsidR="005A63D1" w:rsidRDefault="00DB5899" w14:paraId="00000137" w14:textId="77777777">
            <w:pPr>
              <w:pStyle w:val="Normal2"/>
              <w:numPr>
                <w:ilvl w:val="0"/>
                <w:numId w:val="3"/>
              </w:numPr>
              <w:pBdr>
                <w:top w:val="nil"/>
                <w:left w:val="nil"/>
                <w:bottom w:val="nil"/>
                <w:right w:val="nil"/>
                <w:between w:val="nil"/>
              </w:pBdr>
              <w:spacing w:after="0"/>
              <w:ind w:left="566"/>
              <w:rPr>
                <w:rFonts w:cs="Calibri"/>
                <w:i/>
                <w:color w:val="1C4587"/>
                <w:sz w:val="20"/>
                <w:szCs w:val="20"/>
              </w:rPr>
            </w:pPr>
            <w:r>
              <w:rPr>
                <w:i/>
                <w:color w:val="1C4587"/>
                <w:sz w:val="20"/>
                <w:szCs w:val="20"/>
              </w:rPr>
              <w:t>Indicate the number of staff dedicated (part/full-time) to safeguards, gender and stakeholder engagement.</w:t>
            </w:r>
          </w:p>
          <w:p w:rsidR="005A63D1" w:rsidRDefault="00DB5899" w14:paraId="00000138" w14:textId="77777777">
            <w:pPr>
              <w:pStyle w:val="Normal2"/>
              <w:numPr>
                <w:ilvl w:val="0"/>
                <w:numId w:val="3"/>
              </w:numPr>
              <w:pBdr>
                <w:top w:val="nil"/>
                <w:left w:val="nil"/>
                <w:bottom w:val="nil"/>
                <w:right w:val="nil"/>
                <w:between w:val="nil"/>
              </w:pBdr>
              <w:spacing w:after="0"/>
              <w:ind w:left="566"/>
              <w:rPr>
                <w:rFonts w:cs="Calibri"/>
                <w:i/>
                <w:color w:val="1C4587"/>
                <w:sz w:val="20"/>
                <w:szCs w:val="20"/>
              </w:rPr>
            </w:pPr>
            <w:r>
              <w:rPr>
                <w:i/>
                <w:color w:val="1C4587"/>
                <w:sz w:val="20"/>
                <w:szCs w:val="20"/>
              </w:rPr>
              <w:t>Describe the capacity of the above staff (are they subject experts such as gender specialist or have they been trained in safeguards, gender and stakeholder engagement). (The EA/EE will be required to complete an ESMF capacity self-assessment during the PPG/PPF stage).</w:t>
            </w:r>
          </w:p>
          <w:p w:rsidR="005A63D1" w:rsidRDefault="005A63D1" w14:paraId="00000139" w14:textId="77777777">
            <w:pPr>
              <w:pStyle w:val="Normal2"/>
              <w:pBdr>
                <w:top w:val="nil"/>
                <w:left w:val="nil"/>
                <w:bottom w:val="nil"/>
                <w:right w:val="nil"/>
                <w:between w:val="nil"/>
              </w:pBdr>
              <w:spacing w:after="0"/>
              <w:ind w:left="0" w:firstLine="0"/>
              <w:jc w:val="both"/>
            </w:pPr>
          </w:p>
          <w:p w:rsidR="005A63D1" w:rsidRDefault="00DB5899" w14:paraId="0000013A" w14:textId="77777777">
            <w:pPr>
              <w:pStyle w:val="Normal2"/>
              <w:pBdr>
                <w:top w:val="nil"/>
                <w:left w:val="nil"/>
                <w:bottom w:val="nil"/>
                <w:right w:val="nil"/>
                <w:between w:val="nil"/>
              </w:pBdr>
              <w:spacing w:before="40" w:after="200"/>
              <w:ind w:left="48" w:right="46" w:firstLine="0"/>
              <w:jc w:val="both"/>
              <w:rPr>
                <w:sz w:val="21"/>
                <w:szCs w:val="21"/>
              </w:rPr>
            </w:pPr>
            <w:r>
              <w:rPr>
                <w:sz w:val="21"/>
                <w:szCs w:val="21"/>
              </w:rPr>
              <w:t>Fundación Pacífico currently has in place an Environmental and Social Monitoring System (ESMS), designed to comply with the requirements of the German Development Bank (KfW). This system was approved and adopted in October 2023, and its use wil start in full with the implementation of KfW and FFEM-funded projects.</w:t>
            </w:r>
          </w:p>
          <w:p w:rsidR="005A63D1" w:rsidRDefault="00DB5899" w14:paraId="0000013B" w14:textId="77777777">
            <w:pPr>
              <w:pStyle w:val="Normal2"/>
              <w:pBdr>
                <w:top w:val="nil"/>
                <w:left w:val="nil"/>
                <w:bottom w:val="nil"/>
                <w:right w:val="nil"/>
                <w:between w:val="nil"/>
              </w:pBdr>
              <w:spacing w:before="40" w:after="200"/>
              <w:ind w:left="48" w:right="46" w:firstLine="0"/>
              <w:jc w:val="both"/>
              <w:rPr>
                <w:sz w:val="21"/>
                <w:szCs w:val="21"/>
              </w:rPr>
            </w:pPr>
            <w:r>
              <w:rPr>
                <w:sz w:val="21"/>
                <w:szCs w:val="21"/>
              </w:rPr>
              <w:t xml:space="preserve">Pacifico’s ESMS includes provisions to deploy Pacifico’s Gender Policy. It also includes a Gender Action Plan (SAS 9 and its appendixes). As with the ESSMS in general, the gender policy and tools will start implementation with the above mentioned projects. However, due to the recent development of the ESMS, there are currently no staff members appointed to supervise the ESMS, including its gender policy. </w:t>
            </w:r>
          </w:p>
          <w:p w:rsidR="005A63D1" w:rsidRDefault="00DB5899" w14:paraId="0000013C" w14:textId="77777777">
            <w:pPr>
              <w:pStyle w:val="Normal2"/>
              <w:pBdr>
                <w:top w:val="nil"/>
                <w:left w:val="nil"/>
                <w:bottom w:val="nil"/>
                <w:right w:val="nil"/>
                <w:between w:val="nil"/>
              </w:pBdr>
              <w:spacing w:before="40" w:after="200"/>
              <w:ind w:left="48" w:right="46" w:firstLine="0"/>
              <w:jc w:val="both"/>
              <w:rPr>
                <w:sz w:val="21"/>
                <w:szCs w:val="21"/>
              </w:rPr>
            </w:pPr>
            <w:r>
              <w:rPr>
                <w:sz w:val="21"/>
                <w:szCs w:val="21"/>
              </w:rPr>
              <w:t>Regarding stakeholder consultation, Pacifico’s experience lies in the consultation process with the CMAR Secretariat and the representatives of CMAR member authorities in Costa Rica, Panamá, Colombia and Ecuador. Stakeholder engagement has been led by board members in each country.</w:t>
            </w:r>
          </w:p>
          <w:p w:rsidR="005A63D1" w:rsidRDefault="00DB5899" w14:paraId="0000013D" w14:textId="77777777">
            <w:pPr>
              <w:pStyle w:val="Normal2"/>
              <w:pBdr>
                <w:top w:val="nil"/>
                <w:left w:val="nil"/>
                <w:bottom w:val="nil"/>
                <w:right w:val="nil"/>
                <w:between w:val="nil"/>
              </w:pBdr>
              <w:ind w:left="0" w:firstLine="0"/>
              <w:jc w:val="both"/>
              <w:rPr>
                <w:sz w:val="21"/>
                <w:szCs w:val="21"/>
              </w:rPr>
            </w:pPr>
            <w:r>
              <w:rPr>
                <w:sz w:val="21"/>
                <w:szCs w:val="21"/>
              </w:rPr>
              <w:t>Given the lack of experience of Pacifico’s staff in E&amp;S safeguards implementation and the very recent ESMS, hiring safeguards experts/training staff will be essential so that they have the knowledge and capacity needed to identify and manage E&amp;S risks and impacts. This includes stakeholder engagement, including stakeholder mapping, identification of those who are more vulnerable or disadvantaged within an specific context, and the design and implementation of Stakeholder Engagement Plans (SEP).</w:t>
            </w:r>
          </w:p>
          <w:p w:rsidR="005A63D1" w:rsidRDefault="00DB5899" w14:paraId="0000013E" w14:textId="77777777">
            <w:pPr>
              <w:pStyle w:val="Normal2"/>
              <w:pBdr>
                <w:top w:val="nil"/>
                <w:left w:val="nil"/>
                <w:bottom w:val="nil"/>
                <w:right w:val="nil"/>
                <w:between w:val="nil"/>
              </w:pBdr>
              <w:ind w:left="0" w:firstLine="0"/>
              <w:jc w:val="both"/>
              <w:rPr>
                <w:sz w:val="21"/>
                <w:szCs w:val="21"/>
              </w:rPr>
            </w:pPr>
            <w:r>
              <w:rPr>
                <w:sz w:val="21"/>
                <w:szCs w:val="21"/>
              </w:rPr>
              <w:t>The budget contemplated for the project includes a gender focal point. To optimise resources, one option could be that this role can be covered by someone who specialises both in gender and safeguards. If this is not possible, then at least one of the national support consultants hired for the project should be a specialist in safeguards. This has been reflected in the project’s budget.</w:t>
            </w:r>
          </w:p>
          <w:p w:rsidR="005A63D1" w:rsidRDefault="00DB5899" w14:paraId="0000013F" w14:textId="77777777">
            <w:pPr>
              <w:pStyle w:val="Normal2"/>
              <w:pBdr>
                <w:top w:val="nil"/>
                <w:left w:val="nil"/>
                <w:bottom w:val="nil"/>
                <w:right w:val="nil"/>
                <w:between w:val="nil"/>
              </w:pBdr>
              <w:ind w:left="0" w:firstLine="0"/>
              <w:jc w:val="both"/>
              <w:rPr>
                <w:sz w:val="21"/>
                <w:szCs w:val="21"/>
              </w:rPr>
            </w:pPr>
            <w:r>
              <w:rPr>
                <w:sz w:val="21"/>
                <w:szCs w:val="21"/>
              </w:rPr>
              <w:t>No additional resources from Pacifico are expected to be needed as the project’s budget should cover them.</w:t>
            </w:r>
          </w:p>
          <w:p w:rsidR="005A63D1" w:rsidRDefault="00DB5899" w14:paraId="00000140" w14:textId="77777777">
            <w:pPr>
              <w:pStyle w:val="Normal2"/>
              <w:pBdr>
                <w:top w:val="nil"/>
                <w:left w:val="nil"/>
                <w:bottom w:val="nil"/>
                <w:right w:val="nil"/>
                <w:between w:val="nil"/>
              </w:pBdr>
              <w:ind w:left="0" w:firstLine="0"/>
              <w:jc w:val="both"/>
              <w:rPr>
                <w:sz w:val="21"/>
                <w:szCs w:val="21"/>
              </w:rPr>
            </w:pPr>
            <w:r>
              <w:rPr>
                <w:sz w:val="21"/>
                <w:szCs w:val="21"/>
              </w:rPr>
              <w:t>Pacifico needs to ensure that there is enough staff to apply the ESMS by the time of the implementation of the CMAR project, and that they are trained and/or have the capacity to assess E&amp;S risks and impacts and implement mitigation measures. Since activities will depend on the context and capacities of each country, activities might vary and therefore good communication and organisation between countries must be a priority. Moreover, adequate coordination needs to be prioritised to ensure that activities h</w:t>
            </w:r>
            <w:r>
              <w:rPr>
                <w:sz w:val="21"/>
                <w:szCs w:val="21"/>
              </w:rPr>
              <w:t>appening both at the national and regional levels are harmonised and their implementation is successful.</w:t>
            </w:r>
          </w:p>
          <w:p w:rsidR="005A63D1" w:rsidRDefault="005A63D1" w14:paraId="00000141" w14:textId="77777777">
            <w:pPr>
              <w:pStyle w:val="Normal2"/>
              <w:pBdr>
                <w:top w:val="nil"/>
                <w:left w:val="nil"/>
                <w:bottom w:val="nil"/>
                <w:right w:val="nil"/>
                <w:between w:val="nil"/>
              </w:pBdr>
              <w:spacing w:after="0"/>
              <w:ind w:left="0" w:firstLine="0"/>
              <w:rPr>
                <w:i/>
                <w:color w:val="1C4587"/>
                <w:sz w:val="20"/>
                <w:szCs w:val="20"/>
              </w:rPr>
            </w:pPr>
          </w:p>
        </w:tc>
      </w:tr>
      <w:tr w:rsidR="005A63D1" w14:paraId="4B792FE4" w14:textId="77777777">
        <w:trPr>
          <w:trHeight w:val="240"/>
        </w:trPr>
        <w:tc>
          <w:tcPr>
            <w:tcW w:w="10185" w:type="dxa"/>
          </w:tcPr>
          <w:p w:rsidR="005A63D1" w:rsidRDefault="00DB5899" w14:paraId="00000142" w14:textId="77777777">
            <w:pPr>
              <w:pStyle w:val="Normal2"/>
              <w:pBdr>
                <w:top w:val="nil"/>
                <w:left w:val="nil"/>
                <w:bottom w:val="nil"/>
                <w:right w:val="nil"/>
                <w:between w:val="nil"/>
              </w:pBdr>
              <w:spacing w:after="0" w:line="276" w:lineRule="auto"/>
              <w:ind w:left="60" w:firstLine="0"/>
              <w:rPr>
                <w:rFonts w:cs="Calibri"/>
                <w:b/>
                <w:sz w:val="20"/>
                <w:szCs w:val="20"/>
              </w:rPr>
            </w:pPr>
            <w:r>
              <w:rPr>
                <w:rFonts w:cs="Calibri"/>
                <w:b/>
                <w:sz w:val="20"/>
                <w:szCs w:val="20"/>
              </w:rPr>
              <w:t>Additional Information</w:t>
            </w:r>
          </w:p>
          <w:p w:rsidR="005A63D1" w:rsidRDefault="00DB5899" w14:paraId="00000143" w14:textId="77777777">
            <w:pPr>
              <w:pStyle w:val="Normal2"/>
              <w:numPr>
                <w:ilvl w:val="0"/>
                <w:numId w:val="3"/>
              </w:numPr>
              <w:pBdr>
                <w:top w:val="nil"/>
                <w:left w:val="nil"/>
                <w:bottom w:val="nil"/>
                <w:right w:val="nil"/>
                <w:between w:val="nil"/>
              </w:pBdr>
              <w:spacing w:after="0"/>
              <w:ind w:left="566"/>
              <w:rPr>
                <w:rFonts w:cs="Calibri"/>
                <w:i/>
                <w:color w:val="1C4587"/>
                <w:sz w:val="20"/>
                <w:szCs w:val="20"/>
              </w:rPr>
            </w:pPr>
            <w:r>
              <w:rPr>
                <w:i/>
                <w:color w:val="1C4587"/>
                <w:sz w:val="20"/>
                <w:szCs w:val="20"/>
              </w:rPr>
              <w:t>Describe any risks or factors that may affect or contribute to the project implementing safeguard measures/plans.</w:t>
            </w:r>
          </w:p>
          <w:p w:rsidR="005A63D1" w:rsidRDefault="005A63D1" w14:paraId="00000144" w14:textId="77777777">
            <w:pPr>
              <w:pStyle w:val="Normal2"/>
              <w:pBdr>
                <w:top w:val="nil"/>
                <w:left w:val="nil"/>
                <w:bottom w:val="nil"/>
                <w:right w:val="nil"/>
                <w:between w:val="nil"/>
              </w:pBdr>
              <w:spacing w:after="0"/>
              <w:ind w:left="0" w:firstLine="0"/>
              <w:rPr>
                <w:i/>
                <w:color w:val="1C4587"/>
                <w:sz w:val="20"/>
                <w:szCs w:val="20"/>
              </w:rPr>
            </w:pPr>
          </w:p>
          <w:p w:rsidR="005A63D1" w:rsidRDefault="00DB5899" w14:paraId="00000145" w14:textId="77777777">
            <w:pPr>
              <w:pStyle w:val="Normal2"/>
              <w:pBdr>
                <w:top w:val="nil"/>
                <w:left w:val="nil"/>
                <w:bottom w:val="nil"/>
                <w:right w:val="nil"/>
                <w:between w:val="nil"/>
              </w:pBdr>
              <w:spacing w:after="0"/>
              <w:ind w:left="0" w:firstLine="0"/>
              <w:jc w:val="both"/>
              <w:rPr>
                <w:sz w:val="20"/>
                <w:szCs w:val="20"/>
              </w:rPr>
            </w:pPr>
            <w:r>
              <w:rPr>
                <w:sz w:val="21"/>
                <w:szCs w:val="21"/>
              </w:rPr>
              <w:t xml:space="preserve">Risks or factors include disinterest or opposition of rights holders/stakeholders to participate in engagement as part of the project or lack of institutional capacity to implement the mitigation measures. Insufficient legal and institutional /capacity frameworks to support transboundary coordination to protect the central ETP is considered a risk. Moreover, the extent to which the four countries can coordinate in the implementation of activities can also present its own challenges. It is necessary to know </w:t>
            </w:r>
            <w:r>
              <w:rPr>
                <w:sz w:val="21"/>
                <w:szCs w:val="21"/>
              </w:rPr>
              <w:t>if each country will be responsible for the implementation of different activities, if the activities will partly overlap, or if all activities will be jointly implemented, and what capacities will be in place to ensure a successful implementation. Conflicts of interest between countries and how this could affect the project should also be taken into account.</w:t>
            </w:r>
          </w:p>
        </w:tc>
      </w:tr>
    </w:tbl>
    <w:p w:rsidR="005A63D1" w:rsidRDefault="00DB5899" w14:paraId="00000146" w14:textId="77777777">
      <w:pPr>
        <w:pStyle w:val="Normal2"/>
        <w:spacing w:after="0"/>
        <w:ind w:left="0" w:firstLine="0"/>
        <w:rPr>
          <w:sz w:val="2"/>
          <w:szCs w:val="2"/>
        </w:rPr>
      </w:pPr>
      <w:r>
        <w:br w:type="page"/>
      </w:r>
    </w:p>
    <w:p w:rsidR="005A63D1" w:rsidRDefault="005A63D1" w14:paraId="00000147" w14:textId="77777777">
      <w:pPr>
        <w:pStyle w:val="Normal2"/>
        <w:spacing w:after="0"/>
        <w:ind w:left="0" w:firstLine="0"/>
        <w:rPr>
          <w:sz w:val="2"/>
          <w:szCs w:val="2"/>
        </w:rPr>
      </w:pPr>
    </w:p>
    <w:tbl>
      <w:tblPr>
        <w:tblStyle w:val="afff1"/>
        <w:tblpPr w:leftFromText="180" w:rightFromText="180" w:vertAnchor="text" w:tblpY="10"/>
        <w:tblW w:w="9355" w:type="dxa"/>
        <w:tblInd w:w="0"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Layout w:type="fixed"/>
        <w:tblLook w:val="0000" w:firstRow="0" w:lastRow="0" w:firstColumn="0" w:lastColumn="0" w:noHBand="0" w:noVBand="0"/>
      </w:tblPr>
      <w:tblGrid>
        <w:gridCol w:w="9355"/>
      </w:tblGrid>
      <w:tr w:rsidR="005A63D1" w14:paraId="41D5DB17" w14:textId="77777777">
        <w:trPr>
          <w:trHeight w:val="199"/>
        </w:trPr>
        <w:tc>
          <w:tcPr>
            <w:tcW w:w="9355" w:type="dxa"/>
            <w:shd w:val="clear" w:color="auto" w:fill="767171"/>
          </w:tcPr>
          <w:p w:rsidR="005A63D1" w:rsidRDefault="00DB5899" w14:paraId="00000148" w14:textId="77777777">
            <w:pPr>
              <w:pStyle w:val="Normal2"/>
              <w:spacing w:after="0"/>
              <w:ind w:left="90" w:firstLine="0"/>
              <w:jc w:val="center"/>
              <w:rPr>
                <w:rFonts w:cs="Calibri"/>
                <w:color w:val="FFFFFF"/>
                <w:sz w:val="24"/>
                <w:szCs w:val="24"/>
              </w:rPr>
            </w:pPr>
            <w:r>
              <w:rPr>
                <w:rFonts w:cs="Calibri"/>
                <w:b/>
                <w:color w:val="FFFFFF"/>
                <w:sz w:val="24"/>
                <w:szCs w:val="24"/>
              </w:rPr>
              <w:t xml:space="preserve">III. </w:t>
            </w:r>
            <w:r>
              <w:t xml:space="preserve"> </w:t>
            </w:r>
            <w:r>
              <w:rPr>
                <w:rFonts w:cs="Calibri"/>
                <w:b/>
                <w:color w:val="FFFFFF"/>
                <w:sz w:val="24"/>
                <w:szCs w:val="24"/>
              </w:rPr>
              <w:t>ESMF EXCLUSIONS</w:t>
            </w:r>
          </w:p>
        </w:tc>
      </w:tr>
      <w:tr w:rsidR="005A63D1" w14:paraId="4C6580EF" w14:textId="77777777">
        <w:trPr>
          <w:trHeight w:val="20"/>
        </w:trPr>
        <w:tc>
          <w:tcPr>
            <w:tcW w:w="9355" w:type="dxa"/>
          </w:tcPr>
          <w:p w:rsidR="005A63D1" w:rsidRDefault="00DB5899" w14:paraId="00000149" w14:textId="77777777">
            <w:pPr>
              <w:pStyle w:val="Normal2"/>
              <w:spacing w:after="0"/>
              <w:ind w:left="0" w:firstLine="0"/>
              <w:rPr>
                <w:rFonts w:cs="Calibri"/>
                <w:sz w:val="20"/>
                <w:szCs w:val="20"/>
              </w:rPr>
            </w:pPr>
            <w:r>
              <w:rPr>
                <w:rFonts w:cs="Calibri"/>
                <w:sz w:val="20"/>
                <w:szCs w:val="20"/>
              </w:rPr>
              <w:t xml:space="preserve">This section will help the CI-GEF/GCF Agencies to determine whether they can support a project. Please provide accurate answers and details including supporting documents, where requested. </w:t>
            </w:r>
            <w:r>
              <w:t>I</w:t>
            </w:r>
            <w:r>
              <w:rPr>
                <w:rFonts w:cs="Calibri"/>
                <w:sz w:val="20"/>
                <w:szCs w:val="20"/>
              </w:rPr>
              <w:t>f you answered “Yes” to any of the questions (i-xiii) then the CI-GEF/GCF Agencies cannot support the project.</w:t>
            </w:r>
          </w:p>
        </w:tc>
      </w:tr>
    </w:tbl>
    <w:p w:rsidR="005A63D1" w:rsidRDefault="005A63D1" w14:paraId="0000014A" w14:textId="77777777">
      <w:pPr>
        <w:pStyle w:val="Normal2"/>
        <w:tabs>
          <w:tab w:val="left" w:pos="2250"/>
        </w:tabs>
        <w:spacing w:after="0" w:line="276" w:lineRule="auto"/>
        <w:ind w:left="0" w:firstLine="0"/>
        <w:rPr>
          <w:rFonts w:cs="Calibri"/>
          <w:b/>
        </w:rPr>
      </w:pPr>
    </w:p>
    <w:tbl>
      <w:tblPr>
        <w:tblStyle w:val="afff2"/>
        <w:tblW w:w="9420" w:type="dxa"/>
        <w:jc w:val="center"/>
        <w:tblInd w:w="0"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Layout w:type="fixed"/>
        <w:tblLook w:val="0000" w:firstRow="0" w:lastRow="0" w:firstColumn="0" w:lastColumn="0" w:noHBand="0" w:noVBand="0"/>
      </w:tblPr>
      <w:tblGrid>
        <w:gridCol w:w="8010"/>
        <w:gridCol w:w="720"/>
        <w:gridCol w:w="690"/>
      </w:tblGrid>
      <w:tr w:rsidR="005A63D1" w14:paraId="295B7E29" w14:textId="77777777">
        <w:trPr>
          <w:trHeight w:val="269"/>
          <w:jc w:val="center"/>
        </w:trPr>
        <w:tc>
          <w:tcPr>
            <w:tcW w:w="8010" w:type="dxa"/>
            <w:shd w:val="clear" w:color="auto" w:fill="D9D9D9"/>
            <w:vAlign w:val="center"/>
          </w:tcPr>
          <w:p w:rsidR="005A63D1" w:rsidRDefault="00DB5899" w14:paraId="0000014B" w14:textId="77777777">
            <w:pPr>
              <w:pStyle w:val="Normal2"/>
              <w:keepNext/>
              <w:tabs>
                <w:tab w:val="left" w:pos="2250"/>
              </w:tabs>
              <w:spacing w:after="0" w:line="276" w:lineRule="auto"/>
              <w:rPr>
                <w:rFonts w:cs="Calibri"/>
                <w:b/>
                <w:sz w:val="20"/>
                <w:szCs w:val="20"/>
              </w:rPr>
            </w:pPr>
            <w:r>
              <w:rPr>
                <w:rFonts w:cs="Calibri"/>
                <w:b/>
                <w:sz w:val="20"/>
                <w:szCs w:val="20"/>
              </w:rPr>
              <w:t xml:space="preserve">Will the project: </w:t>
            </w:r>
          </w:p>
        </w:tc>
        <w:tc>
          <w:tcPr>
            <w:tcW w:w="720" w:type="dxa"/>
            <w:shd w:val="clear" w:color="auto" w:fill="D9D9D9"/>
            <w:vAlign w:val="center"/>
          </w:tcPr>
          <w:p w:rsidR="005A63D1" w:rsidRDefault="00DB5899" w14:paraId="0000014C" w14:textId="77777777">
            <w:pPr>
              <w:pStyle w:val="Normal2"/>
              <w:keepNext/>
              <w:tabs>
                <w:tab w:val="left" w:pos="2250"/>
              </w:tabs>
              <w:spacing w:after="0" w:line="276" w:lineRule="auto"/>
              <w:ind w:left="51" w:firstLine="0"/>
              <w:jc w:val="center"/>
              <w:rPr>
                <w:rFonts w:cs="Calibri"/>
                <w:b/>
                <w:sz w:val="20"/>
                <w:szCs w:val="20"/>
              </w:rPr>
            </w:pPr>
            <w:r>
              <w:rPr>
                <w:rFonts w:cs="Calibri"/>
                <w:b/>
                <w:sz w:val="20"/>
                <w:szCs w:val="20"/>
              </w:rPr>
              <w:t>Yes</w:t>
            </w:r>
          </w:p>
        </w:tc>
        <w:tc>
          <w:tcPr>
            <w:tcW w:w="690" w:type="dxa"/>
            <w:shd w:val="clear" w:color="auto" w:fill="D9D9D9"/>
            <w:vAlign w:val="center"/>
          </w:tcPr>
          <w:p w:rsidR="005A63D1" w:rsidRDefault="00DB5899" w14:paraId="0000014D" w14:textId="77777777">
            <w:pPr>
              <w:pStyle w:val="Normal2"/>
              <w:keepNext/>
              <w:tabs>
                <w:tab w:val="left" w:pos="2250"/>
              </w:tabs>
              <w:spacing w:after="0" w:line="276" w:lineRule="auto"/>
              <w:ind w:left="61" w:firstLine="0"/>
              <w:jc w:val="center"/>
              <w:rPr>
                <w:rFonts w:cs="Calibri"/>
                <w:b/>
                <w:sz w:val="20"/>
                <w:szCs w:val="20"/>
              </w:rPr>
            </w:pPr>
            <w:r>
              <w:rPr>
                <w:rFonts w:cs="Calibri"/>
                <w:b/>
                <w:sz w:val="20"/>
                <w:szCs w:val="20"/>
              </w:rPr>
              <w:t>No</w:t>
            </w:r>
          </w:p>
        </w:tc>
      </w:tr>
      <w:tr w:rsidR="005A63D1" w14:paraId="33D7A637" w14:textId="77777777">
        <w:trPr>
          <w:jc w:val="center"/>
        </w:trPr>
        <w:tc>
          <w:tcPr>
            <w:tcW w:w="8010" w:type="dxa"/>
          </w:tcPr>
          <w:p w:rsidR="005A63D1" w:rsidRDefault="00DB5899" w14:paraId="0000014E" w14:textId="77777777">
            <w:pPr>
              <w:pStyle w:val="Normal2"/>
              <w:numPr>
                <w:ilvl w:val="0"/>
                <w:numId w:val="7"/>
              </w:numPr>
              <w:pBdr>
                <w:top w:val="nil"/>
                <w:left w:val="nil"/>
                <w:bottom w:val="nil"/>
                <w:right w:val="nil"/>
                <w:between w:val="nil"/>
              </w:pBdr>
              <w:tabs>
                <w:tab w:val="left" w:pos="514"/>
              </w:tabs>
              <w:spacing w:after="0"/>
              <w:ind w:left="514" w:hanging="180"/>
              <w:rPr>
                <w:rFonts w:cs="Calibri"/>
                <w:sz w:val="20"/>
                <w:szCs w:val="20"/>
              </w:rPr>
            </w:pPr>
            <w:r>
              <w:rPr>
                <w:rFonts w:cs="Calibri"/>
                <w:sz w:val="20"/>
                <w:szCs w:val="20"/>
              </w:rPr>
              <w:t>Contravene major international and regional conventions on environmental issues?</w:t>
            </w:r>
          </w:p>
        </w:tc>
        <w:tc>
          <w:tcPr>
            <w:tcW w:w="720" w:type="dxa"/>
            <w:vAlign w:val="center"/>
          </w:tcPr>
          <w:p w:rsidR="005A63D1" w:rsidRDefault="00DB5899" w14:paraId="0000014F" w14:textId="77777777">
            <w:pPr>
              <w:pStyle w:val="Normal2"/>
              <w:keepNext/>
              <w:tabs>
                <w:tab w:val="left" w:pos="2250"/>
              </w:tabs>
              <w:spacing w:after="0" w:line="276" w:lineRule="auto"/>
              <w:ind w:left="4" w:firstLine="0"/>
              <w:jc w:val="center"/>
              <w:rPr>
                <w:rFonts w:cs="Calibri"/>
                <w:sz w:val="20"/>
                <w:szCs w:val="20"/>
              </w:rPr>
            </w:pPr>
            <w:r>
              <w:rPr>
                <w:rFonts w:cs="Calibri"/>
                <w:sz w:val="20"/>
                <w:szCs w:val="20"/>
              </w:rPr>
              <w:t>☐</w:t>
            </w:r>
          </w:p>
        </w:tc>
        <w:tc>
          <w:tcPr>
            <w:tcW w:w="690" w:type="dxa"/>
            <w:vAlign w:val="center"/>
          </w:tcPr>
          <w:p w:rsidR="005A63D1" w:rsidRDefault="00DB5899" w14:paraId="00000150" w14:textId="77777777">
            <w:pPr>
              <w:pStyle w:val="Normal2"/>
              <w:spacing w:after="0"/>
              <w:jc w:val="center"/>
              <w:rPr>
                <w:rFonts w:cs="Calibri"/>
                <w:sz w:val="20"/>
                <w:szCs w:val="20"/>
              </w:rPr>
            </w:pPr>
            <w:r>
              <w:t>☒</w:t>
            </w:r>
          </w:p>
        </w:tc>
      </w:tr>
      <w:tr w:rsidR="005A63D1" w14:paraId="2222E7C6" w14:textId="77777777">
        <w:trPr>
          <w:trHeight w:val="820"/>
          <w:jc w:val="center"/>
        </w:trPr>
        <w:tc>
          <w:tcPr>
            <w:tcW w:w="8010" w:type="dxa"/>
          </w:tcPr>
          <w:p w:rsidR="005A63D1" w:rsidRDefault="00DB5899" w14:paraId="00000151" w14:textId="77777777">
            <w:pPr>
              <w:pStyle w:val="Normal2"/>
              <w:numPr>
                <w:ilvl w:val="0"/>
                <w:numId w:val="7"/>
              </w:numPr>
              <w:pBdr>
                <w:top w:val="nil"/>
                <w:left w:val="nil"/>
                <w:bottom w:val="nil"/>
                <w:right w:val="nil"/>
                <w:between w:val="nil"/>
              </w:pBdr>
              <w:tabs>
                <w:tab w:val="left" w:pos="514"/>
              </w:tabs>
              <w:spacing w:after="0"/>
              <w:ind w:left="514" w:hanging="180"/>
              <w:rPr>
                <w:rFonts w:cs="Calibri"/>
                <w:sz w:val="20"/>
                <w:szCs w:val="20"/>
              </w:rPr>
            </w:pPr>
            <w:r>
              <w:rPr>
                <w:rFonts w:cs="Calibri"/>
                <w:sz w:val="20"/>
                <w:szCs w:val="20"/>
              </w:rPr>
              <w:t>Propose to create or facilitate significant degradation and/or conversion of natural habitats of any type (forests, wetlands, grasslands, coastal/marine ecosystems, etc.) including those that are legally protected, officially proposed for protection, identified by authoritative sources for their high conservation value, recognized as protected by traditional local communities, or have significant negative socioeconomic and cultural impacts that cannot be cost-effectively avoided, minimized, mitigated and/or</w:t>
            </w:r>
            <w:r>
              <w:rPr>
                <w:rFonts w:cs="Calibri"/>
                <w:sz w:val="20"/>
                <w:szCs w:val="20"/>
              </w:rPr>
              <w:t xml:space="preserve"> offset?</w:t>
            </w:r>
          </w:p>
        </w:tc>
        <w:tc>
          <w:tcPr>
            <w:tcW w:w="720" w:type="dxa"/>
            <w:vAlign w:val="center"/>
          </w:tcPr>
          <w:p w:rsidR="005A63D1" w:rsidRDefault="00DB5899" w14:paraId="00000152" w14:textId="77777777">
            <w:pPr>
              <w:pStyle w:val="Normal2"/>
              <w:keepNext/>
              <w:tabs>
                <w:tab w:val="left" w:pos="2250"/>
              </w:tabs>
              <w:spacing w:after="0" w:line="276" w:lineRule="auto"/>
              <w:ind w:left="4" w:firstLine="0"/>
              <w:jc w:val="center"/>
              <w:rPr>
                <w:rFonts w:cs="Calibri"/>
                <w:sz w:val="20"/>
                <w:szCs w:val="20"/>
              </w:rPr>
            </w:pPr>
            <w:r>
              <w:rPr>
                <w:rFonts w:cs="Calibri"/>
                <w:sz w:val="20"/>
                <w:szCs w:val="20"/>
              </w:rPr>
              <w:t>☐</w:t>
            </w:r>
          </w:p>
        </w:tc>
        <w:tc>
          <w:tcPr>
            <w:tcW w:w="690" w:type="dxa"/>
            <w:vAlign w:val="center"/>
          </w:tcPr>
          <w:p w:rsidR="005A63D1" w:rsidRDefault="00DB5899" w14:paraId="00000153" w14:textId="77777777">
            <w:pPr>
              <w:pStyle w:val="Normal2"/>
              <w:spacing w:after="0"/>
              <w:jc w:val="center"/>
              <w:rPr>
                <w:rFonts w:cs="Calibri"/>
                <w:sz w:val="20"/>
                <w:szCs w:val="20"/>
              </w:rPr>
            </w:pPr>
            <w:r>
              <w:t>☒</w:t>
            </w:r>
          </w:p>
        </w:tc>
      </w:tr>
      <w:tr w:rsidR="005A63D1" w14:paraId="40A4D02E" w14:textId="77777777">
        <w:trPr>
          <w:jc w:val="center"/>
        </w:trPr>
        <w:tc>
          <w:tcPr>
            <w:tcW w:w="8010" w:type="dxa"/>
          </w:tcPr>
          <w:p w:rsidR="005A63D1" w:rsidRDefault="00DB5899" w14:paraId="00000154" w14:textId="77777777">
            <w:pPr>
              <w:pStyle w:val="Normal2"/>
              <w:numPr>
                <w:ilvl w:val="0"/>
                <w:numId w:val="7"/>
              </w:numPr>
              <w:pBdr>
                <w:top w:val="nil"/>
                <w:left w:val="nil"/>
                <w:bottom w:val="nil"/>
                <w:right w:val="nil"/>
                <w:between w:val="nil"/>
              </w:pBdr>
              <w:tabs>
                <w:tab w:val="left" w:pos="514"/>
              </w:tabs>
              <w:spacing w:after="0"/>
              <w:ind w:left="514" w:hanging="180"/>
              <w:rPr>
                <w:rFonts w:cs="Calibri"/>
                <w:sz w:val="20"/>
                <w:szCs w:val="20"/>
              </w:rPr>
            </w:pPr>
            <w:r>
              <w:rPr>
                <w:rFonts w:cs="Calibri"/>
                <w:sz w:val="20"/>
                <w:szCs w:val="20"/>
              </w:rPr>
              <w:t>Involve adverse impacts on critical natural habitats, including forests that are critical natural habitats, including from the procurement of natural resource commodities, except for adverse impacts on a limited scale that result from conservation actions that achieve a net gain of the biodiversity values associated with the critical natural habitat?</w:t>
            </w:r>
          </w:p>
        </w:tc>
        <w:tc>
          <w:tcPr>
            <w:tcW w:w="720" w:type="dxa"/>
            <w:vAlign w:val="center"/>
          </w:tcPr>
          <w:p w:rsidR="005A63D1" w:rsidRDefault="00DB5899" w14:paraId="00000155" w14:textId="77777777">
            <w:pPr>
              <w:pStyle w:val="Normal2"/>
              <w:keepNext/>
              <w:tabs>
                <w:tab w:val="left" w:pos="2250"/>
              </w:tabs>
              <w:spacing w:after="0" w:line="276" w:lineRule="auto"/>
              <w:ind w:left="4" w:firstLine="0"/>
              <w:jc w:val="center"/>
              <w:rPr>
                <w:rFonts w:cs="Calibri"/>
                <w:sz w:val="20"/>
                <w:szCs w:val="20"/>
              </w:rPr>
            </w:pPr>
            <w:r>
              <w:rPr>
                <w:rFonts w:cs="Calibri"/>
                <w:sz w:val="20"/>
                <w:szCs w:val="20"/>
              </w:rPr>
              <w:t>☐</w:t>
            </w:r>
          </w:p>
        </w:tc>
        <w:tc>
          <w:tcPr>
            <w:tcW w:w="690" w:type="dxa"/>
            <w:vAlign w:val="center"/>
          </w:tcPr>
          <w:p w:rsidR="005A63D1" w:rsidRDefault="00DB5899" w14:paraId="00000156" w14:textId="77777777">
            <w:pPr>
              <w:pStyle w:val="Normal2"/>
              <w:spacing w:after="0"/>
              <w:jc w:val="center"/>
              <w:rPr>
                <w:rFonts w:cs="Calibri"/>
                <w:sz w:val="20"/>
                <w:szCs w:val="20"/>
              </w:rPr>
            </w:pPr>
            <w:r>
              <w:t>☒</w:t>
            </w:r>
          </w:p>
        </w:tc>
      </w:tr>
      <w:tr w:rsidR="005A63D1" w14:paraId="4CB605C3" w14:textId="77777777">
        <w:trPr>
          <w:jc w:val="center"/>
        </w:trPr>
        <w:tc>
          <w:tcPr>
            <w:tcW w:w="8010" w:type="dxa"/>
          </w:tcPr>
          <w:p w:rsidR="005A63D1" w:rsidRDefault="00DB5899" w14:paraId="00000157" w14:textId="77777777">
            <w:pPr>
              <w:pStyle w:val="Normal2"/>
              <w:numPr>
                <w:ilvl w:val="0"/>
                <w:numId w:val="7"/>
              </w:numPr>
              <w:pBdr>
                <w:top w:val="nil"/>
                <w:left w:val="nil"/>
                <w:bottom w:val="nil"/>
                <w:right w:val="nil"/>
                <w:between w:val="nil"/>
              </w:pBdr>
              <w:tabs>
                <w:tab w:val="left" w:pos="514"/>
              </w:tabs>
              <w:spacing w:after="0"/>
              <w:ind w:left="514" w:hanging="180"/>
              <w:rPr>
                <w:rFonts w:cs="Calibri"/>
                <w:sz w:val="20"/>
                <w:szCs w:val="20"/>
              </w:rPr>
            </w:pPr>
            <w:r>
              <w:rPr>
                <w:rFonts w:cs="Calibri"/>
                <w:sz w:val="20"/>
                <w:szCs w:val="20"/>
              </w:rPr>
              <w:t xml:space="preserve">Propose to carry out </w:t>
            </w:r>
            <w:r>
              <w:rPr>
                <w:rFonts w:cs="Calibri"/>
                <w:i/>
                <w:sz w:val="20"/>
                <w:szCs w:val="20"/>
              </w:rPr>
              <w:t>unsustainable</w:t>
            </w:r>
            <w:r>
              <w:rPr>
                <w:rFonts w:cs="Calibri"/>
                <w:sz w:val="20"/>
                <w:szCs w:val="20"/>
              </w:rPr>
              <w:t xml:space="preserve"> harvesting of natural resources -animals, plants, timber and/or non-timber forest products (NTFPs)- or the establishment of forest plantations in </w:t>
            </w:r>
            <w:r>
              <w:rPr>
                <w:rFonts w:cs="Calibri"/>
                <w:i/>
                <w:sz w:val="20"/>
                <w:szCs w:val="20"/>
              </w:rPr>
              <w:t>critical natural habitats?</w:t>
            </w:r>
            <w:r>
              <w:rPr>
                <w:rFonts w:cs="Calibri"/>
                <w:sz w:val="20"/>
                <w:szCs w:val="20"/>
              </w:rPr>
              <w:t xml:space="preserve"> </w:t>
            </w:r>
          </w:p>
        </w:tc>
        <w:tc>
          <w:tcPr>
            <w:tcW w:w="720" w:type="dxa"/>
            <w:vAlign w:val="center"/>
          </w:tcPr>
          <w:p w:rsidR="005A63D1" w:rsidRDefault="00DB5899" w14:paraId="00000158" w14:textId="77777777">
            <w:pPr>
              <w:pStyle w:val="Normal2"/>
              <w:keepNext/>
              <w:tabs>
                <w:tab w:val="left" w:pos="2250"/>
              </w:tabs>
              <w:spacing w:after="0" w:line="276" w:lineRule="auto"/>
              <w:ind w:left="4" w:firstLine="0"/>
              <w:jc w:val="center"/>
              <w:rPr>
                <w:rFonts w:cs="Calibri"/>
                <w:sz w:val="20"/>
                <w:szCs w:val="20"/>
              </w:rPr>
            </w:pPr>
            <w:r>
              <w:rPr>
                <w:rFonts w:cs="Calibri"/>
                <w:sz w:val="20"/>
                <w:szCs w:val="20"/>
              </w:rPr>
              <w:t>☐</w:t>
            </w:r>
          </w:p>
        </w:tc>
        <w:tc>
          <w:tcPr>
            <w:tcW w:w="690" w:type="dxa"/>
            <w:vAlign w:val="center"/>
          </w:tcPr>
          <w:p w:rsidR="005A63D1" w:rsidRDefault="00DB5899" w14:paraId="00000159" w14:textId="77777777">
            <w:pPr>
              <w:pStyle w:val="Normal2"/>
              <w:spacing w:after="0"/>
              <w:jc w:val="center"/>
              <w:rPr>
                <w:rFonts w:cs="Calibri"/>
                <w:sz w:val="20"/>
                <w:szCs w:val="20"/>
              </w:rPr>
            </w:pPr>
            <w:r>
              <w:t>☒</w:t>
            </w:r>
          </w:p>
        </w:tc>
      </w:tr>
      <w:tr w:rsidR="005A63D1" w14:paraId="46D64563" w14:textId="77777777">
        <w:trPr>
          <w:jc w:val="center"/>
        </w:trPr>
        <w:tc>
          <w:tcPr>
            <w:tcW w:w="8010" w:type="dxa"/>
          </w:tcPr>
          <w:p w:rsidR="005A63D1" w:rsidRDefault="00DB5899" w14:paraId="0000015A" w14:textId="77777777">
            <w:pPr>
              <w:pStyle w:val="Normal2"/>
              <w:numPr>
                <w:ilvl w:val="0"/>
                <w:numId w:val="7"/>
              </w:numPr>
              <w:pBdr>
                <w:top w:val="nil"/>
                <w:left w:val="nil"/>
                <w:bottom w:val="nil"/>
                <w:right w:val="nil"/>
                <w:between w:val="nil"/>
              </w:pBdr>
              <w:tabs>
                <w:tab w:val="left" w:pos="514"/>
              </w:tabs>
              <w:spacing w:after="0"/>
              <w:ind w:left="514" w:hanging="180"/>
              <w:rPr>
                <w:rFonts w:cs="Calibri"/>
                <w:sz w:val="20"/>
                <w:szCs w:val="20"/>
              </w:rPr>
            </w:pPr>
            <w:r>
              <w:rPr>
                <w:rFonts w:cs="Calibri"/>
                <w:sz w:val="20"/>
                <w:szCs w:val="20"/>
              </w:rPr>
              <w:t>Propose the introduction of alien species that can potentially become invasive and harmful to the environment, unless there is a mitigation plan to avoid this from happening?</w:t>
            </w:r>
          </w:p>
        </w:tc>
        <w:tc>
          <w:tcPr>
            <w:tcW w:w="720" w:type="dxa"/>
            <w:vAlign w:val="center"/>
          </w:tcPr>
          <w:p w:rsidR="005A63D1" w:rsidRDefault="00DB5899" w14:paraId="0000015B" w14:textId="77777777">
            <w:pPr>
              <w:pStyle w:val="Normal2"/>
              <w:keepNext/>
              <w:tabs>
                <w:tab w:val="left" w:pos="2250"/>
              </w:tabs>
              <w:spacing w:after="0" w:line="276" w:lineRule="auto"/>
              <w:ind w:left="4" w:firstLine="0"/>
              <w:jc w:val="center"/>
              <w:rPr>
                <w:rFonts w:cs="Calibri"/>
                <w:sz w:val="20"/>
                <w:szCs w:val="20"/>
              </w:rPr>
            </w:pPr>
            <w:r>
              <w:rPr>
                <w:rFonts w:cs="Calibri"/>
                <w:sz w:val="20"/>
                <w:szCs w:val="20"/>
              </w:rPr>
              <w:t>☐</w:t>
            </w:r>
          </w:p>
        </w:tc>
        <w:tc>
          <w:tcPr>
            <w:tcW w:w="690" w:type="dxa"/>
            <w:vAlign w:val="center"/>
          </w:tcPr>
          <w:p w:rsidR="005A63D1" w:rsidRDefault="00DB5899" w14:paraId="0000015C" w14:textId="77777777">
            <w:pPr>
              <w:pStyle w:val="Normal2"/>
              <w:spacing w:after="0"/>
              <w:jc w:val="center"/>
              <w:rPr>
                <w:rFonts w:cs="Calibri"/>
                <w:sz w:val="20"/>
                <w:szCs w:val="20"/>
              </w:rPr>
            </w:pPr>
            <w:r>
              <w:t>☒</w:t>
            </w:r>
          </w:p>
        </w:tc>
      </w:tr>
      <w:tr w:rsidR="005A63D1" w14:paraId="013121A7" w14:textId="77777777">
        <w:trPr>
          <w:jc w:val="center"/>
        </w:trPr>
        <w:tc>
          <w:tcPr>
            <w:tcW w:w="8010" w:type="dxa"/>
          </w:tcPr>
          <w:p w:rsidR="005A63D1" w:rsidRDefault="00DB5899" w14:paraId="0000015D" w14:textId="77777777">
            <w:pPr>
              <w:pStyle w:val="Normal2"/>
              <w:numPr>
                <w:ilvl w:val="0"/>
                <w:numId w:val="7"/>
              </w:numPr>
              <w:pBdr>
                <w:top w:val="nil"/>
                <w:left w:val="nil"/>
                <w:bottom w:val="nil"/>
                <w:right w:val="nil"/>
                <w:between w:val="nil"/>
              </w:pBdr>
              <w:tabs>
                <w:tab w:val="left" w:pos="514"/>
              </w:tabs>
              <w:spacing w:after="0"/>
              <w:ind w:left="514" w:hanging="180"/>
              <w:rPr>
                <w:rFonts w:cs="Calibri"/>
                <w:sz w:val="20"/>
                <w:szCs w:val="20"/>
              </w:rPr>
            </w:pPr>
            <w:r>
              <w:rPr>
                <w:rFonts w:cs="Calibri"/>
                <w:sz w:val="20"/>
                <w:szCs w:val="20"/>
              </w:rPr>
              <w:t xml:space="preserve">Involve </w:t>
            </w:r>
            <w:r>
              <w:rPr>
                <w:rFonts w:cs="Calibri"/>
                <w:i/>
                <w:sz w:val="20"/>
                <w:szCs w:val="20"/>
              </w:rPr>
              <w:t>involuntary resettlement, land acquisition, and/or the taking of shelter and other assets</w:t>
            </w:r>
            <w:r>
              <w:rPr>
                <w:rFonts w:cs="Calibri"/>
                <w:sz w:val="20"/>
                <w:szCs w:val="20"/>
              </w:rPr>
              <w:t xml:space="preserve"> belonging to local communities, individuals or Indigenous Peoples?</w:t>
            </w:r>
          </w:p>
        </w:tc>
        <w:tc>
          <w:tcPr>
            <w:tcW w:w="720" w:type="dxa"/>
            <w:vAlign w:val="center"/>
          </w:tcPr>
          <w:p w:rsidR="005A63D1" w:rsidRDefault="00DB5899" w14:paraId="0000015E" w14:textId="77777777">
            <w:pPr>
              <w:pStyle w:val="Normal2"/>
              <w:keepNext/>
              <w:tabs>
                <w:tab w:val="left" w:pos="2250"/>
              </w:tabs>
              <w:spacing w:after="0" w:line="276" w:lineRule="auto"/>
              <w:ind w:left="4" w:firstLine="0"/>
              <w:jc w:val="center"/>
              <w:rPr>
                <w:rFonts w:cs="Calibri"/>
                <w:sz w:val="20"/>
                <w:szCs w:val="20"/>
              </w:rPr>
            </w:pPr>
            <w:r>
              <w:rPr>
                <w:rFonts w:cs="Calibri"/>
                <w:sz w:val="20"/>
                <w:szCs w:val="20"/>
              </w:rPr>
              <w:t>☐</w:t>
            </w:r>
          </w:p>
        </w:tc>
        <w:tc>
          <w:tcPr>
            <w:tcW w:w="690" w:type="dxa"/>
            <w:vAlign w:val="center"/>
          </w:tcPr>
          <w:p w:rsidR="005A63D1" w:rsidRDefault="00DB5899" w14:paraId="0000015F" w14:textId="77777777">
            <w:pPr>
              <w:pStyle w:val="Normal2"/>
              <w:spacing w:after="0"/>
              <w:jc w:val="center"/>
              <w:rPr>
                <w:rFonts w:cs="Calibri"/>
                <w:sz w:val="20"/>
                <w:szCs w:val="20"/>
              </w:rPr>
            </w:pPr>
            <w:r>
              <w:t>☒</w:t>
            </w:r>
          </w:p>
        </w:tc>
      </w:tr>
      <w:tr w:rsidR="005A63D1" w14:paraId="798F5379" w14:textId="77777777">
        <w:trPr>
          <w:jc w:val="center"/>
        </w:trPr>
        <w:tc>
          <w:tcPr>
            <w:tcW w:w="8010" w:type="dxa"/>
          </w:tcPr>
          <w:p w:rsidR="005A63D1" w:rsidRDefault="00DB5899" w14:paraId="00000160" w14:textId="77777777">
            <w:pPr>
              <w:pStyle w:val="Normal2"/>
              <w:numPr>
                <w:ilvl w:val="0"/>
                <w:numId w:val="7"/>
              </w:numPr>
              <w:pBdr>
                <w:top w:val="nil"/>
                <w:left w:val="nil"/>
                <w:bottom w:val="nil"/>
                <w:right w:val="nil"/>
                <w:between w:val="nil"/>
              </w:pBdr>
              <w:tabs>
                <w:tab w:val="left" w:pos="514"/>
              </w:tabs>
              <w:spacing w:after="0"/>
              <w:ind w:left="514" w:hanging="180"/>
              <w:rPr>
                <w:rFonts w:cs="Calibri"/>
                <w:sz w:val="20"/>
                <w:szCs w:val="20"/>
              </w:rPr>
            </w:pPr>
            <w:r>
              <w:rPr>
                <w:rFonts w:cs="Calibri"/>
                <w:sz w:val="20"/>
                <w:szCs w:val="20"/>
              </w:rPr>
              <w:t>Contravene major international and regional conventions on human rights, including rights specific to indigenous peoples?</w:t>
            </w:r>
          </w:p>
        </w:tc>
        <w:tc>
          <w:tcPr>
            <w:tcW w:w="720" w:type="dxa"/>
            <w:vAlign w:val="center"/>
          </w:tcPr>
          <w:p w:rsidR="005A63D1" w:rsidRDefault="00DB5899" w14:paraId="00000161" w14:textId="77777777">
            <w:pPr>
              <w:pStyle w:val="Normal2"/>
              <w:keepNext/>
              <w:tabs>
                <w:tab w:val="left" w:pos="2250"/>
              </w:tabs>
              <w:spacing w:after="0" w:line="276" w:lineRule="auto"/>
              <w:ind w:left="4" w:firstLine="0"/>
              <w:jc w:val="center"/>
              <w:rPr>
                <w:rFonts w:cs="Calibri"/>
                <w:sz w:val="20"/>
                <w:szCs w:val="20"/>
              </w:rPr>
            </w:pPr>
            <w:r>
              <w:rPr>
                <w:rFonts w:cs="Calibri"/>
                <w:sz w:val="20"/>
                <w:szCs w:val="20"/>
              </w:rPr>
              <w:t>☐</w:t>
            </w:r>
          </w:p>
        </w:tc>
        <w:tc>
          <w:tcPr>
            <w:tcW w:w="690" w:type="dxa"/>
            <w:vAlign w:val="center"/>
          </w:tcPr>
          <w:p w:rsidR="005A63D1" w:rsidRDefault="00DB5899" w14:paraId="00000162" w14:textId="77777777">
            <w:pPr>
              <w:pStyle w:val="Normal2"/>
              <w:spacing w:after="0"/>
              <w:jc w:val="center"/>
              <w:rPr>
                <w:rFonts w:cs="Calibri"/>
                <w:sz w:val="20"/>
                <w:szCs w:val="20"/>
              </w:rPr>
            </w:pPr>
            <w:r>
              <w:t>☒</w:t>
            </w:r>
          </w:p>
        </w:tc>
      </w:tr>
      <w:tr w:rsidR="005A63D1" w14:paraId="04733ED8" w14:textId="77777777">
        <w:trPr>
          <w:jc w:val="center"/>
        </w:trPr>
        <w:tc>
          <w:tcPr>
            <w:tcW w:w="8010" w:type="dxa"/>
          </w:tcPr>
          <w:p w:rsidR="005A63D1" w:rsidRDefault="00DB5899" w14:paraId="00000163" w14:textId="77777777">
            <w:pPr>
              <w:pStyle w:val="Normal2"/>
              <w:numPr>
                <w:ilvl w:val="0"/>
                <w:numId w:val="7"/>
              </w:numPr>
              <w:pBdr>
                <w:top w:val="nil"/>
                <w:left w:val="nil"/>
                <w:bottom w:val="nil"/>
                <w:right w:val="nil"/>
                <w:between w:val="nil"/>
              </w:pBdr>
              <w:tabs>
                <w:tab w:val="left" w:pos="514"/>
              </w:tabs>
              <w:spacing w:after="0" w:line="276" w:lineRule="auto"/>
              <w:ind w:left="514" w:hanging="180"/>
              <w:rPr>
                <w:rFonts w:cs="Calibri"/>
                <w:sz w:val="20"/>
                <w:szCs w:val="20"/>
              </w:rPr>
            </w:pPr>
            <w:r>
              <w:rPr>
                <w:rFonts w:cs="Calibri"/>
                <w:sz w:val="20"/>
                <w:szCs w:val="20"/>
              </w:rPr>
              <w:t>Propose activities that result in the exploitation of and access to outsiders to the lands and territories of indigenous peoples in voluntary isolation and in initial contact?</w:t>
            </w:r>
          </w:p>
        </w:tc>
        <w:tc>
          <w:tcPr>
            <w:tcW w:w="720" w:type="dxa"/>
            <w:vAlign w:val="center"/>
          </w:tcPr>
          <w:p w:rsidR="005A63D1" w:rsidRDefault="00DB5899" w14:paraId="00000164" w14:textId="77777777">
            <w:pPr>
              <w:pStyle w:val="Normal2"/>
              <w:keepNext/>
              <w:tabs>
                <w:tab w:val="left" w:pos="2250"/>
              </w:tabs>
              <w:spacing w:after="0" w:line="276" w:lineRule="auto"/>
              <w:ind w:left="4" w:firstLine="0"/>
              <w:jc w:val="center"/>
              <w:rPr>
                <w:rFonts w:cs="Calibri"/>
                <w:sz w:val="20"/>
                <w:szCs w:val="20"/>
              </w:rPr>
            </w:pPr>
            <w:r>
              <w:rPr>
                <w:rFonts w:cs="Calibri"/>
                <w:sz w:val="20"/>
                <w:szCs w:val="20"/>
              </w:rPr>
              <w:t>☐</w:t>
            </w:r>
          </w:p>
        </w:tc>
        <w:tc>
          <w:tcPr>
            <w:tcW w:w="690" w:type="dxa"/>
            <w:vAlign w:val="center"/>
          </w:tcPr>
          <w:p w:rsidR="005A63D1" w:rsidRDefault="00DB5899" w14:paraId="00000165" w14:textId="77777777">
            <w:pPr>
              <w:pStyle w:val="Normal2"/>
              <w:spacing w:after="0"/>
              <w:jc w:val="center"/>
              <w:rPr>
                <w:rFonts w:cs="Calibri"/>
                <w:sz w:val="20"/>
                <w:szCs w:val="20"/>
              </w:rPr>
            </w:pPr>
            <w:r>
              <w:t>☒</w:t>
            </w:r>
          </w:p>
        </w:tc>
      </w:tr>
      <w:tr w:rsidR="005A63D1" w14:paraId="4DEA8443" w14:textId="77777777">
        <w:trPr>
          <w:jc w:val="center"/>
        </w:trPr>
        <w:tc>
          <w:tcPr>
            <w:tcW w:w="8010" w:type="dxa"/>
          </w:tcPr>
          <w:p w:rsidR="005A63D1" w:rsidRDefault="00DB5899" w14:paraId="00000166" w14:textId="77777777">
            <w:pPr>
              <w:pStyle w:val="Normal2"/>
              <w:numPr>
                <w:ilvl w:val="0"/>
                <w:numId w:val="7"/>
              </w:numPr>
              <w:pBdr>
                <w:top w:val="nil"/>
                <w:left w:val="nil"/>
                <w:bottom w:val="nil"/>
                <w:right w:val="nil"/>
                <w:between w:val="nil"/>
              </w:pBdr>
              <w:tabs>
                <w:tab w:val="left" w:pos="514"/>
              </w:tabs>
              <w:spacing w:after="0" w:line="276" w:lineRule="auto"/>
              <w:ind w:left="514" w:hanging="180"/>
              <w:rPr>
                <w:rFonts w:cs="Calibri"/>
                <w:sz w:val="20"/>
                <w:szCs w:val="20"/>
              </w:rPr>
            </w:pPr>
            <w:r>
              <w:rPr>
                <w:rFonts w:cs="Calibri"/>
                <w:sz w:val="20"/>
                <w:szCs w:val="20"/>
              </w:rPr>
              <w:t>Propose the use and/or procurement of materials deemed illegal under host country laws or regulations or international conventions and agreements, or subject to international phase-outs or bans, such as:</w:t>
            </w:r>
          </w:p>
          <w:p w:rsidR="005A63D1" w:rsidRDefault="00DB5899" w14:paraId="00000167" w14:textId="77777777">
            <w:pPr>
              <w:pStyle w:val="Normal2"/>
              <w:pBdr>
                <w:top w:val="nil"/>
                <w:left w:val="nil"/>
                <w:bottom w:val="nil"/>
                <w:right w:val="nil"/>
                <w:between w:val="nil"/>
              </w:pBdr>
              <w:tabs>
                <w:tab w:val="left" w:pos="514"/>
              </w:tabs>
              <w:spacing w:after="0" w:line="276" w:lineRule="auto"/>
              <w:ind w:left="514" w:firstLine="0"/>
              <w:rPr>
                <w:rFonts w:cs="Calibri"/>
                <w:sz w:val="20"/>
                <w:szCs w:val="20"/>
              </w:rPr>
            </w:pPr>
            <w:r>
              <w:rPr>
                <w:rFonts w:cs="Calibri"/>
                <w:sz w:val="20"/>
                <w:szCs w:val="20"/>
              </w:rPr>
              <w:t>a.</w:t>
            </w:r>
            <w:r>
              <w:rPr>
                <w:rFonts w:cs="Calibri"/>
                <w:sz w:val="20"/>
                <w:szCs w:val="20"/>
              </w:rPr>
              <w:tab/>
            </w:r>
            <w:r>
              <w:rPr>
                <w:rFonts w:cs="Calibri"/>
                <w:sz w:val="20"/>
                <w:szCs w:val="20"/>
              </w:rPr>
              <w:t>ozone depleting substances, polychlorinated biphenyls (PCBs) and other specific, hazardous pharmaceuticals, pesticides/herbicides or chemicals; and</w:t>
            </w:r>
          </w:p>
          <w:p w:rsidR="005A63D1" w:rsidRDefault="00DB5899" w14:paraId="00000168" w14:textId="77777777">
            <w:pPr>
              <w:pStyle w:val="Normal2"/>
              <w:pBdr>
                <w:top w:val="nil"/>
                <w:left w:val="nil"/>
                <w:bottom w:val="nil"/>
                <w:right w:val="nil"/>
                <w:between w:val="nil"/>
              </w:pBdr>
              <w:tabs>
                <w:tab w:val="left" w:pos="514"/>
              </w:tabs>
              <w:spacing w:after="0" w:line="276" w:lineRule="auto"/>
              <w:ind w:left="514" w:firstLine="0"/>
              <w:rPr>
                <w:rFonts w:cs="Calibri"/>
                <w:sz w:val="20"/>
                <w:szCs w:val="20"/>
              </w:rPr>
            </w:pPr>
            <w:r>
              <w:rPr>
                <w:rFonts w:cs="Calibri"/>
                <w:sz w:val="20"/>
                <w:szCs w:val="20"/>
              </w:rPr>
              <w:t>b.</w:t>
            </w:r>
            <w:r>
              <w:rPr>
                <w:rFonts w:cs="Calibri"/>
                <w:sz w:val="20"/>
                <w:szCs w:val="20"/>
              </w:rPr>
              <w:tab/>
            </w:r>
            <w:r>
              <w:rPr>
                <w:rFonts w:cs="Calibri"/>
                <w:sz w:val="20"/>
                <w:szCs w:val="20"/>
              </w:rPr>
              <w:t>wildlife or products regulated under the Convention on International Trade in Endangered Species or Wild Fauna and Flora (CITES)?</w:t>
            </w:r>
          </w:p>
        </w:tc>
        <w:tc>
          <w:tcPr>
            <w:tcW w:w="720" w:type="dxa"/>
            <w:vAlign w:val="center"/>
          </w:tcPr>
          <w:p w:rsidR="005A63D1" w:rsidRDefault="00DB5899" w14:paraId="00000169" w14:textId="77777777">
            <w:pPr>
              <w:pStyle w:val="Normal2"/>
              <w:keepNext/>
              <w:tabs>
                <w:tab w:val="left" w:pos="2250"/>
              </w:tabs>
              <w:spacing w:after="0" w:line="276" w:lineRule="auto"/>
              <w:ind w:left="4" w:firstLine="0"/>
              <w:jc w:val="center"/>
              <w:rPr>
                <w:rFonts w:cs="Calibri"/>
                <w:sz w:val="20"/>
                <w:szCs w:val="20"/>
              </w:rPr>
            </w:pPr>
            <w:r>
              <w:rPr>
                <w:rFonts w:cs="Calibri"/>
                <w:sz w:val="20"/>
                <w:szCs w:val="20"/>
              </w:rPr>
              <w:t>☐</w:t>
            </w:r>
          </w:p>
        </w:tc>
        <w:tc>
          <w:tcPr>
            <w:tcW w:w="690" w:type="dxa"/>
            <w:vAlign w:val="center"/>
          </w:tcPr>
          <w:p w:rsidR="005A63D1" w:rsidRDefault="00DB5899" w14:paraId="0000016A" w14:textId="77777777">
            <w:pPr>
              <w:pStyle w:val="Normal2"/>
              <w:spacing w:after="0"/>
              <w:jc w:val="center"/>
              <w:rPr>
                <w:rFonts w:cs="Calibri"/>
                <w:sz w:val="20"/>
                <w:szCs w:val="20"/>
              </w:rPr>
            </w:pPr>
            <w:r>
              <w:t>☒</w:t>
            </w:r>
          </w:p>
        </w:tc>
      </w:tr>
      <w:tr w:rsidR="005A63D1" w14:paraId="3753D103" w14:textId="77777777">
        <w:trPr>
          <w:jc w:val="center"/>
        </w:trPr>
        <w:tc>
          <w:tcPr>
            <w:tcW w:w="8010" w:type="dxa"/>
            <w:tcBorders>
              <w:top w:val="single" w:color="3B3838" w:sz="4" w:space="0"/>
              <w:left w:val="single" w:color="3B3838" w:sz="4" w:space="0"/>
              <w:bottom w:val="single" w:color="3B3838" w:sz="4" w:space="0"/>
              <w:right w:val="single" w:color="3B3838" w:sz="4" w:space="0"/>
            </w:tcBorders>
          </w:tcPr>
          <w:p w:rsidR="005A63D1" w:rsidRDefault="00DB5899" w14:paraId="0000016B" w14:textId="77777777">
            <w:pPr>
              <w:pStyle w:val="Normal2"/>
              <w:numPr>
                <w:ilvl w:val="0"/>
                <w:numId w:val="7"/>
              </w:numPr>
              <w:pBdr>
                <w:top w:val="nil"/>
                <w:left w:val="nil"/>
                <w:bottom w:val="nil"/>
                <w:right w:val="nil"/>
                <w:between w:val="nil"/>
              </w:pBdr>
              <w:tabs>
                <w:tab w:val="left" w:pos="514"/>
              </w:tabs>
              <w:spacing w:after="0" w:line="276" w:lineRule="auto"/>
              <w:ind w:left="518" w:hanging="187"/>
              <w:rPr>
                <w:rFonts w:cs="Calibri"/>
                <w:sz w:val="20"/>
                <w:szCs w:val="20"/>
              </w:rPr>
            </w:pPr>
            <w:r>
              <w:rPr>
                <w:rFonts w:cs="Calibri"/>
                <w:sz w:val="20"/>
                <w:szCs w:val="20"/>
              </w:rPr>
              <w:t>Propose the use and/or procurement of pesticides and hazardous materials that are unlawful under national or international laws, the generation of wastes and effluents, and emissions of short- and long-lived climate pollutants?</w:t>
            </w:r>
          </w:p>
        </w:tc>
        <w:tc>
          <w:tcPr>
            <w:tcW w:w="720" w:type="dxa"/>
            <w:tcBorders>
              <w:top w:val="single" w:color="3B3838" w:sz="4" w:space="0"/>
              <w:left w:val="single" w:color="3B3838" w:sz="4" w:space="0"/>
              <w:bottom w:val="single" w:color="3B3838" w:sz="4" w:space="0"/>
              <w:right w:val="single" w:color="3B3838" w:sz="4" w:space="0"/>
            </w:tcBorders>
            <w:vAlign w:val="center"/>
          </w:tcPr>
          <w:p w:rsidR="005A63D1" w:rsidRDefault="00DB5899" w14:paraId="0000016C" w14:textId="77777777">
            <w:pPr>
              <w:pStyle w:val="Normal2"/>
              <w:keepNext/>
              <w:tabs>
                <w:tab w:val="left" w:pos="2250"/>
              </w:tabs>
              <w:spacing w:after="0" w:line="276" w:lineRule="auto"/>
              <w:ind w:left="4" w:firstLine="0"/>
              <w:jc w:val="center"/>
              <w:rPr>
                <w:rFonts w:cs="Calibri"/>
                <w:sz w:val="20"/>
                <w:szCs w:val="20"/>
              </w:rPr>
            </w:pPr>
            <w:r>
              <w:rPr>
                <w:rFonts w:cs="Calibri"/>
                <w:sz w:val="20"/>
                <w:szCs w:val="20"/>
              </w:rPr>
              <w:t>☐</w:t>
            </w:r>
          </w:p>
        </w:tc>
        <w:tc>
          <w:tcPr>
            <w:tcW w:w="690" w:type="dxa"/>
            <w:tcBorders>
              <w:top w:val="single" w:color="3B3838" w:sz="4" w:space="0"/>
              <w:left w:val="single" w:color="3B3838" w:sz="4" w:space="0"/>
              <w:bottom w:val="single" w:color="3B3838" w:sz="4" w:space="0"/>
              <w:right w:val="single" w:color="3B3838" w:sz="4" w:space="0"/>
            </w:tcBorders>
            <w:vAlign w:val="center"/>
          </w:tcPr>
          <w:p w:rsidR="005A63D1" w:rsidRDefault="00DB5899" w14:paraId="0000016D" w14:textId="77777777">
            <w:pPr>
              <w:pStyle w:val="Normal2"/>
              <w:spacing w:after="0"/>
              <w:jc w:val="center"/>
              <w:rPr>
                <w:rFonts w:cs="Calibri"/>
                <w:sz w:val="20"/>
                <w:szCs w:val="20"/>
              </w:rPr>
            </w:pPr>
            <w:r>
              <w:t>☒</w:t>
            </w:r>
          </w:p>
        </w:tc>
      </w:tr>
      <w:tr w:rsidR="005A63D1" w14:paraId="080C65FE" w14:textId="77777777">
        <w:trPr>
          <w:jc w:val="center"/>
        </w:trPr>
        <w:tc>
          <w:tcPr>
            <w:tcW w:w="8010" w:type="dxa"/>
            <w:tcBorders>
              <w:top w:val="single" w:color="3B3838" w:sz="4" w:space="0"/>
              <w:left w:val="single" w:color="3B3838" w:sz="4" w:space="0"/>
              <w:bottom w:val="single" w:color="3B3838" w:sz="4" w:space="0"/>
              <w:right w:val="single" w:color="3B3838" w:sz="4" w:space="0"/>
            </w:tcBorders>
          </w:tcPr>
          <w:p w:rsidR="005A63D1" w:rsidRDefault="00DB5899" w14:paraId="0000016E" w14:textId="77777777">
            <w:pPr>
              <w:pStyle w:val="Normal2"/>
              <w:numPr>
                <w:ilvl w:val="0"/>
                <w:numId w:val="7"/>
              </w:numPr>
              <w:pBdr>
                <w:top w:val="nil"/>
                <w:left w:val="nil"/>
                <w:bottom w:val="nil"/>
                <w:right w:val="nil"/>
                <w:between w:val="nil"/>
              </w:pBdr>
              <w:tabs>
                <w:tab w:val="left" w:pos="514"/>
              </w:tabs>
              <w:spacing w:after="0" w:line="276" w:lineRule="auto"/>
              <w:ind w:left="514" w:hanging="180"/>
              <w:rPr>
                <w:rFonts w:cs="Calibri"/>
                <w:sz w:val="20"/>
                <w:szCs w:val="20"/>
              </w:rPr>
            </w:pPr>
            <w:r>
              <w:rPr>
                <w:rFonts w:cs="Calibri"/>
                <w:sz w:val="20"/>
                <w:szCs w:val="20"/>
              </w:rPr>
              <w:t>Involves the removal, alteration or disturbance of any non-replicable or critical cultural heritage, or the use of any intangible cultural heritage without the Free, Prior and Informed Consent of the communities who it belongs to?</w:t>
            </w:r>
          </w:p>
        </w:tc>
        <w:tc>
          <w:tcPr>
            <w:tcW w:w="720" w:type="dxa"/>
            <w:tcBorders>
              <w:top w:val="single" w:color="3B3838" w:sz="4" w:space="0"/>
              <w:left w:val="single" w:color="3B3838" w:sz="4" w:space="0"/>
              <w:bottom w:val="single" w:color="3B3838" w:sz="4" w:space="0"/>
              <w:right w:val="single" w:color="3B3838" w:sz="4" w:space="0"/>
            </w:tcBorders>
            <w:vAlign w:val="center"/>
          </w:tcPr>
          <w:p w:rsidR="005A63D1" w:rsidRDefault="00DB5899" w14:paraId="0000016F" w14:textId="77777777">
            <w:pPr>
              <w:pStyle w:val="Normal2"/>
              <w:keepNext/>
              <w:tabs>
                <w:tab w:val="left" w:pos="2250"/>
              </w:tabs>
              <w:spacing w:after="0" w:line="276" w:lineRule="auto"/>
              <w:ind w:left="4" w:firstLine="0"/>
              <w:jc w:val="center"/>
              <w:rPr>
                <w:rFonts w:cs="Calibri"/>
                <w:sz w:val="20"/>
                <w:szCs w:val="20"/>
              </w:rPr>
            </w:pPr>
            <w:r>
              <w:rPr>
                <w:rFonts w:cs="Calibri"/>
                <w:sz w:val="20"/>
                <w:szCs w:val="20"/>
              </w:rPr>
              <w:t>☐</w:t>
            </w:r>
          </w:p>
        </w:tc>
        <w:tc>
          <w:tcPr>
            <w:tcW w:w="690" w:type="dxa"/>
            <w:tcBorders>
              <w:top w:val="single" w:color="3B3838" w:sz="4" w:space="0"/>
              <w:left w:val="single" w:color="3B3838" w:sz="4" w:space="0"/>
              <w:bottom w:val="single" w:color="3B3838" w:sz="4" w:space="0"/>
              <w:right w:val="single" w:color="3B3838" w:sz="4" w:space="0"/>
            </w:tcBorders>
            <w:vAlign w:val="center"/>
          </w:tcPr>
          <w:p w:rsidR="005A63D1" w:rsidRDefault="00DB5899" w14:paraId="00000170" w14:textId="77777777">
            <w:pPr>
              <w:pStyle w:val="Normal2"/>
              <w:spacing w:after="0"/>
              <w:jc w:val="center"/>
              <w:rPr>
                <w:rFonts w:cs="Calibri"/>
                <w:sz w:val="20"/>
                <w:szCs w:val="20"/>
              </w:rPr>
            </w:pPr>
            <w:r>
              <w:t>☒</w:t>
            </w:r>
          </w:p>
        </w:tc>
      </w:tr>
    </w:tbl>
    <w:p w:rsidR="005A63D1" w:rsidRDefault="005A63D1" w14:paraId="00000171" w14:textId="77777777">
      <w:pPr>
        <w:pStyle w:val="Normal2"/>
        <w:tabs>
          <w:tab w:val="left" w:pos="2250"/>
        </w:tabs>
        <w:spacing w:after="0" w:line="276" w:lineRule="auto"/>
        <w:ind w:left="0" w:firstLine="0"/>
        <w:rPr>
          <w:rFonts w:cs="Calibri"/>
          <w:b/>
          <w:sz w:val="20"/>
          <w:szCs w:val="20"/>
          <w:highlight w:val="yellow"/>
        </w:rPr>
      </w:pPr>
    </w:p>
    <w:p w:rsidR="005A63D1" w:rsidRDefault="005A63D1" w14:paraId="00000172" w14:textId="77777777">
      <w:pPr>
        <w:pStyle w:val="Normal2"/>
        <w:tabs>
          <w:tab w:val="left" w:pos="2250"/>
        </w:tabs>
        <w:spacing w:after="0" w:line="276" w:lineRule="auto"/>
        <w:ind w:left="0" w:firstLine="0"/>
        <w:rPr>
          <w:b/>
          <w:sz w:val="20"/>
          <w:szCs w:val="20"/>
          <w:highlight w:val="yellow"/>
        </w:rPr>
      </w:pPr>
    </w:p>
    <w:p w:rsidR="005A63D1" w:rsidRDefault="005A63D1" w14:paraId="00000173" w14:textId="77777777">
      <w:pPr>
        <w:pStyle w:val="Normal2"/>
        <w:tabs>
          <w:tab w:val="left" w:pos="2250"/>
        </w:tabs>
        <w:spacing w:after="0" w:line="276" w:lineRule="auto"/>
        <w:ind w:left="0" w:firstLine="0"/>
        <w:rPr>
          <w:b/>
          <w:sz w:val="20"/>
          <w:szCs w:val="20"/>
          <w:highlight w:val="yellow"/>
        </w:rPr>
      </w:pPr>
    </w:p>
    <w:p w:rsidR="005A63D1" w:rsidRDefault="005A63D1" w14:paraId="00000174" w14:textId="77777777">
      <w:pPr>
        <w:pStyle w:val="Normal2"/>
        <w:tabs>
          <w:tab w:val="left" w:pos="2250"/>
        </w:tabs>
        <w:spacing w:after="0" w:line="276" w:lineRule="auto"/>
        <w:ind w:left="0" w:firstLine="0"/>
        <w:rPr>
          <w:b/>
          <w:sz w:val="20"/>
          <w:szCs w:val="20"/>
          <w:highlight w:val="yellow"/>
        </w:rPr>
      </w:pPr>
    </w:p>
    <w:p w:rsidR="005A63D1" w:rsidRDefault="005A63D1" w14:paraId="00000175" w14:textId="77777777">
      <w:pPr>
        <w:pStyle w:val="Normal2"/>
        <w:tabs>
          <w:tab w:val="left" w:pos="2250"/>
        </w:tabs>
        <w:spacing w:after="0" w:line="276" w:lineRule="auto"/>
        <w:ind w:left="0" w:firstLine="0"/>
        <w:rPr>
          <w:b/>
          <w:sz w:val="20"/>
          <w:szCs w:val="20"/>
          <w:highlight w:val="yellow"/>
        </w:rPr>
      </w:pPr>
    </w:p>
    <w:tbl>
      <w:tblPr>
        <w:tblStyle w:val="afff3"/>
        <w:tblpPr w:leftFromText="180" w:rightFromText="180" w:vertAnchor="text" w:tblpY="10"/>
        <w:tblW w:w="9355" w:type="dxa"/>
        <w:tblInd w:w="0"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Layout w:type="fixed"/>
        <w:tblLook w:val="0000" w:firstRow="0" w:lastRow="0" w:firstColumn="0" w:lastColumn="0" w:noHBand="0" w:noVBand="0"/>
      </w:tblPr>
      <w:tblGrid>
        <w:gridCol w:w="9355"/>
      </w:tblGrid>
      <w:tr w:rsidR="005A63D1" w14:paraId="6B59BD2D" w14:textId="77777777">
        <w:trPr>
          <w:trHeight w:val="199"/>
        </w:trPr>
        <w:tc>
          <w:tcPr>
            <w:tcW w:w="9355" w:type="dxa"/>
            <w:shd w:val="clear" w:color="auto" w:fill="767171"/>
          </w:tcPr>
          <w:p w:rsidR="005A63D1" w:rsidRDefault="00DB5899" w14:paraId="00000176" w14:textId="77777777">
            <w:pPr>
              <w:pStyle w:val="Normal2"/>
              <w:spacing w:after="0"/>
              <w:ind w:left="90" w:firstLine="0"/>
              <w:jc w:val="center"/>
              <w:rPr>
                <w:rFonts w:cs="Calibri"/>
                <w:color w:val="FFFFFF"/>
                <w:sz w:val="24"/>
                <w:szCs w:val="24"/>
              </w:rPr>
            </w:pPr>
            <w:r>
              <w:rPr>
                <w:rFonts w:cs="Calibri"/>
                <w:b/>
                <w:color w:val="FFFFFF"/>
                <w:sz w:val="24"/>
                <w:szCs w:val="24"/>
              </w:rPr>
              <w:t xml:space="preserve">IV. </w:t>
            </w:r>
            <w:r>
              <w:t xml:space="preserve">  </w:t>
            </w:r>
            <w:r>
              <w:rPr>
                <w:rFonts w:cs="Calibri"/>
                <w:b/>
                <w:color w:val="FFFFFF"/>
                <w:sz w:val="24"/>
                <w:szCs w:val="24"/>
              </w:rPr>
              <w:t>SIMPLIFIED APPROVAL PROCESS (GCF Projects ONLY)</w:t>
            </w:r>
          </w:p>
        </w:tc>
      </w:tr>
      <w:tr w:rsidR="005A63D1" w14:paraId="57B6B0FF" w14:textId="77777777">
        <w:trPr>
          <w:trHeight w:val="20"/>
        </w:trPr>
        <w:tc>
          <w:tcPr>
            <w:tcW w:w="9355" w:type="dxa"/>
          </w:tcPr>
          <w:p w:rsidR="005A63D1" w:rsidRDefault="00DB5899" w14:paraId="00000177" w14:textId="77777777">
            <w:pPr>
              <w:pStyle w:val="Normal2"/>
              <w:tabs>
                <w:tab w:val="left" w:pos="2250"/>
              </w:tabs>
              <w:spacing w:after="0" w:line="276" w:lineRule="auto"/>
              <w:ind w:left="0" w:firstLine="0"/>
              <w:rPr>
                <w:rFonts w:cs="Calibri"/>
                <w:sz w:val="20"/>
                <w:szCs w:val="20"/>
              </w:rPr>
            </w:pPr>
            <w:r>
              <w:rPr>
                <w:rFonts w:cs="Calibri"/>
                <w:sz w:val="20"/>
                <w:szCs w:val="20"/>
              </w:rPr>
              <w:t xml:space="preserve">Questions XIV through XXII are </w:t>
            </w:r>
            <w:r>
              <w:rPr>
                <w:rFonts w:cs="Calibri"/>
                <w:b/>
                <w:sz w:val="20"/>
                <w:szCs w:val="20"/>
              </w:rPr>
              <w:t>ONLY for GCF Projects</w:t>
            </w:r>
            <w:r>
              <w:rPr>
                <w:rFonts w:cs="Calibri"/>
                <w:sz w:val="20"/>
                <w:szCs w:val="20"/>
              </w:rPr>
              <w:t xml:space="preserve"> pursuing the Simplified Approval Process (SAP).</w:t>
            </w:r>
            <w:r>
              <w:t xml:space="preserve"> </w:t>
            </w:r>
            <w:r>
              <w:rPr>
                <w:rFonts w:cs="Calibri"/>
                <w:sz w:val="20"/>
                <w:szCs w:val="20"/>
              </w:rPr>
              <w:t>If you answer “Yes” to any of the questions below, your project will undergo further review to determine eligibility for the Simplified Approval Process.</w:t>
            </w:r>
          </w:p>
        </w:tc>
      </w:tr>
    </w:tbl>
    <w:p w:rsidR="005A63D1" w:rsidRDefault="005A63D1" w14:paraId="00000178" w14:textId="77777777">
      <w:pPr>
        <w:pStyle w:val="Normal2"/>
        <w:tabs>
          <w:tab w:val="left" w:pos="2250"/>
        </w:tabs>
        <w:spacing w:after="0" w:line="276" w:lineRule="auto"/>
        <w:ind w:left="0" w:firstLine="0"/>
        <w:rPr>
          <w:rFonts w:cs="Calibri"/>
          <w:b/>
          <w:sz w:val="20"/>
          <w:szCs w:val="20"/>
        </w:rPr>
      </w:pPr>
    </w:p>
    <w:tbl>
      <w:tblPr>
        <w:tblStyle w:val="afff4"/>
        <w:tblW w:w="9344" w:type="dxa"/>
        <w:tblInd w:w="0" w:type="dxa"/>
        <w:tblBorders>
          <w:top w:val="single" w:color="000000" w:sz="6" w:space="0"/>
          <w:left w:val="single" w:color="000000" w:sz="6" w:space="0"/>
          <w:bottom w:val="single" w:color="000000" w:sz="6" w:space="0"/>
          <w:right w:val="single" w:color="000000" w:sz="6" w:space="0"/>
        </w:tblBorders>
        <w:tblLayout w:type="fixed"/>
        <w:tblLook w:val="0400" w:firstRow="0" w:lastRow="0" w:firstColumn="0" w:lastColumn="0" w:noHBand="0" w:noVBand="1"/>
      </w:tblPr>
      <w:tblGrid>
        <w:gridCol w:w="8212"/>
        <w:gridCol w:w="581"/>
        <w:gridCol w:w="551"/>
      </w:tblGrid>
      <w:tr w:rsidR="005A63D1" w14:paraId="3EF4D8A8" w14:textId="77777777">
        <w:trPr>
          <w:trHeight w:val="255"/>
        </w:trPr>
        <w:tc>
          <w:tcPr>
            <w:tcW w:w="8212" w:type="dxa"/>
            <w:tcBorders>
              <w:top w:val="single" w:color="3B3838" w:sz="6" w:space="0"/>
              <w:left w:val="single" w:color="3B3838" w:sz="6" w:space="0"/>
              <w:bottom w:val="single" w:color="3B3838" w:sz="6" w:space="0"/>
              <w:right w:val="single" w:color="3B3838" w:sz="6" w:space="0"/>
            </w:tcBorders>
            <w:shd w:val="clear" w:color="auto" w:fill="D9D9D9"/>
            <w:vAlign w:val="center"/>
          </w:tcPr>
          <w:p w:rsidR="005A63D1" w:rsidRDefault="00DB5899" w14:paraId="00000179" w14:textId="77777777">
            <w:pPr>
              <w:pStyle w:val="Normal2"/>
              <w:spacing w:after="0" w:line="276" w:lineRule="auto"/>
              <w:rPr>
                <w:rFonts w:cs="Calibri"/>
                <w:sz w:val="20"/>
                <w:szCs w:val="20"/>
              </w:rPr>
            </w:pPr>
            <w:r>
              <w:rPr>
                <w:rFonts w:cs="Calibri"/>
                <w:b/>
                <w:sz w:val="20"/>
                <w:szCs w:val="20"/>
              </w:rPr>
              <w:t>Will the project: </w:t>
            </w:r>
            <w:r>
              <w:rPr>
                <w:rFonts w:cs="Calibri"/>
                <w:sz w:val="20"/>
                <w:szCs w:val="20"/>
              </w:rPr>
              <w:t> </w:t>
            </w:r>
          </w:p>
        </w:tc>
        <w:tc>
          <w:tcPr>
            <w:tcW w:w="581" w:type="dxa"/>
            <w:tcBorders>
              <w:top w:val="single" w:color="3B3838" w:sz="6" w:space="0"/>
              <w:left w:val="nil"/>
              <w:bottom w:val="single" w:color="3B3838" w:sz="6" w:space="0"/>
              <w:right w:val="single" w:color="3B3838" w:sz="6" w:space="0"/>
            </w:tcBorders>
            <w:shd w:val="clear" w:color="auto" w:fill="D9D9D9"/>
            <w:vAlign w:val="center"/>
          </w:tcPr>
          <w:p w:rsidR="005A63D1" w:rsidRDefault="00DB5899" w14:paraId="0000017A" w14:textId="77777777">
            <w:pPr>
              <w:pStyle w:val="Normal2"/>
              <w:spacing w:after="0" w:line="276" w:lineRule="auto"/>
              <w:ind w:left="45" w:firstLine="0"/>
              <w:jc w:val="center"/>
              <w:rPr>
                <w:rFonts w:cs="Calibri"/>
                <w:sz w:val="20"/>
                <w:szCs w:val="20"/>
              </w:rPr>
            </w:pPr>
            <w:r>
              <w:rPr>
                <w:rFonts w:cs="Calibri"/>
                <w:b/>
                <w:sz w:val="20"/>
                <w:szCs w:val="20"/>
              </w:rPr>
              <w:t>Yes</w:t>
            </w:r>
            <w:r>
              <w:rPr>
                <w:rFonts w:cs="Calibri"/>
                <w:sz w:val="20"/>
                <w:szCs w:val="20"/>
              </w:rPr>
              <w:t> </w:t>
            </w:r>
          </w:p>
        </w:tc>
        <w:tc>
          <w:tcPr>
            <w:tcW w:w="551" w:type="dxa"/>
            <w:tcBorders>
              <w:top w:val="single" w:color="3B3838" w:sz="6" w:space="0"/>
              <w:left w:val="nil"/>
              <w:bottom w:val="single" w:color="3B3838" w:sz="6" w:space="0"/>
              <w:right w:val="single" w:color="3B3838" w:sz="6" w:space="0"/>
            </w:tcBorders>
            <w:shd w:val="clear" w:color="auto" w:fill="D9D9D9"/>
            <w:vAlign w:val="center"/>
          </w:tcPr>
          <w:p w:rsidR="005A63D1" w:rsidRDefault="00DB5899" w14:paraId="0000017B" w14:textId="77777777">
            <w:pPr>
              <w:pStyle w:val="Normal2"/>
              <w:spacing w:after="0" w:line="276" w:lineRule="auto"/>
              <w:ind w:left="60" w:firstLine="0"/>
              <w:jc w:val="center"/>
              <w:rPr>
                <w:rFonts w:cs="Calibri"/>
                <w:sz w:val="20"/>
                <w:szCs w:val="20"/>
              </w:rPr>
            </w:pPr>
            <w:r>
              <w:rPr>
                <w:rFonts w:cs="Calibri"/>
                <w:b/>
                <w:sz w:val="20"/>
                <w:szCs w:val="20"/>
              </w:rPr>
              <w:t>No</w:t>
            </w:r>
            <w:r>
              <w:rPr>
                <w:rFonts w:cs="Calibri"/>
                <w:sz w:val="20"/>
                <w:szCs w:val="20"/>
              </w:rPr>
              <w:t> </w:t>
            </w:r>
          </w:p>
        </w:tc>
      </w:tr>
      <w:tr w:rsidR="005A63D1" w14:paraId="02AAFD74" w14:textId="77777777">
        <w:tc>
          <w:tcPr>
            <w:tcW w:w="8212" w:type="dxa"/>
            <w:tcBorders>
              <w:top w:val="nil"/>
              <w:left w:val="single" w:color="3B3838" w:sz="6" w:space="0"/>
              <w:bottom w:val="single" w:color="3B3838" w:sz="6" w:space="0"/>
              <w:right w:val="single" w:color="3B3838" w:sz="6" w:space="0"/>
            </w:tcBorders>
            <w:shd w:val="clear" w:color="auto" w:fill="auto"/>
          </w:tcPr>
          <w:p w:rsidR="005A63D1" w:rsidRDefault="00DB5899" w14:paraId="0000017C" w14:textId="77777777">
            <w:pPr>
              <w:pStyle w:val="Normal2"/>
              <w:numPr>
                <w:ilvl w:val="0"/>
                <w:numId w:val="7"/>
              </w:numPr>
              <w:pBdr>
                <w:top w:val="nil"/>
                <w:left w:val="nil"/>
                <w:bottom w:val="nil"/>
                <w:right w:val="nil"/>
                <w:between w:val="nil"/>
              </w:pBdr>
              <w:spacing w:after="0" w:line="276" w:lineRule="auto"/>
              <w:ind w:hanging="360"/>
              <w:rPr>
                <w:rFonts w:cs="Calibri"/>
                <w:sz w:val="20"/>
                <w:szCs w:val="20"/>
              </w:rPr>
            </w:pPr>
            <w:r>
              <w:rPr>
                <w:rFonts w:cs="Calibri"/>
                <w:sz w:val="20"/>
                <w:szCs w:val="20"/>
              </w:rPr>
              <w:t>Involve associated facilities</w:t>
            </w:r>
            <w:r>
              <w:rPr>
                <w:rFonts w:cs="Calibri"/>
                <w:sz w:val="20"/>
                <w:szCs w:val="20"/>
                <w:vertAlign w:val="superscript"/>
              </w:rPr>
              <w:footnoteReference w:id="9"/>
            </w:r>
            <w:r>
              <w:rPr>
                <w:rFonts w:cs="Calibri"/>
                <w:sz w:val="20"/>
                <w:szCs w:val="20"/>
              </w:rPr>
              <w:t xml:space="preserve"> and require further due diligence of such associated facilities? </w:t>
            </w:r>
          </w:p>
        </w:tc>
        <w:tc>
          <w:tcPr>
            <w:tcW w:w="581" w:type="dxa"/>
            <w:tcBorders>
              <w:top w:val="nil"/>
              <w:left w:val="nil"/>
              <w:bottom w:val="single" w:color="3B3838" w:sz="6" w:space="0"/>
              <w:right w:val="single" w:color="3B3838" w:sz="6" w:space="0"/>
            </w:tcBorders>
            <w:shd w:val="clear" w:color="auto" w:fill="auto"/>
            <w:vAlign w:val="center"/>
          </w:tcPr>
          <w:p w:rsidR="005A63D1" w:rsidRDefault="00DB5899" w14:paraId="0000017D" w14:textId="77777777">
            <w:pPr>
              <w:pStyle w:val="Normal2"/>
              <w:spacing w:after="0" w:line="276" w:lineRule="auto"/>
              <w:ind w:left="0" w:firstLine="0"/>
              <w:jc w:val="center"/>
              <w:rPr>
                <w:rFonts w:cs="Calibri"/>
                <w:sz w:val="20"/>
                <w:szCs w:val="20"/>
              </w:rPr>
            </w:pPr>
            <w:r>
              <w:rPr>
                <w:rFonts w:cs="Calibri"/>
                <w:sz w:val="20"/>
                <w:szCs w:val="20"/>
              </w:rPr>
              <w:t>☐</w:t>
            </w:r>
          </w:p>
        </w:tc>
        <w:tc>
          <w:tcPr>
            <w:tcW w:w="551" w:type="dxa"/>
            <w:tcBorders>
              <w:top w:val="nil"/>
              <w:left w:val="nil"/>
              <w:bottom w:val="single" w:color="3B3838" w:sz="6" w:space="0"/>
              <w:right w:val="single" w:color="3B3838" w:sz="6" w:space="0"/>
            </w:tcBorders>
            <w:shd w:val="clear" w:color="auto" w:fill="auto"/>
            <w:vAlign w:val="center"/>
          </w:tcPr>
          <w:p w:rsidR="005A63D1" w:rsidRDefault="00DB5899" w14:paraId="0000017E" w14:textId="77777777">
            <w:pPr>
              <w:pStyle w:val="Normal2"/>
              <w:spacing w:after="0" w:line="276" w:lineRule="auto"/>
              <w:ind w:left="0" w:firstLine="0"/>
              <w:jc w:val="center"/>
              <w:rPr>
                <w:rFonts w:cs="Calibri"/>
                <w:sz w:val="20"/>
                <w:szCs w:val="20"/>
              </w:rPr>
            </w:pPr>
            <w:r>
              <w:rPr>
                <w:rFonts w:cs="Calibri"/>
                <w:sz w:val="20"/>
                <w:szCs w:val="20"/>
              </w:rPr>
              <w:t>☐</w:t>
            </w:r>
          </w:p>
        </w:tc>
      </w:tr>
      <w:tr w:rsidR="005A63D1" w14:paraId="68D9CFEB" w14:textId="77777777">
        <w:trPr>
          <w:trHeight w:val="270"/>
        </w:trPr>
        <w:tc>
          <w:tcPr>
            <w:tcW w:w="8212" w:type="dxa"/>
            <w:tcBorders>
              <w:top w:val="nil"/>
              <w:left w:val="single" w:color="3B3838" w:sz="6" w:space="0"/>
              <w:bottom w:val="single" w:color="3B3838" w:sz="6" w:space="0"/>
              <w:right w:val="single" w:color="3B3838" w:sz="6" w:space="0"/>
            </w:tcBorders>
            <w:shd w:val="clear" w:color="auto" w:fill="auto"/>
          </w:tcPr>
          <w:p w:rsidR="005A63D1" w:rsidRDefault="00DB5899" w14:paraId="0000017F" w14:textId="77777777">
            <w:pPr>
              <w:pStyle w:val="Normal2"/>
              <w:numPr>
                <w:ilvl w:val="0"/>
                <w:numId w:val="7"/>
              </w:numPr>
              <w:pBdr>
                <w:top w:val="nil"/>
                <w:left w:val="nil"/>
                <w:bottom w:val="nil"/>
                <w:right w:val="nil"/>
                <w:between w:val="nil"/>
              </w:pBdr>
              <w:spacing w:after="0" w:line="276" w:lineRule="auto"/>
              <w:ind w:hanging="360"/>
              <w:rPr>
                <w:rFonts w:cs="Calibri"/>
                <w:sz w:val="20"/>
                <w:szCs w:val="20"/>
              </w:rPr>
            </w:pPr>
            <w:r>
              <w:rPr>
                <w:rFonts w:cs="Calibri"/>
                <w:sz w:val="20"/>
                <w:szCs w:val="20"/>
              </w:rPr>
              <w:t>Involve trans-boundary impacts including those that would require further due diligence and notification to downstream riparian states? </w:t>
            </w:r>
          </w:p>
        </w:tc>
        <w:tc>
          <w:tcPr>
            <w:tcW w:w="581" w:type="dxa"/>
            <w:tcBorders>
              <w:top w:val="nil"/>
              <w:left w:val="nil"/>
              <w:bottom w:val="single" w:color="3B3838" w:sz="6" w:space="0"/>
              <w:right w:val="single" w:color="3B3838" w:sz="6" w:space="0"/>
            </w:tcBorders>
            <w:shd w:val="clear" w:color="auto" w:fill="auto"/>
            <w:vAlign w:val="center"/>
          </w:tcPr>
          <w:p w:rsidR="005A63D1" w:rsidRDefault="00DB5899" w14:paraId="00000180" w14:textId="77777777">
            <w:pPr>
              <w:pStyle w:val="Normal2"/>
              <w:spacing w:after="0" w:line="276" w:lineRule="auto"/>
              <w:ind w:left="0" w:firstLine="0"/>
              <w:jc w:val="center"/>
              <w:rPr>
                <w:rFonts w:cs="Calibri"/>
                <w:sz w:val="20"/>
                <w:szCs w:val="20"/>
              </w:rPr>
            </w:pPr>
            <w:r>
              <w:rPr>
                <w:rFonts w:cs="Calibri"/>
                <w:sz w:val="20"/>
                <w:szCs w:val="20"/>
              </w:rPr>
              <w:t>☐</w:t>
            </w:r>
          </w:p>
        </w:tc>
        <w:tc>
          <w:tcPr>
            <w:tcW w:w="551" w:type="dxa"/>
            <w:tcBorders>
              <w:top w:val="nil"/>
              <w:left w:val="nil"/>
              <w:bottom w:val="single" w:color="3B3838" w:sz="6" w:space="0"/>
              <w:right w:val="single" w:color="3B3838" w:sz="6" w:space="0"/>
            </w:tcBorders>
            <w:shd w:val="clear" w:color="auto" w:fill="auto"/>
            <w:vAlign w:val="center"/>
          </w:tcPr>
          <w:p w:rsidR="005A63D1" w:rsidRDefault="00DB5899" w14:paraId="00000181" w14:textId="77777777">
            <w:pPr>
              <w:pStyle w:val="Normal2"/>
              <w:spacing w:after="0" w:line="276" w:lineRule="auto"/>
              <w:ind w:left="0" w:firstLine="0"/>
              <w:jc w:val="center"/>
              <w:rPr>
                <w:rFonts w:cs="Calibri"/>
                <w:sz w:val="20"/>
                <w:szCs w:val="20"/>
              </w:rPr>
            </w:pPr>
            <w:r>
              <w:rPr>
                <w:rFonts w:cs="Calibri"/>
                <w:sz w:val="20"/>
                <w:szCs w:val="20"/>
              </w:rPr>
              <w:t>☐</w:t>
            </w:r>
          </w:p>
        </w:tc>
      </w:tr>
      <w:tr w:rsidR="005A63D1" w14:paraId="2CEF986A" w14:textId="77777777">
        <w:tc>
          <w:tcPr>
            <w:tcW w:w="8212" w:type="dxa"/>
            <w:tcBorders>
              <w:top w:val="nil"/>
              <w:left w:val="single" w:color="3B3838" w:sz="6" w:space="0"/>
              <w:bottom w:val="single" w:color="3B3838" w:sz="6" w:space="0"/>
              <w:right w:val="single" w:color="3B3838" w:sz="6" w:space="0"/>
            </w:tcBorders>
            <w:shd w:val="clear" w:color="auto" w:fill="auto"/>
          </w:tcPr>
          <w:p w:rsidR="005A63D1" w:rsidRDefault="00DB5899" w14:paraId="00000182" w14:textId="77777777">
            <w:pPr>
              <w:pStyle w:val="Normal2"/>
              <w:numPr>
                <w:ilvl w:val="0"/>
                <w:numId w:val="7"/>
              </w:numPr>
              <w:pBdr>
                <w:top w:val="nil"/>
                <w:left w:val="nil"/>
                <w:bottom w:val="nil"/>
                <w:right w:val="nil"/>
                <w:between w:val="nil"/>
              </w:pBdr>
              <w:spacing w:after="0" w:line="276" w:lineRule="auto"/>
              <w:ind w:hanging="360"/>
              <w:rPr>
                <w:rFonts w:cs="Calibri"/>
                <w:sz w:val="20"/>
                <w:szCs w:val="20"/>
              </w:rPr>
            </w:pPr>
            <w:r>
              <w:rPr>
                <w:rFonts w:cs="Calibri"/>
                <w:sz w:val="20"/>
                <w:szCs w:val="20"/>
              </w:rPr>
              <w:t>Adversely affect working conditions and health and safety of workers or potentially employ vulnerable categories of workers including women or child labor? </w:t>
            </w:r>
          </w:p>
        </w:tc>
        <w:tc>
          <w:tcPr>
            <w:tcW w:w="581" w:type="dxa"/>
            <w:tcBorders>
              <w:top w:val="nil"/>
              <w:left w:val="nil"/>
              <w:bottom w:val="single" w:color="3B3838" w:sz="6" w:space="0"/>
              <w:right w:val="single" w:color="3B3838" w:sz="6" w:space="0"/>
            </w:tcBorders>
            <w:shd w:val="clear" w:color="auto" w:fill="auto"/>
            <w:vAlign w:val="center"/>
          </w:tcPr>
          <w:p w:rsidR="005A63D1" w:rsidRDefault="00DB5899" w14:paraId="00000183" w14:textId="77777777">
            <w:pPr>
              <w:pStyle w:val="Normal2"/>
              <w:spacing w:after="0" w:line="276" w:lineRule="auto"/>
              <w:ind w:left="0" w:firstLine="0"/>
              <w:jc w:val="center"/>
              <w:rPr>
                <w:rFonts w:cs="Calibri"/>
                <w:sz w:val="20"/>
                <w:szCs w:val="20"/>
              </w:rPr>
            </w:pPr>
            <w:r>
              <w:rPr>
                <w:rFonts w:cs="Calibri"/>
                <w:sz w:val="20"/>
                <w:szCs w:val="20"/>
              </w:rPr>
              <w:t>☐</w:t>
            </w:r>
          </w:p>
        </w:tc>
        <w:tc>
          <w:tcPr>
            <w:tcW w:w="551" w:type="dxa"/>
            <w:tcBorders>
              <w:top w:val="nil"/>
              <w:left w:val="nil"/>
              <w:bottom w:val="single" w:color="3B3838" w:sz="6" w:space="0"/>
              <w:right w:val="single" w:color="3B3838" w:sz="6" w:space="0"/>
            </w:tcBorders>
            <w:shd w:val="clear" w:color="auto" w:fill="auto"/>
            <w:vAlign w:val="center"/>
          </w:tcPr>
          <w:p w:rsidR="005A63D1" w:rsidRDefault="00DB5899" w14:paraId="00000184" w14:textId="77777777">
            <w:pPr>
              <w:pStyle w:val="Normal2"/>
              <w:spacing w:after="0" w:line="276" w:lineRule="auto"/>
              <w:ind w:left="0" w:firstLine="0"/>
              <w:jc w:val="center"/>
              <w:rPr>
                <w:rFonts w:cs="Calibri"/>
                <w:sz w:val="20"/>
                <w:szCs w:val="20"/>
              </w:rPr>
            </w:pPr>
            <w:r>
              <w:rPr>
                <w:rFonts w:cs="Calibri"/>
                <w:sz w:val="20"/>
                <w:szCs w:val="20"/>
              </w:rPr>
              <w:t>☐</w:t>
            </w:r>
          </w:p>
        </w:tc>
      </w:tr>
      <w:tr w:rsidR="005A63D1" w14:paraId="5C951D24" w14:textId="77777777">
        <w:tc>
          <w:tcPr>
            <w:tcW w:w="8212" w:type="dxa"/>
            <w:tcBorders>
              <w:top w:val="nil"/>
              <w:left w:val="single" w:color="3B3838" w:sz="6" w:space="0"/>
              <w:bottom w:val="single" w:color="3B3838" w:sz="6" w:space="0"/>
              <w:right w:val="single" w:color="3B3838" w:sz="6" w:space="0"/>
            </w:tcBorders>
            <w:shd w:val="clear" w:color="auto" w:fill="auto"/>
          </w:tcPr>
          <w:p w:rsidR="005A63D1" w:rsidRDefault="00DB5899" w14:paraId="00000185" w14:textId="77777777">
            <w:pPr>
              <w:pStyle w:val="Normal2"/>
              <w:numPr>
                <w:ilvl w:val="0"/>
                <w:numId w:val="7"/>
              </w:numPr>
              <w:pBdr>
                <w:top w:val="nil"/>
                <w:left w:val="nil"/>
                <w:bottom w:val="nil"/>
                <w:right w:val="nil"/>
                <w:between w:val="nil"/>
              </w:pBdr>
              <w:spacing w:after="0" w:line="276" w:lineRule="auto"/>
              <w:ind w:hanging="360"/>
              <w:rPr>
                <w:rFonts w:cs="Calibri"/>
                <w:sz w:val="20"/>
                <w:szCs w:val="20"/>
              </w:rPr>
            </w:pPr>
            <w:r>
              <w:rPr>
                <w:rFonts w:cs="Calibri"/>
                <w:sz w:val="20"/>
                <w:szCs w:val="20"/>
              </w:rPr>
              <w:t>Generate hazardous waste and pollutants including pesticides and contaminate lands that would require further studies on management, minimization and control and compliance to the country and applicable international quality standards? </w:t>
            </w:r>
          </w:p>
        </w:tc>
        <w:tc>
          <w:tcPr>
            <w:tcW w:w="581" w:type="dxa"/>
            <w:tcBorders>
              <w:top w:val="nil"/>
              <w:left w:val="nil"/>
              <w:bottom w:val="single" w:color="3B3838" w:sz="6" w:space="0"/>
              <w:right w:val="single" w:color="3B3838" w:sz="6" w:space="0"/>
            </w:tcBorders>
            <w:shd w:val="clear" w:color="auto" w:fill="auto"/>
            <w:vAlign w:val="center"/>
          </w:tcPr>
          <w:p w:rsidR="005A63D1" w:rsidRDefault="00DB5899" w14:paraId="00000186" w14:textId="77777777">
            <w:pPr>
              <w:pStyle w:val="Normal2"/>
              <w:spacing w:after="0" w:line="276" w:lineRule="auto"/>
              <w:ind w:left="0" w:firstLine="0"/>
              <w:jc w:val="center"/>
              <w:rPr>
                <w:rFonts w:cs="Calibri"/>
                <w:sz w:val="20"/>
                <w:szCs w:val="20"/>
              </w:rPr>
            </w:pPr>
            <w:r>
              <w:rPr>
                <w:rFonts w:cs="Calibri"/>
                <w:sz w:val="20"/>
                <w:szCs w:val="20"/>
              </w:rPr>
              <w:t>☐</w:t>
            </w:r>
          </w:p>
        </w:tc>
        <w:tc>
          <w:tcPr>
            <w:tcW w:w="551" w:type="dxa"/>
            <w:tcBorders>
              <w:top w:val="nil"/>
              <w:left w:val="nil"/>
              <w:bottom w:val="single" w:color="3B3838" w:sz="6" w:space="0"/>
              <w:right w:val="single" w:color="3B3838" w:sz="6" w:space="0"/>
            </w:tcBorders>
            <w:shd w:val="clear" w:color="auto" w:fill="auto"/>
            <w:vAlign w:val="center"/>
          </w:tcPr>
          <w:p w:rsidR="005A63D1" w:rsidRDefault="00DB5899" w14:paraId="00000187" w14:textId="77777777">
            <w:pPr>
              <w:pStyle w:val="Normal2"/>
              <w:spacing w:after="0" w:line="276" w:lineRule="auto"/>
              <w:ind w:left="0" w:firstLine="0"/>
              <w:jc w:val="center"/>
              <w:rPr>
                <w:rFonts w:cs="Calibri"/>
                <w:sz w:val="20"/>
                <w:szCs w:val="20"/>
              </w:rPr>
            </w:pPr>
            <w:r>
              <w:rPr>
                <w:rFonts w:cs="Calibri"/>
                <w:sz w:val="20"/>
                <w:szCs w:val="20"/>
              </w:rPr>
              <w:t>☐</w:t>
            </w:r>
          </w:p>
        </w:tc>
      </w:tr>
      <w:tr w:rsidR="005A63D1" w14:paraId="7270A39F" w14:textId="77777777">
        <w:tc>
          <w:tcPr>
            <w:tcW w:w="8212" w:type="dxa"/>
            <w:tcBorders>
              <w:top w:val="nil"/>
              <w:left w:val="single" w:color="3B3838" w:sz="6" w:space="0"/>
              <w:bottom w:val="single" w:color="3B3838" w:sz="6" w:space="0"/>
              <w:right w:val="single" w:color="3B3838" w:sz="6" w:space="0"/>
            </w:tcBorders>
            <w:shd w:val="clear" w:color="auto" w:fill="auto"/>
          </w:tcPr>
          <w:p w:rsidR="005A63D1" w:rsidRDefault="00DB5899" w14:paraId="00000188" w14:textId="77777777">
            <w:pPr>
              <w:pStyle w:val="Normal2"/>
              <w:numPr>
                <w:ilvl w:val="0"/>
                <w:numId w:val="7"/>
              </w:numPr>
              <w:pBdr>
                <w:top w:val="nil"/>
                <w:left w:val="nil"/>
                <w:bottom w:val="nil"/>
                <w:right w:val="nil"/>
                <w:between w:val="nil"/>
              </w:pBdr>
              <w:spacing w:after="0" w:line="276" w:lineRule="auto"/>
              <w:ind w:hanging="360"/>
              <w:rPr>
                <w:rFonts w:cs="Calibri"/>
                <w:sz w:val="20"/>
                <w:szCs w:val="20"/>
              </w:rPr>
            </w:pPr>
            <w:r>
              <w:rPr>
                <w:rFonts w:cs="Calibri"/>
                <w:sz w:val="20"/>
                <w:szCs w:val="20"/>
              </w:rPr>
              <w:t>Involve the construction, maintenance, and rehabilitation of critical infrastructure (i.e. dams, water impoundments, coastal and river bank infrastructure) that would require further technical assessment and safety studies? </w:t>
            </w:r>
          </w:p>
        </w:tc>
        <w:tc>
          <w:tcPr>
            <w:tcW w:w="581" w:type="dxa"/>
            <w:tcBorders>
              <w:top w:val="nil"/>
              <w:left w:val="nil"/>
              <w:bottom w:val="single" w:color="3B3838" w:sz="6" w:space="0"/>
              <w:right w:val="single" w:color="3B3838" w:sz="6" w:space="0"/>
            </w:tcBorders>
            <w:shd w:val="clear" w:color="auto" w:fill="auto"/>
            <w:vAlign w:val="center"/>
          </w:tcPr>
          <w:p w:rsidR="005A63D1" w:rsidRDefault="00DB5899" w14:paraId="00000189" w14:textId="77777777">
            <w:pPr>
              <w:pStyle w:val="Normal2"/>
              <w:spacing w:after="0" w:line="276" w:lineRule="auto"/>
              <w:ind w:left="0" w:firstLine="0"/>
              <w:jc w:val="center"/>
              <w:rPr>
                <w:rFonts w:cs="Calibri"/>
                <w:sz w:val="20"/>
                <w:szCs w:val="20"/>
              </w:rPr>
            </w:pPr>
            <w:r>
              <w:rPr>
                <w:rFonts w:cs="Calibri"/>
                <w:sz w:val="20"/>
                <w:szCs w:val="20"/>
              </w:rPr>
              <w:t>☐</w:t>
            </w:r>
          </w:p>
        </w:tc>
        <w:tc>
          <w:tcPr>
            <w:tcW w:w="551" w:type="dxa"/>
            <w:tcBorders>
              <w:top w:val="nil"/>
              <w:left w:val="nil"/>
              <w:bottom w:val="single" w:color="3B3838" w:sz="6" w:space="0"/>
              <w:right w:val="single" w:color="3B3838" w:sz="6" w:space="0"/>
            </w:tcBorders>
            <w:shd w:val="clear" w:color="auto" w:fill="auto"/>
            <w:vAlign w:val="center"/>
          </w:tcPr>
          <w:p w:rsidR="005A63D1" w:rsidRDefault="00DB5899" w14:paraId="0000018A" w14:textId="77777777">
            <w:pPr>
              <w:pStyle w:val="Normal2"/>
              <w:spacing w:after="0" w:line="276" w:lineRule="auto"/>
              <w:ind w:left="0" w:firstLine="0"/>
              <w:jc w:val="center"/>
              <w:rPr>
                <w:rFonts w:cs="Calibri"/>
                <w:sz w:val="20"/>
                <w:szCs w:val="20"/>
              </w:rPr>
            </w:pPr>
            <w:r>
              <w:rPr>
                <w:rFonts w:cs="Calibri"/>
                <w:sz w:val="20"/>
                <w:szCs w:val="20"/>
              </w:rPr>
              <w:t>☐</w:t>
            </w:r>
          </w:p>
        </w:tc>
      </w:tr>
      <w:tr w:rsidR="005A63D1" w14:paraId="3B601F5B" w14:textId="77777777">
        <w:tc>
          <w:tcPr>
            <w:tcW w:w="8212" w:type="dxa"/>
            <w:tcBorders>
              <w:top w:val="nil"/>
              <w:left w:val="single" w:color="3B3838" w:sz="6" w:space="0"/>
              <w:bottom w:val="single" w:color="3B3838" w:sz="6" w:space="0"/>
              <w:right w:val="single" w:color="3B3838" w:sz="6" w:space="0"/>
            </w:tcBorders>
            <w:shd w:val="clear" w:color="auto" w:fill="auto"/>
          </w:tcPr>
          <w:p w:rsidR="005A63D1" w:rsidRDefault="00DB5899" w14:paraId="0000018B" w14:textId="77777777">
            <w:pPr>
              <w:pStyle w:val="Normal2"/>
              <w:numPr>
                <w:ilvl w:val="0"/>
                <w:numId w:val="7"/>
              </w:numPr>
              <w:pBdr>
                <w:top w:val="nil"/>
                <w:left w:val="nil"/>
                <w:bottom w:val="nil"/>
                <w:right w:val="nil"/>
                <w:between w:val="nil"/>
              </w:pBdr>
              <w:spacing w:after="0" w:line="276" w:lineRule="auto"/>
              <w:ind w:hanging="360"/>
              <w:rPr>
                <w:rFonts w:cs="Calibri"/>
                <w:sz w:val="20"/>
                <w:szCs w:val="20"/>
              </w:rPr>
            </w:pPr>
            <w:r>
              <w:rPr>
                <w:rFonts w:cs="Calibri"/>
                <w:sz w:val="20"/>
                <w:szCs w:val="20"/>
              </w:rPr>
              <w:t>Involve the resettlement and dispossession, land acquisition, and economic displacement of persons and communities? </w:t>
            </w:r>
          </w:p>
        </w:tc>
        <w:tc>
          <w:tcPr>
            <w:tcW w:w="581" w:type="dxa"/>
            <w:tcBorders>
              <w:top w:val="nil"/>
              <w:left w:val="nil"/>
              <w:bottom w:val="single" w:color="3B3838" w:sz="6" w:space="0"/>
              <w:right w:val="single" w:color="3B3838" w:sz="6" w:space="0"/>
            </w:tcBorders>
            <w:shd w:val="clear" w:color="auto" w:fill="auto"/>
            <w:vAlign w:val="center"/>
          </w:tcPr>
          <w:p w:rsidR="005A63D1" w:rsidRDefault="00DB5899" w14:paraId="0000018C" w14:textId="77777777">
            <w:pPr>
              <w:pStyle w:val="Normal2"/>
              <w:spacing w:after="0" w:line="276" w:lineRule="auto"/>
              <w:ind w:left="0" w:firstLine="0"/>
              <w:jc w:val="center"/>
              <w:rPr>
                <w:rFonts w:cs="Calibri"/>
                <w:sz w:val="20"/>
                <w:szCs w:val="20"/>
              </w:rPr>
            </w:pPr>
            <w:r>
              <w:rPr>
                <w:rFonts w:cs="Calibri"/>
                <w:sz w:val="20"/>
                <w:szCs w:val="20"/>
              </w:rPr>
              <w:t>☐</w:t>
            </w:r>
          </w:p>
        </w:tc>
        <w:tc>
          <w:tcPr>
            <w:tcW w:w="551" w:type="dxa"/>
            <w:tcBorders>
              <w:top w:val="nil"/>
              <w:left w:val="nil"/>
              <w:bottom w:val="single" w:color="3B3838" w:sz="6" w:space="0"/>
              <w:right w:val="single" w:color="3B3838" w:sz="6" w:space="0"/>
            </w:tcBorders>
            <w:shd w:val="clear" w:color="auto" w:fill="auto"/>
            <w:vAlign w:val="center"/>
          </w:tcPr>
          <w:p w:rsidR="005A63D1" w:rsidRDefault="00DB5899" w14:paraId="0000018D" w14:textId="77777777">
            <w:pPr>
              <w:pStyle w:val="Normal2"/>
              <w:spacing w:after="0" w:line="276" w:lineRule="auto"/>
              <w:ind w:left="0" w:firstLine="0"/>
              <w:jc w:val="center"/>
              <w:rPr>
                <w:rFonts w:cs="Calibri"/>
                <w:sz w:val="20"/>
                <w:szCs w:val="20"/>
              </w:rPr>
            </w:pPr>
            <w:r>
              <w:rPr>
                <w:rFonts w:cs="Calibri"/>
                <w:sz w:val="20"/>
                <w:szCs w:val="20"/>
              </w:rPr>
              <w:t>☐</w:t>
            </w:r>
          </w:p>
        </w:tc>
      </w:tr>
      <w:tr w:rsidR="005A63D1" w14:paraId="24CB2879" w14:textId="77777777">
        <w:tc>
          <w:tcPr>
            <w:tcW w:w="8212" w:type="dxa"/>
            <w:tcBorders>
              <w:top w:val="nil"/>
              <w:left w:val="single" w:color="3B3838" w:sz="6" w:space="0"/>
              <w:bottom w:val="single" w:color="3B3838" w:sz="6" w:space="0"/>
              <w:right w:val="single" w:color="3B3838" w:sz="6" w:space="0"/>
            </w:tcBorders>
            <w:shd w:val="clear" w:color="auto" w:fill="auto"/>
          </w:tcPr>
          <w:p w:rsidR="005A63D1" w:rsidRDefault="00DB5899" w14:paraId="0000018E" w14:textId="77777777">
            <w:pPr>
              <w:pStyle w:val="Normal2"/>
              <w:numPr>
                <w:ilvl w:val="0"/>
                <w:numId w:val="7"/>
              </w:numPr>
              <w:pBdr>
                <w:top w:val="nil"/>
                <w:left w:val="nil"/>
                <w:bottom w:val="nil"/>
                <w:right w:val="nil"/>
                <w:between w:val="nil"/>
              </w:pBdr>
              <w:spacing w:after="0" w:line="276" w:lineRule="auto"/>
              <w:ind w:hanging="360"/>
              <w:rPr>
                <w:rFonts w:cs="Calibri"/>
                <w:sz w:val="20"/>
                <w:szCs w:val="20"/>
              </w:rPr>
            </w:pPr>
            <w:r>
              <w:rPr>
                <w:rFonts w:cs="Calibri"/>
                <w:sz w:val="20"/>
                <w:szCs w:val="20"/>
              </w:rPr>
              <w:t>Be located in protected areas and areas of ecological significance including critical habitats, key biodiversity areas and internationally recognized conservation sites? </w:t>
            </w:r>
          </w:p>
        </w:tc>
        <w:tc>
          <w:tcPr>
            <w:tcW w:w="581" w:type="dxa"/>
            <w:tcBorders>
              <w:top w:val="nil"/>
              <w:left w:val="nil"/>
              <w:bottom w:val="single" w:color="3B3838" w:sz="6" w:space="0"/>
              <w:right w:val="single" w:color="3B3838" w:sz="6" w:space="0"/>
            </w:tcBorders>
            <w:shd w:val="clear" w:color="auto" w:fill="auto"/>
            <w:vAlign w:val="center"/>
          </w:tcPr>
          <w:p w:rsidR="005A63D1" w:rsidRDefault="00DB5899" w14:paraId="0000018F" w14:textId="77777777">
            <w:pPr>
              <w:pStyle w:val="Normal2"/>
              <w:spacing w:after="0" w:line="276" w:lineRule="auto"/>
              <w:ind w:left="0" w:firstLine="0"/>
              <w:jc w:val="center"/>
              <w:rPr>
                <w:rFonts w:cs="Calibri"/>
                <w:sz w:val="20"/>
                <w:szCs w:val="20"/>
              </w:rPr>
            </w:pPr>
            <w:r>
              <w:rPr>
                <w:rFonts w:cs="Calibri"/>
                <w:sz w:val="20"/>
                <w:szCs w:val="20"/>
              </w:rPr>
              <w:t>☐</w:t>
            </w:r>
          </w:p>
        </w:tc>
        <w:tc>
          <w:tcPr>
            <w:tcW w:w="551" w:type="dxa"/>
            <w:tcBorders>
              <w:top w:val="nil"/>
              <w:left w:val="nil"/>
              <w:bottom w:val="single" w:color="3B3838" w:sz="6" w:space="0"/>
              <w:right w:val="single" w:color="3B3838" w:sz="6" w:space="0"/>
            </w:tcBorders>
            <w:shd w:val="clear" w:color="auto" w:fill="auto"/>
            <w:vAlign w:val="center"/>
          </w:tcPr>
          <w:p w:rsidR="005A63D1" w:rsidRDefault="00DB5899" w14:paraId="00000190" w14:textId="77777777">
            <w:pPr>
              <w:pStyle w:val="Normal2"/>
              <w:spacing w:after="0" w:line="276" w:lineRule="auto"/>
              <w:ind w:left="0" w:firstLine="0"/>
              <w:jc w:val="center"/>
              <w:rPr>
                <w:rFonts w:cs="Calibri"/>
                <w:sz w:val="20"/>
                <w:szCs w:val="20"/>
              </w:rPr>
            </w:pPr>
            <w:r>
              <w:rPr>
                <w:rFonts w:cs="Calibri"/>
                <w:sz w:val="20"/>
                <w:szCs w:val="20"/>
              </w:rPr>
              <w:t>☐</w:t>
            </w:r>
          </w:p>
        </w:tc>
      </w:tr>
      <w:tr w:rsidR="005A63D1" w14:paraId="7DEA8828" w14:textId="77777777">
        <w:tc>
          <w:tcPr>
            <w:tcW w:w="8212" w:type="dxa"/>
            <w:tcBorders>
              <w:top w:val="nil"/>
              <w:left w:val="single" w:color="3B3838" w:sz="6" w:space="0"/>
              <w:bottom w:val="single" w:color="3B3838" w:sz="6" w:space="0"/>
              <w:right w:val="single" w:color="3B3838" w:sz="6" w:space="0"/>
            </w:tcBorders>
            <w:shd w:val="clear" w:color="auto" w:fill="auto"/>
          </w:tcPr>
          <w:p w:rsidR="005A63D1" w:rsidRDefault="00DB5899" w14:paraId="00000191" w14:textId="77777777">
            <w:pPr>
              <w:pStyle w:val="Normal2"/>
              <w:numPr>
                <w:ilvl w:val="0"/>
                <w:numId w:val="7"/>
              </w:numPr>
              <w:pBdr>
                <w:top w:val="nil"/>
                <w:left w:val="nil"/>
                <w:bottom w:val="nil"/>
                <w:right w:val="nil"/>
                <w:between w:val="nil"/>
              </w:pBdr>
              <w:spacing w:after="0" w:line="276" w:lineRule="auto"/>
              <w:ind w:hanging="360"/>
              <w:rPr>
                <w:rFonts w:cs="Calibri"/>
                <w:sz w:val="20"/>
                <w:szCs w:val="20"/>
              </w:rPr>
            </w:pPr>
            <w:r>
              <w:rPr>
                <w:rFonts w:cs="Calibri"/>
                <w:sz w:val="20"/>
                <w:szCs w:val="20"/>
              </w:rPr>
              <w:t>Affect Indigenous Peoples that would require further due diligence, free, prior and informed consent (FPIC) and documentation of development plans? </w:t>
            </w:r>
          </w:p>
        </w:tc>
        <w:tc>
          <w:tcPr>
            <w:tcW w:w="581" w:type="dxa"/>
            <w:tcBorders>
              <w:top w:val="nil"/>
              <w:left w:val="nil"/>
              <w:bottom w:val="single" w:color="3B3838" w:sz="6" w:space="0"/>
              <w:right w:val="single" w:color="3B3838" w:sz="6" w:space="0"/>
            </w:tcBorders>
            <w:shd w:val="clear" w:color="auto" w:fill="auto"/>
            <w:vAlign w:val="center"/>
          </w:tcPr>
          <w:p w:rsidR="005A63D1" w:rsidRDefault="00DB5899" w14:paraId="00000192" w14:textId="77777777">
            <w:pPr>
              <w:pStyle w:val="Normal2"/>
              <w:spacing w:after="0" w:line="276" w:lineRule="auto"/>
              <w:ind w:left="0" w:firstLine="0"/>
              <w:rPr>
                <w:rFonts w:cs="Calibri"/>
                <w:sz w:val="20"/>
                <w:szCs w:val="20"/>
              </w:rPr>
            </w:pPr>
            <w:r>
              <w:rPr>
                <w:rFonts w:cs="Calibri"/>
                <w:sz w:val="20"/>
                <w:szCs w:val="20"/>
              </w:rPr>
              <w:t xml:space="preserve">    ☐</w:t>
            </w:r>
          </w:p>
        </w:tc>
        <w:tc>
          <w:tcPr>
            <w:tcW w:w="551" w:type="dxa"/>
            <w:tcBorders>
              <w:top w:val="nil"/>
              <w:left w:val="nil"/>
              <w:bottom w:val="single" w:color="3B3838" w:sz="6" w:space="0"/>
              <w:right w:val="single" w:color="3B3838" w:sz="6" w:space="0"/>
            </w:tcBorders>
            <w:shd w:val="clear" w:color="auto" w:fill="auto"/>
            <w:vAlign w:val="center"/>
          </w:tcPr>
          <w:p w:rsidR="005A63D1" w:rsidRDefault="00DB5899" w14:paraId="00000193" w14:textId="77777777">
            <w:pPr>
              <w:pStyle w:val="Normal2"/>
              <w:spacing w:after="0" w:line="276" w:lineRule="auto"/>
              <w:ind w:left="0" w:firstLine="0"/>
              <w:jc w:val="center"/>
              <w:rPr>
                <w:rFonts w:cs="Calibri"/>
                <w:sz w:val="20"/>
                <w:szCs w:val="20"/>
              </w:rPr>
            </w:pPr>
            <w:r>
              <w:rPr>
                <w:rFonts w:cs="Calibri"/>
                <w:sz w:val="20"/>
                <w:szCs w:val="20"/>
              </w:rPr>
              <w:t>☐</w:t>
            </w:r>
          </w:p>
        </w:tc>
      </w:tr>
      <w:tr w:rsidR="005A63D1" w14:paraId="794D99F0" w14:textId="77777777">
        <w:tc>
          <w:tcPr>
            <w:tcW w:w="8212" w:type="dxa"/>
            <w:tcBorders>
              <w:top w:val="nil"/>
              <w:left w:val="single" w:color="3B3838" w:sz="6" w:space="0"/>
              <w:bottom w:val="single" w:color="3B3838" w:sz="6" w:space="0"/>
              <w:right w:val="single" w:color="3B3838" w:sz="6" w:space="0"/>
            </w:tcBorders>
            <w:shd w:val="clear" w:color="auto" w:fill="auto"/>
          </w:tcPr>
          <w:p w:rsidR="005A63D1" w:rsidRDefault="00DB5899" w14:paraId="00000194" w14:textId="77777777">
            <w:pPr>
              <w:pStyle w:val="Normal2"/>
              <w:numPr>
                <w:ilvl w:val="0"/>
                <w:numId w:val="7"/>
              </w:numPr>
              <w:pBdr>
                <w:top w:val="nil"/>
                <w:left w:val="nil"/>
                <w:bottom w:val="nil"/>
                <w:right w:val="nil"/>
                <w:between w:val="nil"/>
              </w:pBdr>
              <w:spacing w:after="0" w:line="276" w:lineRule="auto"/>
              <w:ind w:hanging="360"/>
              <w:rPr>
                <w:rFonts w:cs="Calibri"/>
                <w:sz w:val="20"/>
                <w:szCs w:val="20"/>
              </w:rPr>
            </w:pPr>
            <w:r>
              <w:rPr>
                <w:rFonts w:cs="Calibri"/>
                <w:sz w:val="20"/>
                <w:szCs w:val="20"/>
              </w:rPr>
              <w:t>Be located in areas that considered to have archeological (prehistoric), paleontological, historical, cultural, artistic, and religious values or contains features considered as critical cultural heritage?  </w:t>
            </w:r>
          </w:p>
        </w:tc>
        <w:tc>
          <w:tcPr>
            <w:tcW w:w="581" w:type="dxa"/>
            <w:tcBorders>
              <w:top w:val="nil"/>
              <w:left w:val="nil"/>
              <w:bottom w:val="single" w:color="3B3838" w:sz="6" w:space="0"/>
              <w:right w:val="single" w:color="3B3838" w:sz="6" w:space="0"/>
            </w:tcBorders>
            <w:shd w:val="clear" w:color="auto" w:fill="auto"/>
            <w:vAlign w:val="center"/>
          </w:tcPr>
          <w:p w:rsidR="005A63D1" w:rsidRDefault="00DB5899" w14:paraId="00000195" w14:textId="77777777">
            <w:pPr>
              <w:pStyle w:val="Normal2"/>
              <w:spacing w:after="0" w:line="276" w:lineRule="auto"/>
              <w:ind w:left="0" w:firstLine="0"/>
              <w:jc w:val="center"/>
              <w:rPr>
                <w:rFonts w:cs="Calibri"/>
                <w:sz w:val="20"/>
                <w:szCs w:val="20"/>
              </w:rPr>
            </w:pPr>
            <w:r>
              <w:rPr>
                <w:rFonts w:cs="Calibri"/>
                <w:sz w:val="20"/>
                <w:szCs w:val="20"/>
              </w:rPr>
              <w:t>☐</w:t>
            </w:r>
          </w:p>
        </w:tc>
        <w:tc>
          <w:tcPr>
            <w:tcW w:w="551" w:type="dxa"/>
            <w:tcBorders>
              <w:top w:val="nil"/>
              <w:left w:val="nil"/>
              <w:bottom w:val="single" w:color="3B3838" w:sz="6" w:space="0"/>
              <w:right w:val="single" w:color="3B3838" w:sz="6" w:space="0"/>
            </w:tcBorders>
            <w:shd w:val="clear" w:color="auto" w:fill="auto"/>
            <w:vAlign w:val="center"/>
          </w:tcPr>
          <w:p w:rsidR="005A63D1" w:rsidRDefault="00DB5899" w14:paraId="00000196" w14:textId="77777777">
            <w:pPr>
              <w:pStyle w:val="Normal2"/>
              <w:spacing w:after="0" w:line="276" w:lineRule="auto"/>
              <w:ind w:left="0" w:firstLine="0"/>
              <w:jc w:val="center"/>
              <w:rPr>
                <w:rFonts w:cs="Calibri"/>
                <w:sz w:val="20"/>
                <w:szCs w:val="20"/>
              </w:rPr>
            </w:pPr>
            <w:r>
              <w:rPr>
                <w:rFonts w:cs="Calibri"/>
                <w:sz w:val="20"/>
                <w:szCs w:val="20"/>
              </w:rPr>
              <w:t>☐</w:t>
            </w:r>
          </w:p>
        </w:tc>
      </w:tr>
    </w:tbl>
    <w:p w:rsidR="005A63D1" w:rsidRDefault="005A63D1" w14:paraId="00000197" w14:textId="77777777">
      <w:pPr>
        <w:pStyle w:val="Normal2"/>
        <w:tabs>
          <w:tab w:val="left" w:pos="2250"/>
        </w:tabs>
        <w:spacing w:after="0" w:line="276" w:lineRule="auto"/>
        <w:ind w:left="0" w:firstLine="0"/>
        <w:rPr>
          <w:rFonts w:cs="Calibri"/>
          <w:b/>
          <w:sz w:val="20"/>
          <w:szCs w:val="20"/>
          <w:highlight w:val="yellow"/>
        </w:rPr>
      </w:pPr>
    </w:p>
    <w:p w:rsidR="005A63D1" w:rsidRDefault="00DB5899" w14:paraId="00000198" w14:textId="77777777">
      <w:pPr>
        <w:pStyle w:val="Normal2"/>
      </w:pPr>
      <w:r>
        <w:br w:type="page"/>
      </w:r>
    </w:p>
    <w:tbl>
      <w:tblPr>
        <w:tblStyle w:val="afff5"/>
        <w:tblpPr w:leftFromText="180" w:rightFromText="180" w:vertAnchor="text" w:tblpY="10"/>
        <w:tblW w:w="9525" w:type="dxa"/>
        <w:tblInd w:w="0" w:type="dxa"/>
        <w:tblBorders>
          <w:top w:val="single" w:color="3B3838" w:sz="4" w:space="0"/>
          <w:left w:val="single" w:color="3B3838" w:sz="4" w:space="0"/>
          <w:bottom w:val="single" w:color="3B3838" w:sz="4" w:space="0"/>
          <w:right w:val="single" w:color="3B3838" w:sz="4" w:space="0"/>
          <w:insideH w:val="single" w:color="3B3838" w:sz="4" w:space="0"/>
          <w:insideV w:val="single" w:color="3B3838" w:sz="4" w:space="0"/>
        </w:tblBorders>
        <w:tblLayout w:type="fixed"/>
        <w:tblLook w:val="0000" w:firstRow="0" w:lastRow="0" w:firstColumn="0" w:lastColumn="0" w:noHBand="0" w:noVBand="0"/>
      </w:tblPr>
      <w:tblGrid>
        <w:gridCol w:w="9525"/>
      </w:tblGrid>
      <w:tr w:rsidR="005A63D1" w14:paraId="763C458A" w14:textId="77777777">
        <w:trPr>
          <w:trHeight w:val="199"/>
        </w:trPr>
        <w:tc>
          <w:tcPr>
            <w:tcW w:w="9525" w:type="dxa"/>
            <w:shd w:val="clear" w:color="auto" w:fill="767171"/>
          </w:tcPr>
          <w:p w:rsidR="005A63D1" w:rsidRDefault="00DB5899" w14:paraId="00000199" w14:textId="77777777">
            <w:pPr>
              <w:pStyle w:val="Normal2"/>
              <w:spacing w:after="0"/>
              <w:ind w:left="90" w:firstLine="0"/>
              <w:jc w:val="center"/>
              <w:rPr>
                <w:rFonts w:cs="Calibri"/>
                <w:color w:val="FFFFFF"/>
                <w:sz w:val="24"/>
                <w:szCs w:val="24"/>
              </w:rPr>
            </w:pPr>
            <w:r>
              <w:rPr>
                <w:rFonts w:cs="Calibri"/>
                <w:b/>
                <w:color w:val="FFFFFF"/>
                <w:sz w:val="24"/>
                <w:szCs w:val="24"/>
              </w:rPr>
              <w:t>V. ENVIRONMENTAL AND SOCIAL SAFEGUARDS (ESS) SCREENING</w:t>
            </w:r>
          </w:p>
        </w:tc>
      </w:tr>
      <w:tr w:rsidR="005A63D1" w14:paraId="416393F8" w14:textId="77777777">
        <w:trPr>
          <w:trHeight w:val="20"/>
        </w:trPr>
        <w:tc>
          <w:tcPr>
            <w:tcW w:w="9525" w:type="dxa"/>
          </w:tcPr>
          <w:p w:rsidR="005A63D1" w:rsidRDefault="00DB5899" w14:paraId="0000019A" w14:textId="77777777">
            <w:pPr>
              <w:pStyle w:val="Normal2"/>
              <w:spacing w:after="0"/>
              <w:ind w:left="0" w:firstLine="0"/>
              <w:rPr>
                <w:rFonts w:cs="Calibri"/>
                <w:sz w:val="20"/>
                <w:szCs w:val="20"/>
              </w:rPr>
            </w:pPr>
            <w:r>
              <w:rPr>
                <w:rFonts w:cs="Calibri"/>
                <w:sz w:val="20"/>
                <w:szCs w:val="20"/>
              </w:rPr>
              <w:t xml:space="preserve">This section will help the CI-GEF/GCF Agencies to determine the category of the project and the ESS Standards triggered by the project. Please provide accurate answers and details including supporting documents, where requested. </w:t>
            </w:r>
          </w:p>
        </w:tc>
      </w:tr>
    </w:tbl>
    <w:p w:rsidR="005A63D1" w:rsidRDefault="005A63D1" w14:paraId="0000019B" w14:textId="77777777">
      <w:pPr>
        <w:pStyle w:val="Normal2"/>
        <w:tabs>
          <w:tab w:val="left" w:pos="2250"/>
        </w:tabs>
        <w:spacing w:after="0" w:line="276" w:lineRule="auto"/>
        <w:ind w:left="0" w:firstLine="0"/>
        <w:rPr>
          <w:rFonts w:cs="Calibri"/>
          <w:b/>
          <w:sz w:val="12"/>
          <w:szCs w:val="12"/>
          <w:highlight w:val="yellow"/>
        </w:rPr>
      </w:pPr>
    </w:p>
    <w:tbl>
      <w:tblPr>
        <w:tblStyle w:val="afff6"/>
        <w:tblW w:w="9630" w:type="dxa"/>
        <w:tblInd w:w="-3"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7425"/>
        <w:gridCol w:w="1020"/>
        <w:gridCol w:w="1080"/>
        <w:gridCol w:w="105"/>
      </w:tblGrid>
      <w:tr w:rsidR="005A63D1" w14:paraId="41745FA8" w14:textId="77777777">
        <w:trPr>
          <w:gridAfter w:val="1"/>
        </w:trPr>
        <w:tc>
          <w:tcPr>
            <w:tcW w:w="9525" w:type="dxa"/>
            <w:gridSpan w:val="3"/>
            <w:shd w:val="clear" w:color="auto" w:fill="7B7B7B"/>
            <w:vAlign w:val="center"/>
          </w:tcPr>
          <w:p w:rsidR="005A63D1" w:rsidRDefault="00DB5899" w14:paraId="0000019C" w14:textId="77777777">
            <w:pPr>
              <w:pStyle w:val="Normal2"/>
              <w:keepNext/>
              <w:tabs>
                <w:tab w:val="left" w:pos="2250"/>
              </w:tabs>
              <w:spacing w:after="0" w:line="276" w:lineRule="auto"/>
              <w:ind w:left="0" w:firstLine="0"/>
              <w:rPr>
                <w:rFonts w:cs="Calibri"/>
                <w:b/>
                <w:color w:val="FFFFFF"/>
              </w:rPr>
            </w:pPr>
            <w:r>
              <w:rPr>
                <w:rFonts w:cs="Calibri"/>
                <w:b/>
                <w:color w:val="FFFFFF"/>
                <w:u w:val="single"/>
              </w:rPr>
              <w:t>ESS1</w:t>
            </w:r>
            <w:r>
              <w:rPr>
                <w:rFonts w:cs="Calibri"/>
                <w:b/>
                <w:color w:val="FFFFFF"/>
              </w:rPr>
              <w:t>: Environmental and Social Impact Assessment</w:t>
            </w:r>
          </w:p>
        </w:tc>
      </w:tr>
      <w:tr w:rsidR="005A63D1" w14:paraId="0B4A63D4" w14:textId="77777777">
        <w:trPr>
          <w:gridAfter w:val="1"/>
        </w:trPr>
        <w:tc>
          <w:tcPr>
            <w:tcW w:w="9525" w:type="dxa"/>
            <w:gridSpan w:val="3"/>
            <w:shd w:val="clear" w:color="auto" w:fill="EDEDED"/>
          </w:tcPr>
          <w:p w:rsidR="005A63D1" w:rsidRDefault="00DB5899" w14:paraId="0000019F" w14:textId="77777777">
            <w:pPr>
              <w:pStyle w:val="Normal2"/>
              <w:keepNext/>
              <w:tabs>
                <w:tab w:val="left" w:pos="2250"/>
              </w:tabs>
              <w:spacing w:after="0" w:line="276" w:lineRule="auto"/>
              <w:ind w:left="0" w:firstLine="0"/>
              <w:rPr>
                <w:rFonts w:cs="Calibri"/>
                <w:sz w:val="20"/>
                <w:szCs w:val="20"/>
              </w:rPr>
            </w:pPr>
            <w:r>
              <w:rPr>
                <w:rFonts w:cs="Calibri"/>
                <w:sz w:val="20"/>
                <w:szCs w:val="20"/>
              </w:rPr>
              <w:t>Will the project potentially:</w:t>
            </w:r>
          </w:p>
          <w:p w:rsidR="005A63D1" w:rsidRDefault="00DB5899" w14:paraId="000001A0" w14:textId="77777777">
            <w:pPr>
              <w:pStyle w:val="Normal2"/>
              <w:keepNext/>
              <w:numPr>
                <w:ilvl w:val="0"/>
                <w:numId w:val="14"/>
              </w:numPr>
              <w:pBdr>
                <w:top w:val="nil"/>
                <w:left w:val="nil"/>
                <w:bottom w:val="nil"/>
                <w:right w:val="nil"/>
                <w:between w:val="nil"/>
              </w:pBdr>
              <w:tabs>
                <w:tab w:val="left" w:pos="2250"/>
              </w:tabs>
              <w:spacing w:after="0" w:line="276" w:lineRule="auto"/>
              <w:ind w:left="505" w:hanging="450"/>
              <w:rPr>
                <w:rFonts w:cs="Calibri"/>
                <w:sz w:val="20"/>
                <w:szCs w:val="20"/>
              </w:rPr>
            </w:pPr>
            <w:r>
              <w:rPr>
                <w:rFonts w:cs="Calibri"/>
                <w:sz w:val="20"/>
                <w:szCs w:val="20"/>
              </w:rPr>
              <w:t>cause significant adverse environmental and social impacts (which may affect an area broader than the project area) that are sensitive, diverse, or unprecedented?</w:t>
            </w:r>
          </w:p>
          <w:p w:rsidR="005A63D1" w:rsidRDefault="00DB5899" w14:paraId="000001A1" w14:textId="77777777">
            <w:pPr>
              <w:pStyle w:val="Normal2"/>
              <w:keepNext/>
              <w:numPr>
                <w:ilvl w:val="0"/>
                <w:numId w:val="14"/>
              </w:numPr>
              <w:pBdr>
                <w:top w:val="nil"/>
                <w:left w:val="nil"/>
                <w:bottom w:val="nil"/>
                <w:right w:val="nil"/>
                <w:between w:val="nil"/>
              </w:pBdr>
              <w:tabs>
                <w:tab w:val="left" w:pos="2250"/>
              </w:tabs>
              <w:spacing w:after="0" w:line="276" w:lineRule="auto"/>
              <w:ind w:left="505" w:hanging="450"/>
              <w:rPr>
                <w:rFonts w:cs="Calibri"/>
                <w:sz w:val="20"/>
                <w:szCs w:val="20"/>
              </w:rPr>
            </w:pPr>
            <w:r>
              <w:rPr>
                <w:rFonts w:cs="Calibri"/>
                <w:sz w:val="20"/>
                <w:szCs w:val="20"/>
              </w:rPr>
              <w:t>cause adverse environmental and social impacts (which are site-specific and few if any of them are irreversible) on human populations or environmentally or socially important areas?</w:t>
            </w:r>
          </w:p>
          <w:p w:rsidR="005A63D1" w:rsidRDefault="00DB5899" w14:paraId="000001A2" w14:textId="77777777">
            <w:pPr>
              <w:pStyle w:val="Normal2"/>
              <w:spacing w:after="0" w:line="276" w:lineRule="auto"/>
              <w:ind w:firstLine="0"/>
              <w:rPr>
                <w:rFonts w:cs="Calibri"/>
                <w:sz w:val="20"/>
                <w:szCs w:val="20"/>
              </w:rPr>
            </w:pPr>
            <w:r>
              <w:t>☒</w:t>
            </w:r>
            <w:r>
              <w:rPr>
                <w:rFonts w:cs="Calibri"/>
                <w:sz w:val="20"/>
                <w:szCs w:val="20"/>
              </w:rPr>
              <w:t xml:space="preserve"> NO (to all of the above)</w:t>
            </w:r>
          </w:p>
          <w:p w:rsidR="005A63D1" w:rsidRDefault="00DB5899" w14:paraId="000001A3" w14:textId="77777777">
            <w:pPr>
              <w:pStyle w:val="Normal2"/>
              <w:spacing w:after="0" w:line="276" w:lineRule="auto"/>
              <w:ind w:firstLine="0"/>
              <w:rPr>
                <w:rFonts w:cs="Calibri"/>
                <w:sz w:val="20"/>
                <w:szCs w:val="20"/>
              </w:rPr>
            </w:pPr>
            <w:r>
              <w:t>☐</w:t>
            </w:r>
            <w:r>
              <w:rPr>
                <w:rFonts w:cs="Calibri"/>
                <w:sz w:val="20"/>
                <w:szCs w:val="20"/>
              </w:rPr>
              <w:t xml:space="preserve"> TO BE DETERMINED</w:t>
            </w:r>
          </w:p>
          <w:p w:rsidR="005A63D1" w:rsidRDefault="00DB5899" w14:paraId="000001A4" w14:textId="77777777">
            <w:pPr>
              <w:pStyle w:val="Normal2"/>
              <w:spacing w:after="0" w:line="276" w:lineRule="auto"/>
              <w:ind w:firstLine="0"/>
              <w:rPr>
                <w:rFonts w:cs="Calibri"/>
                <w:sz w:val="20"/>
                <w:szCs w:val="20"/>
              </w:rPr>
            </w:pPr>
            <w:r>
              <w:rPr>
                <w:rFonts w:cs="Calibri"/>
                <w:sz w:val="20"/>
                <w:szCs w:val="20"/>
              </w:rPr>
              <w:t>☐</w:t>
            </w:r>
            <w:r>
              <w:rPr>
                <w:rFonts w:cs="Calibri"/>
                <w:sz w:val="20"/>
                <w:szCs w:val="20"/>
              </w:rPr>
              <w:t xml:space="preserve"> YES (to any of the above)</w:t>
            </w:r>
          </w:p>
          <w:p w:rsidR="005A63D1" w:rsidRDefault="00DB5899" w14:paraId="000001A5" w14:textId="77777777">
            <w:pPr>
              <w:pStyle w:val="Normal2"/>
              <w:shd w:val="clear" w:color="auto" w:fill="FFFFFF"/>
              <w:spacing w:after="200" w:line="259" w:lineRule="auto"/>
              <w:ind w:left="0" w:firstLine="0"/>
              <w:rPr>
                <w:sz w:val="21"/>
                <w:szCs w:val="21"/>
              </w:rPr>
            </w:pPr>
            <w:r>
              <w:rPr>
                <w:sz w:val="21"/>
                <w:szCs w:val="21"/>
              </w:rPr>
              <w:t>It is not expected that the project will cause significant adverse environmental and social impacts, or adverse envionmental and social impacts on human populations or environmentally or socially important areas in addition to those risks already covered in ESS 2, 3 and 4 below.</w:t>
            </w:r>
          </w:p>
          <w:p w:rsidR="005A63D1" w:rsidRDefault="00DB5899" w14:paraId="000001A6" w14:textId="77777777">
            <w:pPr>
              <w:pStyle w:val="Normal2"/>
              <w:shd w:val="clear" w:color="auto" w:fill="FFFFFF"/>
              <w:spacing w:after="200" w:line="259" w:lineRule="auto"/>
              <w:ind w:left="0" w:firstLine="0"/>
              <w:rPr>
                <w:rFonts w:cs="Calibri"/>
                <w:sz w:val="20"/>
                <w:szCs w:val="20"/>
              </w:rPr>
            </w:pPr>
            <w:r>
              <w:rPr>
                <w:b/>
                <w:sz w:val="21"/>
                <w:szCs w:val="21"/>
              </w:rPr>
              <w:t>Stakeholder engagement:</w:t>
            </w:r>
            <w:r>
              <w:rPr>
                <w:sz w:val="21"/>
                <w:szCs w:val="21"/>
              </w:rPr>
              <w:t xml:space="preserve"> It has been found that governments' communication with the marketers and artisanal fisheries representatives to inform them of important information (i.e. new regulations etc.) has not been very strong until now (CMAR Pacífico 2015). Project management will have to ensure that all rights holders and stakeholders possibly affected by activities or new measures imposed as part of/supported by the project are duly informed. Moreover, efforts should be made to ensure the participation of affected rights holder</w:t>
            </w:r>
            <w:r>
              <w:rPr>
                <w:sz w:val="21"/>
                <w:szCs w:val="21"/>
              </w:rPr>
              <w:t>s and stakeholders in relevant decision-making processes and other project initiatives (e.g. as part of Output 1.1.2: National commissions and regional working groups established/strengthened and regulated, and Output 1.2.1: Implementation of a financial sustainability strategy that aligns existing and new donors for CMAR and its associated instruments; in the design of activities under Components 2 and 3 that could affect the communities, i.e working groups; and to participate in and benefit from IW: Learn</w:t>
            </w:r>
            <w:r>
              <w:rPr>
                <w:sz w:val="21"/>
                <w:szCs w:val="21"/>
              </w:rPr>
              <w:t xml:space="preserve"> and regional and international exchanges under Component 4). Likewise, when providing capacity-building (i.e. as part of Output 1.1.3: Strengthened capacity of CMAR (CMAR secretariat, ministerial committee, regional technical committee, national commissions, regional technical working groups, MPA managers on regional marine management and other relevant stakeholders)), it will be important to guarantee that gender and inclusivity is ensured so that the interests of all community users in relevant activitie</w:t>
            </w:r>
            <w:r>
              <w:rPr>
                <w:sz w:val="21"/>
                <w:szCs w:val="21"/>
              </w:rPr>
              <w:t>s in relation to governance are considered. Finally, communication of relevant information should be done in an adequate and timely manner, i.e. the Communication Strategy to be developed under Component 4 will need to include appropriate guidance and strategies for engagement with women, marginalised groups and communities of users of the MPAs as a whole to ensure better buy-in and adoption of sustainability practices.</w:t>
            </w:r>
          </w:p>
          <w:p w:rsidR="005A63D1" w:rsidRDefault="005A63D1" w14:paraId="000001A7" w14:textId="77777777">
            <w:pPr>
              <w:pStyle w:val="Normal2"/>
              <w:keepNext/>
              <w:pBdr>
                <w:top w:val="nil"/>
                <w:left w:val="nil"/>
                <w:bottom w:val="nil"/>
                <w:right w:val="nil"/>
                <w:between w:val="nil"/>
              </w:pBdr>
              <w:tabs>
                <w:tab w:val="left" w:pos="2250"/>
              </w:tabs>
              <w:spacing w:after="0" w:line="276" w:lineRule="auto"/>
              <w:ind w:left="720" w:firstLine="0"/>
              <w:rPr>
                <w:sz w:val="20"/>
                <w:szCs w:val="20"/>
              </w:rPr>
            </w:pPr>
          </w:p>
          <w:p w:rsidR="005A63D1" w:rsidRDefault="00DB5899" w14:paraId="000001A8" w14:textId="77777777">
            <w:pPr>
              <w:pStyle w:val="Normal2"/>
              <w:keepNext/>
              <w:numPr>
                <w:ilvl w:val="0"/>
                <w:numId w:val="14"/>
              </w:numPr>
              <w:pBdr>
                <w:top w:val="nil"/>
                <w:left w:val="nil"/>
                <w:bottom w:val="nil"/>
                <w:right w:val="nil"/>
                <w:between w:val="nil"/>
              </w:pBdr>
              <w:tabs>
                <w:tab w:val="left" w:pos="2250"/>
              </w:tabs>
              <w:spacing w:after="0" w:line="276" w:lineRule="auto"/>
              <w:ind w:left="415"/>
              <w:rPr>
                <w:rFonts w:cs="Calibri"/>
                <w:sz w:val="20"/>
                <w:szCs w:val="20"/>
              </w:rPr>
            </w:pPr>
            <w:r>
              <w:rPr>
                <w:rFonts w:cs="Calibri"/>
                <w:sz w:val="20"/>
                <w:szCs w:val="20"/>
              </w:rPr>
              <w:t xml:space="preserve">Has a full or limited ESIA that covers the proposed project already been completed? </w:t>
            </w:r>
          </w:p>
          <w:p w:rsidR="005A63D1" w:rsidRDefault="00DB5899" w14:paraId="000001A9" w14:textId="77777777">
            <w:pPr>
              <w:pStyle w:val="Normal2"/>
              <w:spacing w:after="0" w:line="276" w:lineRule="auto"/>
              <w:ind w:firstLine="0"/>
              <w:rPr>
                <w:rFonts w:cs="Calibri"/>
                <w:sz w:val="20"/>
                <w:szCs w:val="20"/>
              </w:rPr>
            </w:pPr>
            <w:r>
              <w:t>☒</w:t>
            </w:r>
            <w:r>
              <w:rPr>
                <w:rFonts w:cs="Calibri"/>
                <w:sz w:val="20"/>
                <w:szCs w:val="20"/>
              </w:rPr>
              <w:t xml:space="preserve"> NO </w:t>
            </w:r>
          </w:p>
          <w:p w:rsidR="005A63D1" w:rsidRDefault="00DB5899" w14:paraId="000001AA" w14:textId="77777777">
            <w:pPr>
              <w:pStyle w:val="Normal2"/>
              <w:spacing w:after="0" w:line="276" w:lineRule="auto"/>
              <w:ind w:firstLine="0"/>
              <w:rPr>
                <w:rFonts w:cs="Calibri"/>
                <w:sz w:val="20"/>
                <w:szCs w:val="20"/>
              </w:rPr>
            </w:pPr>
            <w:r>
              <w:rPr>
                <w:rFonts w:cs="Calibri"/>
                <w:sz w:val="20"/>
                <w:szCs w:val="20"/>
              </w:rPr>
              <w:t>☐</w:t>
            </w:r>
            <w:r>
              <w:rPr>
                <w:rFonts w:cs="Calibri"/>
                <w:sz w:val="20"/>
                <w:szCs w:val="20"/>
              </w:rPr>
              <w:t xml:space="preserve"> YES (If Yes, answer the following)</w:t>
            </w:r>
          </w:p>
        </w:tc>
      </w:tr>
      <w:tr w:rsidR="005A63D1" w14:paraId="6E949A8B" w14:textId="77777777">
        <w:trPr>
          <w:gridAfter w:val="1"/>
        </w:trPr>
        <w:tc>
          <w:tcPr>
            <w:tcW w:w="7425" w:type="dxa"/>
            <w:tcBorders>
              <w:top w:val="nil"/>
              <w:left w:val="single" w:color="000000" w:sz="4" w:space="0"/>
              <w:bottom w:val="single" w:color="000000" w:sz="4" w:space="0"/>
              <w:right w:val="single" w:color="000000" w:sz="4" w:space="0"/>
            </w:tcBorders>
          </w:tcPr>
          <w:p w:rsidR="005A63D1" w:rsidRDefault="00DB5899" w14:paraId="000001AD" w14:textId="77777777">
            <w:pPr>
              <w:pStyle w:val="Normal2"/>
              <w:numPr>
                <w:ilvl w:val="0"/>
                <w:numId w:val="14"/>
              </w:numPr>
              <w:pBdr>
                <w:top w:val="nil"/>
                <w:left w:val="nil"/>
                <w:bottom w:val="nil"/>
                <w:right w:val="nil"/>
                <w:between w:val="nil"/>
              </w:pBdr>
              <w:tabs>
                <w:tab w:val="left" w:pos="2250"/>
              </w:tabs>
              <w:spacing w:after="0" w:line="276" w:lineRule="auto"/>
              <w:ind w:left="415"/>
              <w:rPr>
                <w:rFonts w:cs="Calibri"/>
                <w:sz w:val="20"/>
                <w:szCs w:val="20"/>
              </w:rPr>
            </w:pPr>
            <w:r>
              <w:rPr>
                <w:rFonts w:cs="Calibri"/>
                <w:sz w:val="20"/>
                <w:szCs w:val="20"/>
              </w:rPr>
              <w:t xml:space="preserve">Is the assessment a: ☐ A FULL ESIA        ☐ A LIMITED ESIA                                                         </w:t>
            </w:r>
          </w:p>
        </w:tc>
        <w:tc>
          <w:tcPr>
            <w:tcW w:w="1020" w:type="dxa"/>
            <w:tcBorders>
              <w:top w:val="single" w:color="000000" w:sz="4" w:space="0"/>
              <w:left w:val="single" w:color="000000" w:sz="4" w:space="0"/>
              <w:bottom w:val="single" w:color="000000" w:sz="4" w:space="0"/>
              <w:right w:val="single" w:color="000000" w:sz="4" w:space="0"/>
            </w:tcBorders>
            <w:shd w:val="clear" w:color="auto" w:fill="D9D9D9"/>
            <w:vAlign w:val="center"/>
          </w:tcPr>
          <w:p w:rsidR="005A63D1" w:rsidRDefault="00DB5899" w14:paraId="000001AE" w14:textId="77777777">
            <w:pPr>
              <w:pStyle w:val="Normal2"/>
              <w:tabs>
                <w:tab w:val="left" w:pos="2250"/>
              </w:tabs>
              <w:spacing w:after="0" w:line="276" w:lineRule="auto"/>
              <w:ind w:left="0" w:firstLine="0"/>
              <w:rPr>
                <w:rFonts w:cs="Calibri"/>
                <w:b/>
                <w:sz w:val="20"/>
                <w:szCs w:val="20"/>
              </w:rPr>
            </w:pPr>
            <w:r>
              <w:rPr>
                <w:rFonts w:cs="Calibri"/>
                <w:b/>
                <w:sz w:val="20"/>
                <w:szCs w:val="20"/>
              </w:rPr>
              <w:t>Yes</w:t>
            </w:r>
          </w:p>
        </w:tc>
        <w:tc>
          <w:tcPr>
            <w:tcW w:w="1080" w:type="dxa"/>
            <w:tcBorders>
              <w:top w:val="single" w:color="000000" w:sz="4" w:space="0"/>
              <w:left w:val="single" w:color="000000" w:sz="4" w:space="0"/>
              <w:bottom w:val="single" w:color="000000" w:sz="4" w:space="0"/>
              <w:right w:val="single" w:color="000000" w:sz="4" w:space="0"/>
            </w:tcBorders>
            <w:shd w:val="clear" w:color="auto" w:fill="D9D9D9"/>
            <w:vAlign w:val="center"/>
          </w:tcPr>
          <w:p w:rsidR="005A63D1" w:rsidRDefault="00DB5899" w14:paraId="000001AF" w14:textId="77777777">
            <w:pPr>
              <w:pStyle w:val="Normal2"/>
              <w:tabs>
                <w:tab w:val="left" w:pos="2250"/>
              </w:tabs>
              <w:spacing w:after="0" w:line="276" w:lineRule="auto"/>
              <w:ind w:left="0" w:firstLine="0"/>
              <w:rPr>
                <w:rFonts w:cs="Calibri"/>
                <w:b/>
                <w:sz w:val="20"/>
                <w:szCs w:val="20"/>
              </w:rPr>
            </w:pPr>
            <w:r>
              <w:rPr>
                <w:rFonts w:cs="Calibri"/>
                <w:b/>
                <w:sz w:val="20"/>
                <w:szCs w:val="20"/>
              </w:rPr>
              <w:t>No</w:t>
            </w:r>
          </w:p>
        </w:tc>
      </w:tr>
      <w:tr w:rsidR="005A63D1" w14:paraId="10DF79C8" w14:textId="77777777">
        <w:trPr>
          <w:gridAfter w:val="1"/>
        </w:trPr>
        <w:tc>
          <w:tcPr>
            <w:tcW w:w="7425" w:type="dxa"/>
            <w:tcBorders>
              <w:top w:val="single" w:color="000000" w:sz="4" w:space="0"/>
              <w:left w:val="single" w:color="000000" w:sz="4" w:space="0"/>
              <w:bottom w:val="single" w:color="000000" w:sz="4" w:space="0"/>
              <w:right w:val="single" w:color="000000" w:sz="4" w:space="0"/>
            </w:tcBorders>
          </w:tcPr>
          <w:p w:rsidR="005A63D1" w:rsidRDefault="00DB5899" w14:paraId="000001B0" w14:textId="77777777">
            <w:pPr>
              <w:pStyle w:val="Normal2"/>
              <w:numPr>
                <w:ilvl w:val="0"/>
                <w:numId w:val="14"/>
              </w:numPr>
              <w:pBdr>
                <w:top w:val="nil"/>
                <w:left w:val="nil"/>
                <w:bottom w:val="nil"/>
                <w:right w:val="nil"/>
                <w:between w:val="nil"/>
              </w:pBdr>
              <w:tabs>
                <w:tab w:val="left" w:pos="2250"/>
              </w:tabs>
              <w:spacing w:after="0" w:line="276" w:lineRule="auto"/>
              <w:ind w:left="415"/>
              <w:rPr>
                <w:rFonts w:cs="Calibri"/>
                <w:sz w:val="20"/>
                <w:szCs w:val="20"/>
              </w:rPr>
            </w:pPr>
            <w:r>
              <w:rPr>
                <w:rFonts w:cs="Calibri"/>
                <w:sz w:val="20"/>
                <w:szCs w:val="20"/>
              </w:rPr>
              <w:t>Does the assessment meet its terms of reference, both procedurally and substantively?</w:t>
            </w:r>
          </w:p>
        </w:tc>
        <w:tc>
          <w:tcPr>
            <w:tcW w:w="1020" w:type="dxa"/>
            <w:tcBorders>
              <w:top w:val="single" w:color="000000" w:sz="4" w:space="0"/>
              <w:left w:val="single" w:color="000000" w:sz="4" w:space="0"/>
              <w:bottom w:val="single" w:color="000000" w:sz="4" w:space="0"/>
              <w:right w:val="single" w:color="000000" w:sz="4" w:space="0"/>
            </w:tcBorders>
            <w:vAlign w:val="center"/>
          </w:tcPr>
          <w:p w:rsidR="005A63D1" w:rsidRDefault="00DB5899" w14:paraId="000001B1" w14:textId="77777777">
            <w:pPr>
              <w:pStyle w:val="Normal2"/>
              <w:tabs>
                <w:tab w:val="left" w:pos="2250"/>
              </w:tabs>
              <w:spacing w:after="0" w:line="276" w:lineRule="auto"/>
              <w:ind w:left="0" w:firstLine="0"/>
              <w:rPr>
                <w:rFonts w:cs="Calibri"/>
                <w:b/>
                <w:sz w:val="20"/>
                <w:szCs w:val="20"/>
              </w:rPr>
            </w:pPr>
            <w:r>
              <w:rPr>
                <w:rFonts w:cs="Calibri"/>
                <w:b/>
                <w:sz w:val="20"/>
                <w:szCs w:val="20"/>
              </w:rPr>
              <w:t>☐</w:t>
            </w:r>
          </w:p>
        </w:tc>
        <w:tc>
          <w:tcPr>
            <w:tcW w:w="1080" w:type="dxa"/>
            <w:tcBorders>
              <w:top w:val="single" w:color="000000" w:sz="4" w:space="0"/>
              <w:left w:val="single" w:color="000000" w:sz="4" w:space="0"/>
              <w:bottom w:val="single" w:color="000000" w:sz="4" w:space="0"/>
              <w:right w:val="single" w:color="000000" w:sz="4" w:space="0"/>
            </w:tcBorders>
            <w:vAlign w:val="center"/>
          </w:tcPr>
          <w:p w:rsidR="005A63D1" w:rsidRDefault="00DB5899" w14:paraId="000001B2" w14:textId="77777777">
            <w:pPr>
              <w:pStyle w:val="Normal2"/>
              <w:tabs>
                <w:tab w:val="left" w:pos="2250"/>
              </w:tabs>
              <w:spacing w:after="0" w:line="276" w:lineRule="auto"/>
              <w:ind w:left="0" w:firstLine="0"/>
              <w:rPr>
                <w:rFonts w:cs="Calibri"/>
                <w:b/>
                <w:sz w:val="20"/>
                <w:szCs w:val="20"/>
              </w:rPr>
            </w:pPr>
            <w:r>
              <w:rPr>
                <w:rFonts w:cs="Calibri"/>
                <w:b/>
                <w:sz w:val="20"/>
                <w:szCs w:val="20"/>
              </w:rPr>
              <w:t>☐</w:t>
            </w:r>
          </w:p>
        </w:tc>
      </w:tr>
      <w:tr w:rsidR="005A63D1" w14:paraId="2CB65301" w14:textId="77777777">
        <w:trPr>
          <w:gridAfter w:val="1"/>
        </w:trPr>
        <w:tc>
          <w:tcPr>
            <w:tcW w:w="7425" w:type="dxa"/>
            <w:tcBorders>
              <w:top w:val="single" w:color="000000" w:sz="4" w:space="0"/>
              <w:left w:val="single" w:color="000000" w:sz="4" w:space="0"/>
              <w:bottom w:val="single" w:color="000000" w:sz="4" w:space="0"/>
              <w:right w:val="single" w:color="000000" w:sz="4" w:space="0"/>
            </w:tcBorders>
          </w:tcPr>
          <w:p w:rsidR="005A63D1" w:rsidRDefault="00DB5899" w14:paraId="000001B3" w14:textId="77777777">
            <w:pPr>
              <w:pStyle w:val="Normal2"/>
              <w:numPr>
                <w:ilvl w:val="0"/>
                <w:numId w:val="14"/>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3. Does the assessment provide a satisfactory assessment of the proposed project?</w:t>
            </w:r>
          </w:p>
        </w:tc>
        <w:tc>
          <w:tcPr>
            <w:tcW w:w="1020" w:type="dxa"/>
            <w:tcBorders>
              <w:top w:val="single" w:color="000000" w:sz="4" w:space="0"/>
              <w:left w:val="single" w:color="000000" w:sz="4" w:space="0"/>
              <w:bottom w:val="single" w:color="000000" w:sz="4" w:space="0"/>
              <w:right w:val="single" w:color="000000" w:sz="4" w:space="0"/>
            </w:tcBorders>
            <w:vAlign w:val="center"/>
          </w:tcPr>
          <w:p w:rsidR="005A63D1" w:rsidRDefault="00DB5899" w14:paraId="000001B4" w14:textId="77777777">
            <w:pPr>
              <w:pStyle w:val="Normal2"/>
              <w:tabs>
                <w:tab w:val="left" w:pos="2250"/>
              </w:tabs>
              <w:spacing w:after="0" w:line="276" w:lineRule="auto"/>
              <w:ind w:left="0" w:firstLine="0"/>
              <w:rPr>
                <w:rFonts w:cs="Calibri"/>
                <w:b/>
                <w:sz w:val="20"/>
                <w:szCs w:val="20"/>
              </w:rPr>
            </w:pPr>
            <w:r>
              <w:rPr>
                <w:rFonts w:cs="Calibri"/>
                <w:b/>
                <w:sz w:val="20"/>
                <w:szCs w:val="20"/>
              </w:rPr>
              <w:t>☐</w:t>
            </w:r>
          </w:p>
        </w:tc>
        <w:tc>
          <w:tcPr>
            <w:tcW w:w="1080" w:type="dxa"/>
            <w:tcBorders>
              <w:top w:val="single" w:color="000000" w:sz="4" w:space="0"/>
              <w:left w:val="single" w:color="000000" w:sz="4" w:space="0"/>
              <w:bottom w:val="single" w:color="000000" w:sz="4" w:space="0"/>
              <w:right w:val="single" w:color="000000" w:sz="4" w:space="0"/>
            </w:tcBorders>
            <w:vAlign w:val="center"/>
          </w:tcPr>
          <w:p w:rsidR="005A63D1" w:rsidRDefault="00DB5899" w14:paraId="000001B5" w14:textId="77777777">
            <w:pPr>
              <w:pStyle w:val="Normal2"/>
              <w:tabs>
                <w:tab w:val="left" w:pos="2250"/>
              </w:tabs>
              <w:spacing w:after="0" w:line="276" w:lineRule="auto"/>
              <w:ind w:left="0" w:firstLine="0"/>
              <w:rPr>
                <w:rFonts w:cs="Calibri"/>
                <w:b/>
                <w:sz w:val="20"/>
                <w:szCs w:val="20"/>
              </w:rPr>
            </w:pPr>
            <w:r>
              <w:rPr>
                <w:rFonts w:cs="Calibri"/>
                <w:b/>
                <w:sz w:val="20"/>
                <w:szCs w:val="20"/>
              </w:rPr>
              <w:t>☐</w:t>
            </w:r>
          </w:p>
        </w:tc>
      </w:tr>
      <w:tr w:rsidR="005A63D1" w14:paraId="7A391045" w14:textId="77777777">
        <w:trPr>
          <w:gridAfter w:val="1"/>
        </w:trPr>
        <w:tc>
          <w:tcPr>
            <w:tcW w:w="7425" w:type="dxa"/>
            <w:tcBorders>
              <w:top w:val="single" w:color="000000" w:sz="4" w:space="0"/>
              <w:left w:val="single" w:color="000000" w:sz="4" w:space="0"/>
              <w:bottom w:val="single" w:color="000000" w:sz="4" w:space="0"/>
              <w:right w:val="single" w:color="000000" w:sz="4" w:space="0"/>
            </w:tcBorders>
          </w:tcPr>
          <w:p w:rsidR="005A63D1" w:rsidRDefault="00DB5899" w14:paraId="000001B6" w14:textId="77777777">
            <w:pPr>
              <w:pStyle w:val="Normal2"/>
              <w:numPr>
                <w:ilvl w:val="0"/>
                <w:numId w:val="14"/>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5. Does the assessment describe specific environmental and social management measures (e.g., avoidance, minimization, mitigation, compensation, monitoring, and capacity development measures)?</w:t>
            </w:r>
          </w:p>
        </w:tc>
        <w:tc>
          <w:tcPr>
            <w:tcW w:w="1020" w:type="dxa"/>
            <w:tcBorders>
              <w:top w:val="single" w:color="000000" w:sz="4" w:space="0"/>
              <w:left w:val="single" w:color="000000" w:sz="4" w:space="0"/>
              <w:bottom w:val="single" w:color="000000" w:sz="4" w:space="0"/>
              <w:right w:val="single" w:color="000000" w:sz="4" w:space="0"/>
            </w:tcBorders>
            <w:vAlign w:val="center"/>
          </w:tcPr>
          <w:p w:rsidR="005A63D1" w:rsidRDefault="00DB5899" w14:paraId="000001B7" w14:textId="77777777">
            <w:pPr>
              <w:pStyle w:val="Normal2"/>
              <w:tabs>
                <w:tab w:val="left" w:pos="2250"/>
              </w:tabs>
              <w:spacing w:after="0" w:line="276" w:lineRule="auto"/>
              <w:ind w:left="0" w:firstLine="0"/>
              <w:rPr>
                <w:rFonts w:cs="Calibri"/>
                <w:b/>
                <w:sz w:val="20"/>
                <w:szCs w:val="20"/>
              </w:rPr>
            </w:pPr>
            <w:r>
              <w:rPr>
                <w:rFonts w:cs="Calibri"/>
                <w:b/>
                <w:sz w:val="20"/>
                <w:szCs w:val="20"/>
              </w:rPr>
              <w:t>☐</w:t>
            </w:r>
          </w:p>
        </w:tc>
        <w:tc>
          <w:tcPr>
            <w:tcW w:w="1080" w:type="dxa"/>
            <w:tcBorders>
              <w:top w:val="single" w:color="000000" w:sz="4" w:space="0"/>
              <w:left w:val="single" w:color="000000" w:sz="4" w:space="0"/>
              <w:bottom w:val="single" w:color="000000" w:sz="4" w:space="0"/>
              <w:right w:val="single" w:color="000000" w:sz="4" w:space="0"/>
            </w:tcBorders>
            <w:vAlign w:val="center"/>
          </w:tcPr>
          <w:p w:rsidR="005A63D1" w:rsidRDefault="00DB5899" w14:paraId="000001B8" w14:textId="77777777">
            <w:pPr>
              <w:pStyle w:val="Normal2"/>
              <w:tabs>
                <w:tab w:val="left" w:pos="2250"/>
              </w:tabs>
              <w:spacing w:after="0" w:line="276" w:lineRule="auto"/>
              <w:ind w:left="0" w:firstLine="0"/>
              <w:rPr>
                <w:rFonts w:cs="Calibri"/>
                <w:b/>
                <w:sz w:val="20"/>
                <w:szCs w:val="20"/>
              </w:rPr>
            </w:pPr>
            <w:r>
              <w:rPr>
                <w:rFonts w:cs="Calibri"/>
                <w:b/>
                <w:sz w:val="20"/>
                <w:szCs w:val="20"/>
              </w:rPr>
              <w:t>☐</w:t>
            </w:r>
          </w:p>
        </w:tc>
      </w:tr>
      <w:tr w:rsidR="005A63D1" w14:paraId="6890A1FE" w14:textId="77777777">
        <w:trPr>
          <w:gridAfter w:val="1"/>
        </w:trPr>
        <w:tc>
          <w:tcPr>
            <w:tcW w:w="7425" w:type="dxa"/>
            <w:tcBorders>
              <w:top w:val="single" w:color="000000" w:sz="4" w:space="0"/>
              <w:left w:val="single" w:color="000000" w:sz="4" w:space="0"/>
              <w:bottom w:val="single" w:color="000000" w:sz="4" w:space="0"/>
              <w:right w:val="single" w:color="000000" w:sz="4" w:space="0"/>
            </w:tcBorders>
          </w:tcPr>
          <w:p w:rsidR="005A63D1" w:rsidRDefault="00DB5899" w14:paraId="000001B9" w14:textId="77777777">
            <w:pPr>
              <w:pStyle w:val="Normal2"/>
              <w:numPr>
                <w:ilvl w:val="0"/>
                <w:numId w:val="14"/>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6.  Does the assessment identify capacity needs of the institutions responsible for implementing environmental and social management issues?</w:t>
            </w:r>
          </w:p>
        </w:tc>
        <w:tc>
          <w:tcPr>
            <w:tcW w:w="1020" w:type="dxa"/>
            <w:tcBorders>
              <w:top w:val="single" w:color="000000" w:sz="4" w:space="0"/>
              <w:left w:val="single" w:color="000000" w:sz="4" w:space="0"/>
              <w:bottom w:val="single" w:color="000000" w:sz="4" w:space="0"/>
              <w:right w:val="single" w:color="000000" w:sz="4" w:space="0"/>
            </w:tcBorders>
            <w:vAlign w:val="center"/>
          </w:tcPr>
          <w:p w:rsidR="005A63D1" w:rsidRDefault="00DB5899" w14:paraId="000001BA" w14:textId="77777777">
            <w:pPr>
              <w:pStyle w:val="Normal2"/>
              <w:tabs>
                <w:tab w:val="left" w:pos="2250"/>
              </w:tabs>
              <w:spacing w:after="0" w:line="276" w:lineRule="auto"/>
              <w:ind w:left="0" w:firstLine="0"/>
              <w:rPr>
                <w:rFonts w:cs="Calibri"/>
                <w:b/>
                <w:sz w:val="20"/>
                <w:szCs w:val="20"/>
              </w:rPr>
            </w:pPr>
            <w:r>
              <w:rPr>
                <w:rFonts w:cs="Calibri"/>
                <w:b/>
                <w:sz w:val="20"/>
                <w:szCs w:val="20"/>
              </w:rPr>
              <w:t>☐</w:t>
            </w:r>
          </w:p>
        </w:tc>
        <w:tc>
          <w:tcPr>
            <w:tcW w:w="1080" w:type="dxa"/>
            <w:tcBorders>
              <w:top w:val="single" w:color="000000" w:sz="4" w:space="0"/>
              <w:left w:val="single" w:color="000000" w:sz="4" w:space="0"/>
              <w:bottom w:val="single" w:color="000000" w:sz="4" w:space="0"/>
              <w:right w:val="single" w:color="000000" w:sz="4" w:space="0"/>
            </w:tcBorders>
            <w:vAlign w:val="center"/>
          </w:tcPr>
          <w:p w:rsidR="005A63D1" w:rsidRDefault="00DB5899" w14:paraId="000001BB" w14:textId="77777777">
            <w:pPr>
              <w:pStyle w:val="Normal2"/>
              <w:tabs>
                <w:tab w:val="left" w:pos="2250"/>
              </w:tabs>
              <w:spacing w:after="0" w:line="276" w:lineRule="auto"/>
              <w:ind w:left="0" w:firstLine="0"/>
              <w:rPr>
                <w:rFonts w:cs="Calibri"/>
                <w:b/>
                <w:sz w:val="20"/>
                <w:szCs w:val="20"/>
              </w:rPr>
            </w:pPr>
            <w:r>
              <w:rPr>
                <w:rFonts w:cs="Calibri"/>
                <w:b/>
                <w:sz w:val="20"/>
                <w:szCs w:val="20"/>
              </w:rPr>
              <w:t>☐</w:t>
            </w:r>
          </w:p>
        </w:tc>
      </w:tr>
      <w:tr w:rsidR="005A63D1" w14:paraId="4F721E70" w14:textId="77777777">
        <w:trPr>
          <w:gridAfter w:val="1"/>
        </w:trPr>
        <w:tc>
          <w:tcPr>
            <w:tcW w:w="7425" w:type="dxa"/>
            <w:tcBorders>
              <w:top w:val="single" w:color="000000" w:sz="4" w:space="0"/>
              <w:left w:val="single" w:color="000000" w:sz="4" w:space="0"/>
              <w:bottom w:val="single" w:color="000000" w:sz="4" w:space="0"/>
              <w:right w:val="single" w:color="000000" w:sz="4" w:space="0"/>
            </w:tcBorders>
          </w:tcPr>
          <w:p w:rsidR="005A63D1" w:rsidRDefault="00DB5899" w14:paraId="000001BC" w14:textId="77777777">
            <w:pPr>
              <w:pStyle w:val="Normal2"/>
              <w:numPr>
                <w:ilvl w:val="0"/>
                <w:numId w:val="14"/>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7.  Was the assessment developed through a consultative process with key stakeholder &amp; rightsholder engagement, including issues related to gender mainstreaming and Indigenous Peoples?</w:t>
            </w:r>
          </w:p>
        </w:tc>
        <w:tc>
          <w:tcPr>
            <w:tcW w:w="1020" w:type="dxa"/>
            <w:tcBorders>
              <w:top w:val="single" w:color="000000" w:sz="4" w:space="0"/>
              <w:left w:val="single" w:color="000000" w:sz="4" w:space="0"/>
              <w:bottom w:val="single" w:color="000000" w:sz="4" w:space="0"/>
              <w:right w:val="single" w:color="000000" w:sz="4" w:space="0"/>
            </w:tcBorders>
            <w:vAlign w:val="center"/>
          </w:tcPr>
          <w:p w:rsidR="005A63D1" w:rsidRDefault="00DB5899" w14:paraId="000001BD" w14:textId="77777777">
            <w:pPr>
              <w:pStyle w:val="Normal2"/>
              <w:tabs>
                <w:tab w:val="left" w:pos="2250"/>
              </w:tabs>
              <w:spacing w:after="0" w:line="276" w:lineRule="auto"/>
              <w:ind w:left="0" w:firstLine="0"/>
              <w:rPr>
                <w:rFonts w:cs="Calibri"/>
                <w:b/>
                <w:sz w:val="20"/>
                <w:szCs w:val="20"/>
              </w:rPr>
            </w:pPr>
            <w:r>
              <w:rPr>
                <w:rFonts w:cs="Calibri"/>
                <w:b/>
                <w:sz w:val="20"/>
                <w:szCs w:val="20"/>
              </w:rPr>
              <w:t>☐</w:t>
            </w:r>
          </w:p>
        </w:tc>
        <w:tc>
          <w:tcPr>
            <w:tcW w:w="1080" w:type="dxa"/>
            <w:tcBorders>
              <w:top w:val="single" w:color="000000" w:sz="4" w:space="0"/>
              <w:left w:val="single" w:color="000000" w:sz="4" w:space="0"/>
              <w:bottom w:val="single" w:color="000000" w:sz="4" w:space="0"/>
              <w:right w:val="single" w:color="000000" w:sz="4" w:space="0"/>
            </w:tcBorders>
            <w:vAlign w:val="center"/>
          </w:tcPr>
          <w:p w:rsidR="005A63D1" w:rsidRDefault="00DB5899" w14:paraId="000001BE" w14:textId="77777777">
            <w:pPr>
              <w:pStyle w:val="Normal2"/>
              <w:tabs>
                <w:tab w:val="left" w:pos="2250"/>
              </w:tabs>
              <w:spacing w:after="0" w:line="276" w:lineRule="auto"/>
              <w:ind w:left="0" w:firstLine="0"/>
              <w:rPr>
                <w:rFonts w:cs="Calibri"/>
                <w:b/>
                <w:sz w:val="20"/>
                <w:szCs w:val="20"/>
              </w:rPr>
            </w:pPr>
            <w:r>
              <w:rPr>
                <w:rFonts w:cs="Calibri"/>
                <w:b/>
                <w:sz w:val="20"/>
                <w:szCs w:val="20"/>
              </w:rPr>
              <w:t>☐</w:t>
            </w:r>
          </w:p>
        </w:tc>
      </w:tr>
      <w:tr w:rsidR="005A63D1" w14:paraId="311070D6" w14:textId="77777777">
        <w:trPr>
          <w:gridAfter w:val="1"/>
        </w:trPr>
        <w:tc>
          <w:tcPr>
            <w:tcW w:w="7425" w:type="dxa"/>
            <w:tcBorders>
              <w:top w:val="single" w:color="000000" w:sz="4" w:space="0"/>
              <w:left w:val="single" w:color="000000" w:sz="4" w:space="0"/>
              <w:bottom w:val="single" w:color="000000" w:sz="4" w:space="0"/>
              <w:right w:val="single" w:color="000000" w:sz="4" w:space="0"/>
            </w:tcBorders>
          </w:tcPr>
          <w:p w:rsidR="005A63D1" w:rsidRDefault="00DB5899" w14:paraId="000001BF" w14:textId="77777777">
            <w:pPr>
              <w:pStyle w:val="Normal2"/>
              <w:numPr>
                <w:ilvl w:val="0"/>
                <w:numId w:val="14"/>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8.  Does the assessment assess the adequacy of the cost of and financing arrangements for environmental and social management issues?</w:t>
            </w:r>
          </w:p>
        </w:tc>
        <w:tc>
          <w:tcPr>
            <w:tcW w:w="1020" w:type="dxa"/>
            <w:tcBorders>
              <w:top w:val="single" w:color="000000" w:sz="4" w:space="0"/>
              <w:left w:val="single" w:color="000000" w:sz="4" w:space="0"/>
              <w:bottom w:val="single" w:color="000000" w:sz="4" w:space="0"/>
              <w:right w:val="single" w:color="000000" w:sz="4" w:space="0"/>
            </w:tcBorders>
            <w:vAlign w:val="center"/>
          </w:tcPr>
          <w:p w:rsidR="005A63D1" w:rsidRDefault="00DB5899" w14:paraId="000001C0" w14:textId="77777777">
            <w:pPr>
              <w:pStyle w:val="Normal2"/>
              <w:tabs>
                <w:tab w:val="left" w:pos="2250"/>
              </w:tabs>
              <w:spacing w:after="0" w:line="276" w:lineRule="auto"/>
              <w:ind w:left="0" w:firstLine="0"/>
              <w:rPr>
                <w:rFonts w:cs="Calibri"/>
                <w:b/>
                <w:sz w:val="20"/>
                <w:szCs w:val="20"/>
              </w:rPr>
            </w:pPr>
            <w:r>
              <w:rPr>
                <w:rFonts w:cs="Calibri"/>
                <w:b/>
                <w:sz w:val="20"/>
                <w:szCs w:val="20"/>
              </w:rPr>
              <w:t>☐</w:t>
            </w:r>
          </w:p>
        </w:tc>
        <w:tc>
          <w:tcPr>
            <w:tcW w:w="1080" w:type="dxa"/>
            <w:tcBorders>
              <w:top w:val="single" w:color="000000" w:sz="4" w:space="0"/>
              <w:left w:val="single" w:color="000000" w:sz="4" w:space="0"/>
              <w:bottom w:val="single" w:color="000000" w:sz="4" w:space="0"/>
              <w:right w:val="single" w:color="000000" w:sz="4" w:space="0"/>
            </w:tcBorders>
            <w:vAlign w:val="center"/>
          </w:tcPr>
          <w:p w:rsidR="005A63D1" w:rsidRDefault="00DB5899" w14:paraId="000001C1" w14:textId="77777777">
            <w:pPr>
              <w:pStyle w:val="Normal2"/>
              <w:tabs>
                <w:tab w:val="left" w:pos="2250"/>
              </w:tabs>
              <w:spacing w:after="0" w:line="276" w:lineRule="auto"/>
              <w:ind w:left="0" w:firstLine="0"/>
              <w:rPr>
                <w:rFonts w:cs="Calibri"/>
                <w:b/>
                <w:sz w:val="20"/>
                <w:szCs w:val="20"/>
              </w:rPr>
            </w:pPr>
            <w:r>
              <w:rPr>
                <w:rFonts w:cs="Calibri"/>
                <w:b/>
                <w:sz w:val="20"/>
                <w:szCs w:val="20"/>
              </w:rPr>
              <w:t>☐</w:t>
            </w:r>
          </w:p>
        </w:tc>
      </w:tr>
      <w:tr w:rsidR="005A63D1" w14:paraId="3F1349A9" w14:textId="77777777">
        <w:trPr>
          <w:gridAfter w:val="1"/>
          <w:trHeight w:val="465"/>
        </w:trPr>
        <w:tc>
          <w:tcPr>
            <w:tcW w:w="9525" w:type="dxa"/>
            <w:gridSpan w:val="3"/>
            <w:tcBorders>
              <w:top w:val="single" w:color="000000" w:sz="4" w:space="0"/>
              <w:left w:val="single" w:color="000000" w:sz="4" w:space="0"/>
              <w:bottom w:val="single" w:color="000000" w:sz="4" w:space="0"/>
              <w:right w:val="single" w:color="000000" w:sz="4" w:space="0"/>
            </w:tcBorders>
            <w:shd w:val="clear" w:color="auto" w:fill="auto"/>
          </w:tcPr>
          <w:p w:rsidR="005A63D1" w:rsidRDefault="00DB5899" w14:paraId="000001C2" w14:textId="77777777">
            <w:pPr>
              <w:pStyle w:val="Normal2"/>
              <w:tabs>
                <w:tab w:val="left" w:pos="2250"/>
              </w:tabs>
              <w:spacing w:after="0" w:line="276" w:lineRule="auto"/>
              <w:ind w:left="0" w:firstLine="0"/>
              <w:rPr>
                <w:rFonts w:cs="Calibri"/>
                <w:sz w:val="20"/>
                <w:szCs w:val="20"/>
              </w:rPr>
            </w:pPr>
            <w:r>
              <w:rPr>
                <w:rFonts w:cs="Calibri"/>
                <w:sz w:val="20"/>
                <w:szCs w:val="20"/>
              </w:rPr>
              <w:t>For any “no” answers, d</w:t>
            </w:r>
            <w:r>
              <w:rPr>
                <w:sz w:val="20"/>
                <w:szCs w:val="20"/>
              </w:rPr>
              <w:t>e</w:t>
            </w:r>
            <w:r>
              <w:rPr>
                <w:rFonts w:cs="Calibri"/>
                <w:sz w:val="20"/>
                <w:szCs w:val="20"/>
              </w:rPr>
              <w:t>scribe below how the issue has been or will be resolved or addressed.</w:t>
            </w:r>
          </w:p>
        </w:tc>
      </w:tr>
      <w:tr w:rsidR="005A63D1" w14:paraId="70BAFC80" w14:textId="77777777">
        <w:trPr>
          <w:trHeight w:val="217"/>
        </w:trPr>
        <w:tc>
          <w:tcPr>
            <w:tcW w:w="9630" w:type="dxa"/>
            <w:gridSpan w:val="4"/>
            <w:shd w:val="clear" w:color="auto" w:fill="7B7B7B"/>
            <w:vAlign w:val="center"/>
          </w:tcPr>
          <w:p w:rsidR="005A63D1" w:rsidRDefault="00DB5899" w14:paraId="000001C5" w14:textId="77777777">
            <w:pPr>
              <w:pStyle w:val="Normal2"/>
              <w:keepNext/>
              <w:tabs>
                <w:tab w:val="left" w:pos="2250"/>
              </w:tabs>
              <w:spacing w:after="0" w:line="276" w:lineRule="auto"/>
              <w:ind w:left="0" w:firstLine="0"/>
              <w:rPr>
                <w:rFonts w:cs="Calibri"/>
                <w:b/>
                <w:color w:val="FFFFFF"/>
              </w:rPr>
            </w:pPr>
            <w:r>
              <w:rPr>
                <w:rFonts w:cs="Calibri"/>
                <w:b/>
                <w:color w:val="FFFFFF"/>
                <w:u w:val="single"/>
              </w:rPr>
              <w:t>ESS 2</w:t>
            </w:r>
            <w:r>
              <w:rPr>
                <w:rFonts w:cs="Calibri"/>
                <w:b/>
                <w:color w:val="FFFFFF"/>
              </w:rPr>
              <w:t>: Protection of Natural Habitats and Biodiversity Conservation</w:t>
            </w:r>
          </w:p>
        </w:tc>
      </w:tr>
      <w:tr w:rsidR="005A63D1" w14:paraId="6DA2904A" w14:textId="77777777">
        <w:tc>
          <w:tcPr>
            <w:tcW w:w="9630" w:type="dxa"/>
            <w:gridSpan w:val="4"/>
            <w:shd w:val="clear" w:color="auto" w:fill="EDEDED"/>
          </w:tcPr>
          <w:p w:rsidR="005A63D1" w:rsidRDefault="00DB5899" w14:paraId="000001C9" w14:textId="77777777">
            <w:pPr>
              <w:pStyle w:val="Normal2"/>
              <w:keepNext/>
              <w:tabs>
                <w:tab w:val="left" w:pos="2250"/>
              </w:tabs>
              <w:spacing w:after="0" w:line="276" w:lineRule="auto"/>
              <w:ind w:left="0" w:firstLine="0"/>
              <w:rPr>
                <w:rFonts w:cs="Calibri"/>
                <w:sz w:val="20"/>
                <w:szCs w:val="20"/>
              </w:rPr>
            </w:pPr>
            <w:r>
              <w:rPr>
                <w:rFonts w:cs="Calibri"/>
                <w:sz w:val="20"/>
                <w:szCs w:val="20"/>
              </w:rPr>
              <w:t>Will the project:</w:t>
            </w:r>
          </w:p>
          <w:p w:rsidR="005A63D1" w:rsidRDefault="00DB5899" w14:paraId="000001CA" w14:textId="77777777">
            <w:pPr>
              <w:pStyle w:val="Normal2"/>
              <w:keepNext/>
              <w:tabs>
                <w:tab w:val="left" w:pos="2250"/>
              </w:tabs>
              <w:spacing w:after="0" w:line="276" w:lineRule="auto"/>
              <w:ind w:left="0" w:firstLine="0"/>
              <w:rPr>
                <w:rFonts w:cs="Calibri"/>
                <w:sz w:val="20"/>
                <w:szCs w:val="20"/>
              </w:rPr>
            </w:pPr>
            <w:r>
              <w:rPr>
                <w:rFonts w:cs="Calibri"/>
                <w:sz w:val="20"/>
                <w:szCs w:val="20"/>
              </w:rPr>
              <w:t>(a) involve adverse impacts on Critical Habitats</w:t>
            </w:r>
            <w:r>
              <w:rPr>
                <w:rFonts w:cs="Calibri"/>
                <w:sz w:val="20"/>
                <w:szCs w:val="20"/>
                <w:vertAlign w:val="superscript"/>
              </w:rPr>
              <w:footnoteReference w:id="10"/>
            </w:r>
            <w:r>
              <w:rPr>
                <w:rFonts w:cs="Calibri"/>
                <w:sz w:val="20"/>
                <w:szCs w:val="20"/>
              </w:rPr>
              <w:t>, including forests that are Critical Habitats, including from the procurement of natural resource commodities, except for adverse impacts on a limited scale that result from conservation actions that achieve a Net Gain of the Biodiversity values associated with the Critical Habitat?</w:t>
            </w:r>
          </w:p>
          <w:p w:rsidR="005A63D1" w:rsidRDefault="00DB5899" w14:paraId="000001CB" w14:textId="77777777">
            <w:pPr>
              <w:pStyle w:val="Normal2"/>
              <w:keepNext/>
              <w:tabs>
                <w:tab w:val="left" w:pos="2250"/>
              </w:tabs>
              <w:spacing w:after="0" w:line="276" w:lineRule="auto"/>
              <w:ind w:left="0" w:firstLine="0"/>
              <w:rPr>
                <w:rFonts w:cs="Calibri"/>
                <w:sz w:val="20"/>
                <w:szCs w:val="20"/>
              </w:rPr>
            </w:pPr>
            <w:r>
              <w:rPr>
                <w:rFonts w:cs="Calibri"/>
                <w:sz w:val="20"/>
                <w:szCs w:val="20"/>
              </w:rPr>
              <w:t>(b) contravene applicable international environmental treaties or agreements?</w:t>
            </w:r>
          </w:p>
          <w:p w:rsidR="005A63D1" w:rsidRDefault="00DB5899" w14:paraId="000001CC" w14:textId="77777777">
            <w:pPr>
              <w:pStyle w:val="Normal2"/>
              <w:keepNext/>
              <w:tabs>
                <w:tab w:val="left" w:pos="2250"/>
              </w:tabs>
              <w:spacing w:after="0" w:line="276" w:lineRule="auto"/>
              <w:ind w:left="0" w:firstLine="0"/>
              <w:rPr>
                <w:rFonts w:cs="Calibri"/>
                <w:sz w:val="20"/>
                <w:szCs w:val="20"/>
              </w:rPr>
            </w:pPr>
            <w:r>
              <w:rPr>
                <w:rFonts w:cs="Calibri"/>
                <w:sz w:val="20"/>
                <w:szCs w:val="20"/>
              </w:rPr>
              <w:t>(c) involved the utilization of genetic resources?</w:t>
            </w:r>
          </w:p>
          <w:p w:rsidR="005A63D1" w:rsidRDefault="00DB5899" w14:paraId="000001CD" w14:textId="77777777">
            <w:pPr>
              <w:pStyle w:val="Normal2"/>
              <w:keepNext/>
              <w:tabs>
                <w:tab w:val="left" w:pos="2250"/>
              </w:tabs>
              <w:spacing w:after="0" w:line="276" w:lineRule="auto"/>
              <w:ind w:left="0" w:firstLine="0"/>
              <w:rPr>
                <w:rFonts w:cs="Calibri"/>
                <w:sz w:val="20"/>
                <w:szCs w:val="20"/>
              </w:rPr>
            </w:pPr>
            <w:r>
              <w:rPr>
                <w:rFonts w:cs="Calibri"/>
                <w:sz w:val="20"/>
                <w:szCs w:val="20"/>
              </w:rPr>
              <w:t>(d) introduce or use potentially invasive alien species?</w:t>
            </w:r>
          </w:p>
          <w:p w:rsidR="005A63D1" w:rsidRDefault="00DB5899" w14:paraId="000001CE" w14:textId="77777777">
            <w:pPr>
              <w:pStyle w:val="Normal2"/>
              <w:keepNext/>
              <w:tabs>
                <w:tab w:val="left" w:pos="2250"/>
              </w:tabs>
              <w:spacing w:after="0" w:line="276" w:lineRule="auto"/>
              <w:ind w:left="0" w:firstLine="0"/>
              <w:rPr>
                <w:rFonts w:cs="Calibri"/>
                <w:sz w:val="20"/>
                <w:szCs w:val="20"/>
              </w:rPr>
            </w:pPr>
            <w:r>
              <w:rPr>
                <w:rFonts w:cs="Calibri"/>
                <w:sz w:val="20"/>
                <w:szCs w:val="20"/>
              </w:rPr>
              <w:t>(e) affect species identified as threatened at the local and/or global levels?</w:t>
            </w:r>
          </w:p>
          <w:p w:rsidR="005A63D1" w:rsidRDefault="00DB5899" w14:paraId="000001CF" w14:textId="77777777">
            <w:pPr>
              <w:pStyle w:val="Normal2"/>
              <w:keepNext/>
              <w:tabs>
                <w:tab w:val="left" w:pos="2250"/>
              </w:tabs>
              <w:spacing w:after="0" w:line="276" w:lineRule="auto"/>
              <w:ind w:left="0" w:firstLine="0"/>
              <w:rPr>
                <w:rFonts w:cs="Calibri"/>
                <w:sz w:val="20"/>
                <w:szCs w:val="20"/>
              </w:rPr>
            </w:pPr>
            <w:r>
              <w:rPr>
                <w:rFonts w:cs="Calibri"/>
                <w:sz w:val="20"/>
                <w:szCs w:val="20"/>
              </w:rPr>
              <w:t>(f) implement habitat restoration activities?</w:t>
            </w:r>
          </w:p>
          <w:p w:rsidR="005A63D1" w:rsidRDefault="005A63D1" w14:paraId="000001D0" w14:textId="77777777">
            <w:pPr>
              <w:pStyle w:val="Normal2"/>
              <w:keepNext/>
              <w:tabs>
                <w:tab w:val="left" w:pos="2250"/>
              </w:tabs>
              <w:spacing w:after="0" w:line="276" w:lineRule="auto"/>
              <w:ind w:left="0" w:firstLine="0"/>
              <w:rPr>
                <w:rFonts w:cs="Calibri"/>
                <w:sz w:val="20"/>
                <w:szCs w:val="20"/>
              </w:rPr>
            </w:pPr>
          </w:p>
          <w:p w:rsidR="005A63D1" w:rsidRDefault="00DB5899" w14:paraId="000001D1" w14:textId="77777777">
            <w:pPr>
              <w:pStyle w:val="Normal2"/>
              <w:spacing w:after="0" w:line="276" w:lineRule="auto"/>
              <w:ind w:left="-30" w:firstLine="0"/>
              <w:rPr>
                <w:rFonts w:cs="Calibri"/>
                <w:sz w:val="20"/>
                <w:szCs w:val="20"/>
              </w:rPr>
            </w:pPr>
            <w:r>
              <w:rPr>
                <w:sz w:val="20"/>
                <w:szCs w:val="20"/>
              </w:rPr>
              <w:t>☐</w:t>
            </w:r>
            <w:r>
              <w:rPr>
                <w:rFonts w:cs="Calibri"/>
                <w:sz w:val="20"/>
                <w:szCs w:val="20"/>
              </w:rPr>
              <w:t xml:space="preserve"> NO (to all of the above) </w:t>
            </w:r>
          </w:p>
          <w:p w:rsidR="005A63D1" w:rsidRDefault="00DB5899" w14:paraId="000001D2" w14:textId="77777777">
            <w:pPr>
              <w:pStyle w:val="Normal2"/>
              <w:spacing w:after="0" w:line="276" w:lineRule="auto"/>
              <w:ind w:left="-30" w:firstLine="0"/>
              <w:rPr>
                <w:rFonts w:cs="Calibri"/>
                <w:sz w:val="20"/>
                <w:szCs w:val="20"/>
              </w:rPr>
            </w:pPr>
            <w:r>
              <w:rPr>
                <w:sz w:val="20"/>
                <w:szCs w:val="20"/>
              </w:rPr>
              <w:t>☐</w:t>
            </w:r>
            <w:r>
              <w:rPr>
                <w:rFonts w:cs="Calibri"/>
                <w:sz w:val="20"/>
                <w:szCs w:val="20"/>
              </w:rPr>
              <w:t xml:space="preserve"> TO BE DETERMINED (TBD)</w:t>
            </w:r>
          </w:p>
          <w:p w:rsidR="005A63D1" w:rsidRDefault="00DB5899" w14:paraId="000001D3" w14:textId="77777777">
            <w:pPr>
              <w:pStyle w:val="Normal2"/>
              <w:spacing w:after="0" w:line="276" w:lineRule="auto"/>
              <w:ind w:left="-30" w:firstLine="0"/>
              <w:rPr>
                <w:rFonts w:cs="Calibri"/>
                <w:sz w:val="20"/>
                <w:szCs w:val="20"/>
              </w:rPr>
            </w:pPr>
            <w:r>
              <w:t>☒</w:t>
            </w:r>
            <w:r>
              <w:rPr>
                <w:sz w:val="20"/>
                <w:szCs w:val="20"/>
              </w:rPr>
              <w:t xml:space="preserve"> </w:t>
            </w:r>
            <w:r>
              <w:rPr>
                <w:rFonts w:cs="Calibri"/>
                <w:sz w:val="20"/>
                <w:szCs w:val="20"/>
              </w:rPr>
              <w:t>YES (to any of the above)</w:t>
            </w:r>
          </w:p>
          <w:p w:rsidR="005A63D1" w:rsidRDefault="00DB5899" w14:paraId="000001D4" w14:textId="77777777">
            <w:pPr>
              <w:pStyle w:val="Normal2"/>
              <w:shd w:val="clear" w:color="auto" w:fill="FFFFFF"/>
              <w:spacing w:after="200" w:line="259" w:lineRule="auto"/>
              <w:ind w:left="0" w:firstLine="0"/>
              <w:rPr>
                <w:sz w:val="21"/>
                <w:szCs w:val="21"/>
              </w:rPr>
            </w:pPr>
            <w:r>
              <w:rPr>
                <w:sz w:val="21"/>
                <w:szCs w:val="21"/>
              </w:rPr>
              <w:t>The project will implement habitat restoration activities under Component 2. However, these and the other activities envisaged as part of the project are not expected to have any adverse impacts on natural habitats and biodiversity conservation. Under Component 2, i) a Climate Action Plan will be developed, which will include climate change adaptation activities (Output 2.1.1), and i) a regional management effectiveness assessment tool will be implemented (Output 2.2.1), which will include restoration activ</w:t>
            </w:r>
            <w:r>
              <w:rPr>
                <w:sz w:val="21"/>
                <w:szCs w:val="21"/>
              </w:rPr>
              <w:t>ities. For example, activities such as the use of "assisted evolution" techniques (e.g., inoculating corals with stress-resistant algae or microbes to reduce vulnerability to bleaching; use of portable thermal management systems for corals; etc.</w:t>
            </w:r>
            <w:r>
              <w:rPr>
                <w:sz w:val="21"/>
                <w:szCs w:val="21"/>
                <w:vertAlign w:val="superscript"/>
              </w:rPr>
              <w:footnoteReference w:id="11"/>
            </w:r>
            <w:r>
              <w:rPr>
                <w:sz w:val="21"/>
                <w:szCs w:val="21"/>
              </w:rPr>
              <w:t xml:space="preserve">). Although it is expected that these activities will only have positive impacts, they ought to be designed and implemented in a way that guarantees the safety of natural habitats and biodiversity. </w:t>
            </w:r>
          </w:p>
          <w:p w:rsidR="005A63D1" w:rsidRDefault="00DB5899" w14:paraId="000001D5" w14:textId="77777777">
            <w:pPr>
              <w:pStyle w:val="Normal2"/>
              <w:shd w:val="clear" w:color="auto" w:fill="FFFFFF"/>
              <w:spacing w:after="200" w:line="259" w:lineRule="auto"/>
              <w:ind w:left="0" w:firstLine="0"/>
              <w:rPr>
                <w:rFonts w:cs="Calibri"/>
                <w:sz w:val="20"/>
                <w:szCs w:val="20"/>
              </w:rPr>
            </w:pPr>
            <w:r>
              <w:rPr>
                <w:sz w:val="21"/>
                <w:szCs w:val="21"/>
              </w:rPr>
              <w:t xml:space="preserve">Likewise, Components 1 and 4 are not expected to have any environmental impacts since they focus on strengthening governance and communication and knowledge management. However, blue economy initiatives will be implemented in the fisheries, tourism and transportsectors under Component 3, and it will need to be ensured that these do not involve any adverse impacts on natural habitats and biodiversity conservation. </w:t>
            </w:r>
          </w:p>
        </w:tc>
      </w:tr>
    </w:tbl>
    <w:p w:rsidR="005A63D1" w:rsidRDefault="005A63D1" w14:paraId="000001D9" w14:textId="77777777">
      <w:pPr>
        <w:pStyle w:val="Normal2"/>
        <w:tabs>
          <w:tab w:val="left" w:pos="2250"/>
        </w:tabs>
        <w:spacing w:after="0" w:line="276" w:lineRule="auto"/>
        <w:ind w:left="0" w:firstLine="0"/>
        <w:rPr>
          <w:b/>
          <w:sz w:val="2"/>
          <w:szCs w:val="2"/>
        </w:rPr>
      </w:pPr>
    </w:p>
    <w:p w:rsidR="005A63D1" w:rsidRDefault="005A63D1" w14:paraId="000001DA" w14:textId="77777777">
      <w:pPr>
        <w:pStyle w:val="Normal2"/>
        <w:tabs>
          <w:tab w:val="left" w:pos="2250"/>
        </w:tabs>
        <w:spacing w:after="0" w:line="276" w:lineRule="auto"/>
        <w:ind w:left="0" w:firstLine="0"/>
        <w:rPr>
          <w:b/>
          <w:sz w:val="2"/>
          <w:szCs w:val="2"/>
        </w:rPr>
      </w:pPr>
    </w:p>
    <w:p w:rsidR="005A63D1" w:rsidRDefault="005A63D1" w14:paraId="000001DB" w14:textId="77777777">
      <w:pPr>
        <w:pStyle w:val="Normal2"/>
        <w:tabs>
          <w:tab w:val="left" w:pos="2250"/>
        </w:tabs>
        <w:spacing w:after="0" w:line="276" w:lineRule="auto"/>
        <w:ind w:left="0" w:firstLine="0"/>
        <w:rPr>
          <w:b/>
          <w:sz w:val="2"/>
          <w:szCs w:val="2"/>
        </w:rPr>
      </w:pPr>
    </w:p>
    <w:p w:rsidR="005A63D1" w:rsidRDefault="005A63D1" w14:paraId="000001DC" w14:textId="77777777">
      <w:pPr>
        <w:pStyle w:val="Normal2"/>
        <w:tabs>
          <w:tab w:val="left" w:pos="2250"/>
        </w:tabs>
        <w:spacing w:after="0" w:line="276" w:lineRule="auto"/>
        <w:ind w:left="0" w:firstLine="0"/>
        <w:rPr>
          <w:b/>
          <w:sz w:val="2"/>
          <w:szCs w:val="2"/>
        </w:rPr>
      </w:pPr>
    </w:p>
    <w:tbl>
      <w:tblPr>
        <w:tblStyle w:val="afff7"/>
        <w:tblW w:w="9597" w:type="dxa"/>
        <w:tblInd w:w="-5"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9597"/>
      </w:tblGrid>
      <w:tr w:rsidR="005A63D1" w14:paraId="7299A15B" w14:textId="77777777">
        <w:tc>
          <w:tcPr>
            <w:tcW w:w="9597" w:type="dxa"/>
            <w:shd w:val="clear" w:color="auto" w:fill="7B7B7B"/>
            <w:vAlign w:val="center"/>
          </w:tcPr>
          <w:p w:rsidR="005A63D1" w:rsidRDefault="00DB5899" w14:paraId="000001DD" w14:textId="77777777">
            <w:pPr>
              <w:pStyle w:val="Normal2"/>
              <w:keepNext/>
              <w:spacing w:after="0" w:line="276" w:lineRule="auto"/>
              <w:ind w:left="1055" w:hanging="1055"/>
              <w:rPr>
                <w:rFonts w:cs="Calibri"/>
                <w:b/>
                <w:color w:val="FFFFFF"/>
              </w:rPr>
            </w:pPr>
            <w:r>
              <w:rPr>
                <w:rFonts w:cs="Calibri"/>
                <w:b/>
                <w:color w:val="FFFFFF"/>
                <w:u w:val="single"/>
              </w:rPr>
              <w:t>ESS 3</w:t>
            </w:r>
            <w:r>
              <w:rPr>
                <w:rFonts w:cs="Calibri"/>
                <w:b/>
                <w:color w:val="FFFFFF"/>
              </w:rPr>
              <w:t xml:space="preserve">: Resettlement, Physical and Economic Displacement </w:t>
            </w:r>
          </w:p>
        </w:tc>
      </w:tr>
      <w:tr w:rsidR="005A63D1" w14:paraId="6D6DA394" w14:textId="77777777">
        <w:tc>
          <w:tcPr>
            <w:tcW w:w="9597" w:type="dxa"/>
            <w:shd w:val="clear" w:color="auto" w:fill="EDEDED"/>
          </w:tcPr>
          <w:p w:rsidR="005A63D1" w:rsidRDefault="00DB5899" w14:paraId="000001DE" w14:textId="77777777">
            <w:pPr>
              <w:pStyle w:val="Normal2"/>
              <w:keepNext/>
              <w:tabs>
                <w:tab w:val="left" w:pos="2250"/>
              </w:tabs>
              <w:spacing w:after="0" w:line="276" w:lineRule="auto"/>
              <w:ind w:left="90" w:firstLine="0"/>
              <w:rPr>
                <w:rFonts w:cs="Calibri"/>
                <w:sz w:val="20"/>
                <w:szCs w:val="20"/>
              </w:rPr>
            </w:pPr>
            <w:r>
              <w:rPr>
                <w:rFonts w:cs="Calibri"/>
                <w:sz w:val="20"/>
                <w:szCs w:val="20"/>
              </w:rPr>
              <w:t xml:space="preserve">Will the project </w:t>
            </w:r>
          </w:p>
          <w:p w:rsidR="005A63D1" w:rsidRDefault="00DB5899" w14:paraId="000001DF" w14:textId="77777777">
            <w:pPr>
              <w:pStyle w:val="Normal2"/>
              <w:keepNext/>
              <w:pBdr>
                <w:top w:val="nil"/>
                <w:left w:val="nil"/>
                <w:bottom w:val="nil"/>
                <w:right w:val="nil"/>
                <w:between w:val="nil"/>
              </w:pBdr>
              <w:tabs>
                <w:tab w:val="left" w:pos="2250"/>
              </w:tabs>
              <w:spacing w:after="0" w:line="276" w:lineRule="auto"/>
              <w:ind w:left="90" w:firstLine="0"/>
              <w:rPr>
                <w:sz w:val="20"/>
                <w:szCs w:val="20"/>
              </w:rPr>
            </w:pPr>
            <w:r>
              <w:rPr>
                <w:rFonts w:cs="Calibri"/>
                <w:sz w:val="20"/>
                <w:szCs w:val="20"/>
              </w:rPr>
              <w:t>(a) involve the</w:t>
            </w:r>
            <w:r>
              <w:rPr>
                <w:sz w:val="20"/>
                <w:szCs w:val="20"/>
              </w:rPr>
              <w:t xml:space="preserve"> voluntary or involuntary resettlement of people? Resettlement including relocation or loss of shelter.</w:t>
            </w:r>
          </w:p>
          <w:p w:rsidR="005A63D1" w:rsidRDefault="00DB5899" w14:paraId="000001E0" w14:textId="77777777">
            <w:pPr>
              <w:pStyle w:val="Normal2"/>
              <w:keepNext/>
              <w:pBdr>
                <w:top w:val="nil"/>
                <w:left w:val="nil"/>
                <w:bottom w:val="nil"/>
                <w:right w:val="nil"/>
                <w:between w:val="nil"/>
              </w:pBdr>
              <w:tabs>
                <w:tab w:val="left" w:pos="2250"/>
              </w:tabs>
              <w:spacing w:after="0" w:line="276" w:lineRule="auto"/>
              <w:ind w:left="90" w:firstLine="0"/>
              <w:rPr>
                <w:rFonts w:cs="Calibri"/>
                <w:sz w:val="20"/>
                <w:szCs w:val="20"/>
              </w:rPr>
            </w:pPr>
            <w:r>
              <w:rPr>
                <w:sz w:val="20"/>
                <w:szCs w:val="20"/>
              </w:rPr>
              <w:t>(b) restrict land</w:t>
            </w:r>
            <w:r>
              <w:rPr>
                <w:rFonts w:cs="Calibri"/>
                <w:sz w:val="20"/>
                <w:szCs w:val="20"/>
              </w:rPr>
              <w:t xml:space="preserve"> use and access?</w:t>
            </w:r>
          </w:p>
          <w:p w:rsidR="005A63D1" w:rsidRDefault="00DB5899" w14:paraId="000001E1" w14:textId="77777777">
            <w:pPr>
              <w:pStyle w:val="Normal2"/>
              <w:keepNext/>
              <w:tabs>
                <w:tab w:val="left" w:pos="2250"/>
              </w:tabs>
              <w:spacing w:after="0" w:line="276" w:lineRule="auto"/>
              <w:ind w:left="90" w:firstLine="0"/>
              <w:rPr>
                <w:rFonts w:cs="Calibri"/>
                <w:sz w:val="20"/>
                <w:szCs w:val="20"/>
              </w:rPr>
            </w:pPr>
            <w:r>
              <w:rPr>
                <w:rFonts w:cs="Calibri"/>
                <w:sz w:val="20"/>
                <w:szCs w:val="20"/>
              </w:rPr>
              <w:t>(c) cause economic displacement of people? Economic displacement, including the loss of access to natural resources that lead directly or indirectly to the loss of traditional/subsistence livelihoods, including assets,</w:t>
            </w:r>
          </w:p>
          <w:p w:rsidR="005A63D1" w:rsidRDefault="00DB5899" w14:paraId="000001E2" w14:textId="77777777">
            <w:pPr>
              <w:pStyle w:val="Normal2"/>
              <w:keepNext/>
              <w:tabs>
                <w:tab w:val="left" w:pos="2250"/>
              </w:tabs>
              <w:spacing w:after="0" w:line="276" w:lineRule="auto"/>
              <w:ind w:left="90" w:firstLine="0"/>
              <w:rPr>
                <w:rFonts w:cs="Calibri"/>
                <w:sz w:val="20"/>
                <w:szCs w:val="20"/>
              </w:rPr>
            </w:pPr>
            <w:r>
              <w:rPr>
                <w:rFonts w:cs="Calibri"/>
                <w:sz w:val="20"/>
                <w:szCs w:val="20"/>
              </w:rPr>
              <w:t>social capital, cultural identity, among other impacts.</w:t>
            </w:r>
          </w:p>
          <w:p w:rsidR="005A63D1" w:rsidRDefault="005A63D1" w14:paraId="000001E3" w14:textId="77777777">
            <w:pPr>
              <w:pStyle w:val="Normal2"/>
              <w:spacing w:after="0" w:line="276" w:lineRule="auto"/>
              <w:ind w:left="0" w:firstLine="0"/>
              <w:rPr>
                <w:rFonts w:cs="Calibri"/>
                <w:sz w:val="20"/>
                <w:szCs w:val="20"/>
              </w:rPr>
            </w:pPr>
          </w:p>
          <w:p w:rsidR="005A63D1" w:rsidRDefault="00DB5899" w14:paraId="000001E4" w14:textId="77777777">
            <w:pPr>
              <w:pStyle w:val="Normal2"/>
              <w:spacing w:after="0" w:line="276" w:lineRule="auto"/>
              <w:ind w:left="-30" w:firstLine="0"/>
              <w:rPr>
                <w:rFonts w:cs="Calibri"/>
                <w:sz w:val="20"/>
                <w:szCs w:val="20"/>
              </w:rPr>
            </w:pPr>
            <w:r>
              <w:rPr>
                <w:rFonts w:cs="Calibri"/>
                <w:sz w:val="20"/>
                <w:szCs w:val="20"/>
              </w:rPr>
              <w:t>☐</w:t>
            </w:r>
            <w:r>
              <w:rPr>
                <w:rFonts w:cs="Calibri"/>
                <w:sz w:val="20"/>
                <w:szCs w:val="20"/>
              </w:rPr>
              <w:t xml:space="preserve"> NO (to all of the above) </w:t>
            </w:r>
          </w:p>
          <w:p w:rsidR="005A63D1" w:rsidRDefault="00DB5899" w14:paraId="000001E5" w14:textId="77777777">
            <w:pPr>
              <w:pStyle w:val="Normal2"/>
              <w:spacing w:after="0" w:line="276" w:lineRule="auto"/>
              <w:ind w:left="-30" w:firstLine="0"/>
              <w:rPr>
                <w:rFonts w:cs="Calibri"/>
                <w:sz w:val="20"/>
                <w:szCs w:val="20"/>
              </w:rPr>
            </w:pPr>
            <w:r>
              <w:rPr>
                <w:sz w:val="20"/>
                <w:szCs w:val="20"/>
              </w:rPr>
              <w:t>☐</w:t>
            </w:r>
            <w:r>
              <w:rPr>
                <w:rFonts w:cs="Calibri"/>
                <w:sz w:val="20"/>
                <w:szCs w:val="20"/>
              </w:rPr>
              <w:t xml:space="preserve"> TO BE DETERMINED (TBD)</w:t>
            </w:r>
          </w:p>
          <w:p w:rsidR="005A63D1" w:rsidRDefault="00DB5899" w14:paraId="000001E6" w14:textId="77777777">
            <w:pPr>
              <w:pStyle w:val="Normal2"/>
              <w:spacing w:after="0" w:line="276" w:lineRule="auto"/>
              <w:ind w:left="-30" w:firstLine="0"/>
              <w:rPr>
                <w:rFonts w:cs="Calibri"/>
                <w:sz w:val="20"/>
                <w:szCs w:val="20"/>
              </w:rPr>
            </w:pPr>
            <w:r>
              <w:t>☒</w:t>
            </w:r>
            <w:r>
              <w:rPr>
                <w:rFonts w:cs="Calibri"/>
                <w:sz w:val="20"/>
                <w:szCs w:val="20"/>
              </w:rPr>
              <w:t xml:space="preserve"> YES (to any of the above)</w:t>
            </w:r>
          </w:p>
          <w:p w:rsidR="005A63D1" w:rsidRDefault="00DB5899" w14:paraId="000001E7" w14:textId="77777777">
            <w:pPr>
              <w:pStyle w:val="Normal2"/>
              <w:pBdr>
                <w:top w:val="nil"/>
                <w:left w:val="nil"/>
                <w:bottom w:val="nil"/>
                <w:right w:val="nil"/>
                <w:between w:val="nil"/>
              </w:pBdr>
              <w:shd w:val="clear" w:color="auto" w:fill="FFFFFF"/>
              <w:spacing w:after="200" w:line="259" w:lineRule="auto"/>
              <w:ind w:left="0" w:firstLine="0"/>
              <w:jc w:val="both"/>
              <w:rPr>
                <w:sz w:val="21"/>
                <w:szCs w:val="21"/>
              </w:rPr>
            </w:pPr>
            <w:r>
              <w:rPr>
                <w:sz w:val="21"/>
                <w:szCs w:val="21"/>
              </w:rPr>
              <w:t xml:space="preserve">Under </w:t>
            </w:r>
            <w:r>
              <w:rPr>
                <w:b/>
                <w:sz w:val="21"/>
                <w:szCs w:val="21"/>
              </w:rPr>
              <w:t>Component 2</w:t>
            </w:r>
            <w:r>
              <w:rPr>
                <w:sz w:val="21"/>
                <w:szCs w:val="21"/>
              </w:rPr>
              <w:t>, key interventions aligned with the CMAR regional action plan will be implemented in at least five Central ETP MPAs. This includes activities part of Output 2.2.2., under which the restoration of degraded habitats and the implementation of fishing exclusion zones in key migration areas is being considered. Areas under restoration are likely less accessible for resource users.</w:t>
            </w:r>
          </w:p>
          <w:p w:rsidR="005A63D1" w:rsidRDefault="00DB5899" w14:paraId="000001E8" w14:textId="77777777">
            <w:pPr>
              <w:pStyle w:val="Normal2"/>
              <w:pBdr>
                <w:top w:val="nil"/>
                <w:left w:val="nil"/>
                <w:bottom w:val="nil"/>
                <w:right w:val="nil"/>
                <w:between w:val="nil"/>
              </w:pBdr>
              <w:shd w:val="clear" w:color="auto" w:fill="FFFFFF"/>
              <w:spacing w:after="200" w:line="259" w:lineRule="auto"/>
              <w:ind w:left="0" w:firstLine="0"/>
              <w:jc w:val="both"/>
              <w:rPr>
                <w:sz w:val="21"/>
                <w:szCs w:val="21"/>
              </w:rPr>
            </w:pPr>
            <w:r>
              <w:rPr>
                <w:sz w:val="21"/>
                <w:szCs w:val="21"/>
              </w:rPr>
              <w:t>Other potential adaptation actions being considered under this component are using temporary closures during bleaching episodes to reduce additional stress on corals; eliminating the use of destructive fishing/harvesting practices and destructive landings; improving fisheries management to protect spawning and nursery areas and limit the extraction of herbivorous fish and predators; relocating corals affected by bleaching; facilitating distribution shifts to track changes in climatically suitable areas (suc</w:t>
            </w:r>
            <w:r>
              <w:rPr>
                <w:sz w:val="21"/>
                <w:szCs w:val="21"/>
              </w:rPr>
              <w:t>h as restoring tidal connectivity); creation of artificial reefs designed to prohibit illegal trawling; and introduction of new habitats in the marine environment</w:t>
            </w:r>
            <w:r>
              <w:rPr>
                <w:sz w:val="21"/>
                <w:szCs w:val="21"/>
                <w:vertAlign w:val="superscript"/>
              </w:rPr>
              <w:footnoteReference w:id="12"/>
            </w:r>
            <w:r>
              <w:rPr>
                <w:sz w:val="21"/>
                <w:szCs w:val="21"/>
              </w:rPr>
              <w:t xml:space="preserve">. All these measures could result in access restrictions for the local communities who depend on fishing for their livelihoods. </w:t>
            </w:r>
          </w:p>
          <w:p w:rsidR="005A63D1" w:rsidRDefault="00DB5899" w14:paraId="000001E9" w14:textId="77777777">
            <w:pPr>
              <w:pStyle w:val="Normal2"/>
              <w:pBdr>
                <w:top w:val="nil"/>
                <w:left w:val="nil"/>
                <w:bottom w:val="nil"/>
                <w:right w:val="nil"/>
                <w:between w:val="nil"/>
              </w:pBdr>
              <w:shd w:val="clear" w:color="auto" w:fill="FFFFFF"/>
              <w:spacing w:after="200" w:line="259" w:lineRule="auto"/>
              <w:ind w:left="0" w:firstLine="0"/>
              <w:jc w:val="both"/>
              <w:rPr>
                <w:sz w:val="21"/>
                <w:szCs w:val="21"/>
              </w:rPr>
            </w:pPr>
            <w:r>
              <w:rPr>
                <w:sz w:val="21"/>
                <w:szCs w:val="21"/>
              </w:rPr>
              <w:t>In addition to these measures, there are several research and monitoring activities being considered also under Component 2 (e.g. development/updating of biodiversity inventories, development of studies to determine the relative variation of the three main ocean currents as a consequence of climate change, studies on the increase in sea surface temperature, monitoring of ecologically essential species and behavioral analysis, monitoring of migratory species, etc. as well as a general increase in research an</w:t>
            </w:r>
            <w:r>
              <w:rPr>
                <w:sz w:val="21"/>
                <w:szCs w:val="21"/>
              </w:rPr>
              <w:t xml:space="preserve">d monitoring to better understand the effects of climate change in the CMAR area), which could also potentially lead access to some areas being temporarily restricted. </w:t>
            </w:r>
          </w:p>
          <w:p w:rsidR="005A63D1" w:rsidRDefault="00DB5899" w14:paraId="000001EA" w14:textId="77777777">
            <w:pPr>
              <w:pStyle w:val="Normal2"/>
              <w:pBdr>
                <w:top w:val="nil"/>
                <w:left w:val="nil"/>
                <w:bottom w:val="nil"/>
                <w:right w:val="nil"/>
                <w:between w:val="nil"/>
              </w:pBdr>
              <w:shd w:val="clear" w:color="auto" w:fill="FFFFFF"/>
              <w:spacing w:after="200" w:line="259" w:lineRule="auto"/>
              <w:ind w:left="0" w:firstLine="0"/>
              <w:jc w:val="both"/>
              <w:rPr>
                <w:sz w:val="21"/>
                <w:szCs w:val="21"/>
              </w:rPr>
            </w:pPr>
            <w:r>
              <w:rPr>
                <w:sz w:val="21"/>
                <w:szCs w:val="21"/>
              </w:rPr>
              <w:t>For example, Afro-Colombian communities currently have rights of access to the Gorgona National Natural Park for their small-scale fisheries activities, on which they depend for their livelihoods. Although the project intends to protect the rights of access of the communities living in and around the MPAs, these activities could result in some form of restrictions of access. Moreover, an increase in connectivity between MPAs would likely mean the creation and/or expansion of corridors and protected areas, w</w:t>
            </w:r>
            <w:r>
              <w:rPr>
                <w:sz w:val="21"/>
                <w:szCs w:val="21"/>
              </w:rPr>
              <w:t>hich might result in further access restrictions.</w:t>
            </w:r>
          </w:p>
          <w:p w:rsidR="005A63D1" w:rsidRDefault="00DB5899" w14:paraId="000001EB" w14:textId="77777777">
            <w:pPr>
              <w:pStyle w:val="Normal2"/>
              <w:shd w:val="clear" w:color="auto" w:fill="FFFFFF"/>
              <w:spacing w:after="200" w:line="259" w:lineRule="auto"/>
              <w:ind w:left="0" w:firstLine="0"/>
              <w:jc w:val="both"/>
              <w:rPr>
                <w:sz w:val="21"/>
                <w:szCs w:val="21"/>
              </w:rPr>
            </w:pPr>
            <w:r>
              <w:rPr>
                <w:sz w:val="21"/>
                <w:szCs w:val="21"/>
              </w:rPr>
              <w:t>Mangrove restoration is not expected to cause access restrictions since it would take place in protected areas where access is currently not permitted, although this will have to be confirmed once the adaptation activities have been fully identified and developed.</w:t>
            </w:r>
          </w:p>
          <w:p w:rsidR="005A63D1" w:rsidRDefault="00DB5899" w14:paraId="000001EC" w14:textId="77777777">
            <w:pPr>
              <w:pStyle w:val="Normal2"/>
              <w:pBdr>
                <w:top w:val="nil"/>
                <w:left w:val="nil"/>
                <w:bottom w:val="nil"/>
                <w:right w:val="nil"/>
                <w:between w:val="nil"/>
              </w:pBdr>
              <w:shd w:val="clear" w:color="auto" w:fill="FFFFFF"/>
              <w:spacing w:after="200" w:line="259" w:lineRule="auto"/>
              <w:ind w:left="0" w:firstLine="0"/>
              <w:jc w:val="both"/>
              <w:rPr>
                <w:sz w:val="21"/>
                <w:szCs w:val="21"/>
                <w:shd w:val="clear" w:color="auto" w:fill="FCE5CD"/>
              </w:rPr>
            </w:pPr>
            <w:r>
              <w:rPr>
                <w:sz w:val="21"/>
                <w:szCs w:val="21"/>
              </w:rPr>
              <w:t>Additionally, possible activities as part of the blue business plans (</w:t>
            </w:r>
            <w:r>
              <w:rPr>
                <w:b/>
                <w:sz w:val="21"/>
                <w:szCs w:val="21"/>
              </w:rPr>
              <w:t>Component 3</w:t>
            </w:r>
            <w:r>
              <w:rPr>
                <w:sz w:val="21"/>
                <w:szCs w:val="21"/>
              </w:rPr>
              <w:t xml:space="preserve">) could cause economic displacement for these communities due to a limitation in their rights of access and the subsequent reduction in food and other resources. These activities might include the enforcement of regulations to ensure sustainability (such as closures, permitted sizes and quantities), banning of certain fishing methods, the protection of certain fish species, new and more sustainable fishing practices (e.g.cultivation of native marine species in floating cages or marine facilities </w:t>
            </w:r>
            <w:r>
              <w:rPr>
                <w:sz w:val="21"/>
                <w:szCs w:val="21"/>
              </w:rPr>
              <w:t>for human consumption), the strengthening of zoning in Marine Protected Areas (MPAs) to improve control and surveillance, and marine ecotourism (e.g. development of guided tours for marine life sightings) and training of tourism service providers to guarantee the sustainability of their actions.</w:t>
            </w:r>
          </w:p>
          <w:p w:rsidR="005A63D1" w:rsidRDefault="00DB5899" w14:paraId="000001ED" w14:textId="77777777">
            <w:pPr>
              <w:pStyle w:val="Normal2"/>
              <w:pBdr>
                <w:top w:val="nil"/>
                <w:left w:val="nil"/>
                <w:bottom w:val="nil"/>
                <w:right w:val="nil"/>
                <w:between w:val="nil"/>
              </w:pBdr>
              <w:shd w:val="clear" w:color="auto" w:fill="FFFFFF"/>
              <w:spacing w:after="200" w:line="259" w:lineRule="auto"/>
              <w:ind w:left="0" w:firstLine="0"/>
              <w:jc w:val="both"/>
              <w:rPr>
                <w:sz w:val="21"/>
                <w:szCs w:val="21"/>
              </w:rPr>
            </w:pPr>
            <w:r>
              <w:rPr>
                <w:sz w:val="21"/>
                <w:szCs w:val="21"/>
              </w:rPr>
              <w:t>Additionally, since the CMAR area has not yet been officially delimited from a geographical or jurisdictional perspective, this can give rise to confusion over the boundaries within which fishing is permitted as well as potential tensions and conflict between authorities and the population and among citizens of the different countries part of CMAR as a result.</w:t>
            </w:r>
          </w:p>
          <w:p w:rsidR="005A63D1" w:rsidRDefault="00DB5899" w14:paraId="000001EE" w14:textId="77777777">
            <w:pPr>
              <w:pStyle w:val="Normal2"/>
              <w:pBdr>
                <w:top w:val="nil"/>
                <w:left w:val="nil"/>
                <w:bottom w:val="nil"/>
                <w:right w:val="nil"/>
                <w:between w:val="nil"/>
              </w:pBdr>
              <w:shd w:val="clear" w:color="auto" w:fill="FFFFFF"/>
              <w:spacing w:after="200" w:line="259" w:lineRule="auto"/>
              <w:ind w:left="0" w:firstLine="0"/>
              <w:jc w:val="both"/>
              <w:rPr>
                <w:rFonts w:cs="Calibri"/>
                <w:sz w:val="20"/>
                <w:szCs w:val="20"/>
              </w:rPr>
            </w:pPr>
            <w:r>
              <w:rPr>
                <w:sz w:val="21"/>
                <w:szCs w:val="21"/>
              </w:rPr>
              <w:t>If any access restrictions are identified/confirmed, mitigation measures will need to be identified, including the development of a Process Framework.</w:t>
            </w:r>
          </w:p>
        </w:tc>
      </w:tr>
    </w:tbl>
    <w:p w:rsidR="005A63D1" w:rsidRDefault="005A63D1" w14:paraId="000001EF" w14:textId="77777777">
      <w:pPr>
        <w:pStyle w:val="Normal2"/>
        <w:tabs>
          <w:tab w:val="left" w:pos="2250"/>
        </w:tabs>
        <w:spacing w:after="0" w:line="276" w:lineRule="auto"/>
        <w:ind w:left="0" w:firstLine="0"/>
        <w:rPr>
          <w:b/>
          <w:sz w:val="2"/>
          <w:szCs w:val="2"/>
        </w:rPr>
      </w:pPr>
    </w:p>
    <w:p w:rsidR="005A63D1" w:rsidRDefault="005A63D1" w14:paraId="000001F0" w14:textId="77777777">
      <w:pPr>
        <w:pStyle w:val="Normal2"/>
        <w:tabs>
          <w:tab w:val="left" w:pos="2250"/>
        </w:tabs>
        <w:spacing w:after="0" w:line="276" w:lineRule="auto"/>
        <w:ind w:left="0" w:firstLine="0"/>
        <w:rPr>
          <w:b/>
          <w:sz w:val="2"/>
          <w:szCs w:val="2"/>
        </w:rPr>
      </w:pPr>
    </w:p>
    <w:p w:rsidR="005A63D1" w:rsidRDefault="00DB5899" w14:paraId="000001F1" w14:textId="77777777">
      <w:pPr>
        <w:pStyle w:val="Normal2"/>
        <w:tabs>
          <w:tab w:val="left" w:pos="2250"/>
        </w:tabs>
        <w:spacing w:after="0" w:line="276" w:lineRule="auto"/>
        <w:ind w:left="0" w:firstLine="0"/>
        <w:rPr>
          <w:b/>
          <w:sz w:val="2"/>
          <w:szCs w:val="2"/>
        </w:rPr>
      </w:pPr>
      <w:r>
        <w:br w:type="page"/>
      </w:r>
    </w:p>
    <w:p w:rsidR="005A63D1" w:rsidRDefault="005A63D1" w14:paraId="000001F2" w14:textId="77777777">
      <w:pPr>
        <w:pStyle w:val="Normal2"/>
        <w:tabs>
          <w:tab w:val="left" w:pos="2250"/>
        </w:tabs>
        <w:spacing w:after="0" w:line="276" w:lineRule="auto"/>
        <w:ind w:left="0" w:firstLine="0"/>
        <w:rPr>
          <w:b/>
          <w:sz w:val="2"/>
          <w:szCs w:val="2"/>
        </w:rPr>
      </w:pPr>
    </w:p>
    <w:tbl>
      <w:tblPr>
        <w:tblStyle w:val="afff8"/>
        <w:tblW w:w="9675" w:type="dxa"/>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9675"/>
      </w:tblGrid>
      <w:tr w:rsidR="005A63D1" w14:paraId="75539B1A" w14:textId="77777777">
        <w:tc>
          <w:tcPr>
            <w:tcW w:w="9675" w:type="dxa"/>
            <w:shd w:val="clear" w:color="auto" w:fill="7B7B7B"/>
            <w:vAlign w:val="center"/>
          </w:tcPr>
          <w:p w:rsidR="005A63D1" w:rsidRDefault="00DB5899" w14:paraId="000001F3" w14:textId="77777777">
            <w:pPr>
              <w:pStyle w:val="Normal2"/>
              <w:keepNext/>
              <w:tabs>
                <w:tab w:val="left" w:pos="2250"/>
              </w:tabs>
              <w:spacing w:after="0" w:line="276" w:lineRule="auto"/>
              <w:ind w:left="0" w:firstLine="0"/>
              <w:rPr>
                <w:rFonts w:cs="Calibri"/>
                <w:b/>
                <w:sz w:val="20"/>
                <w:szCs w:val="20"/>
              </w:rPr>
            </w:pPr>
            <w:r>
              <w:rPr>
                <w:rFonts w:cs="Calibri"/>
                <w:b/>
                <w:color w:val="FFFFFF"/>
                <w:u w:val="single"/>
              </w:rPr>
              <w:t xml:space="preserve">ESS 4 </w:t>
            </w:r>
            <w:r>
              <w:rPr>
                <w:rFonts w:cs="Calibri"/>
                <w:b/>
                <w:color w:val="FFFFFF"/>
              </w:rPr>
              <w:t xml:space="preserve">: Indigenous Peoples </w:t>
            </w:r>
            <w:r>
              <w:rPr>
                <w:rFonts w:cs="Calibri"/>
                <w:b/>
                <w:sz w:val="20"/>
                <w:szCs w:val="20"/>
                <w:vertAlign w:val="superscript"/>
              </w:rPr>
              <w:footnoteReference w:id="13"/>
            </w:r>
          </w:p>
        </w:tc>
      </w:tr>
      <w:tr w:rsidR="005A63D1" w14:paraId="3BB19159" w14:textId="77777777">
        <w:tc>
          <w:tcPr>
            <w:tcW w:w="9675" w:type="dxa"/>
            <w:shd w:val="clear" w:color="auto" w:fill="EDEDED"/>
          </w:tcPr>
          <w:p w:rsidR="005A63D1" w:rsidRDefault="00DB5899" w14:paraId="000001F4" w14:textId="77777777">
            <w:pPr>
              <w:pStyle w:val="Normal2"/>
              <w:keepNext/>
              <w:tabs>
                <w:tab w:val="left" w:pos="2250"/>
              </w:tabs>
              <w:spacing w:after="0" w:line="276" w:lineRule="auto"/>
              <w:ind w:left="90" w:firstLine="0"/>
              <w:rPr>
                <w:rFonts w:cs="Calibri"/>
                <w:sz w:val="20"/>
                <w:szCs w:val="20"/>
              </w:rPr>
            </w:pPr>
            <w:r>
              <w:rPr>
                <w:rFonts w:cs="Calibri"/>
                <w:sz w:val="20"/>
                <w:szCs w:val="20"/>
              </w:rPr>
              <w:t>Will the project:</w:t>
            </w:r>
          </w:p>
          <w:p w:rsidR="005A63D1" w:rsidRDefault="00DB5899" w14:paraId="000001F5" w14:textId="77777777">
            <w:pPr>
              <w:pStyle w:val="Normal2"/>
              <w:keepNext/>
              <w:numPr>
                <w:ilvl w:val="0"/>
                <w:numId w:val="8"/>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work in lands or territories traditionally owned, customarily used, or occupied by indigenous peoples?</w:t>
            </w:r>
          </w:p>
          <w:p w:rsidR="005A63D1" w:rsidRDefault="00DB5899" w14:paraId="000001F6" w14:textId="77777777">
            <w:pPr>
              <w:pStyle w:val="Normal2"/>
              <w:keepNext/>
              <w:numPr>
                <w:ilvl w:val="0"/>
                <w:numId w:val="8"/>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cause impacts on land and natural resources, including restrictions on land use or loss of access to natural resources, subject to traditional ownership or under customary use or occupation, or the location of a project or program on such land or the commercial development of such natural resources?</w:t>
            </w:r>
          </w:p>
          <w:p w:rsidR="005A63D1" w:rsidRDefault="00DB5899" w14:paraId="000001F7" w14:textId="77777777">
            <w:pPr>
              <w:pStyle w:val="Normal2"/>
              <w:keepNext/>
              <w:numPr>
                <w:ilvl w:val="0"/>
                <w:numId w:val="8"/>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cause relocation of Indigenous Peoples from land and natural resources subject to traditional ownership, or under customary use or occupation?</w:t>
            </w:r>
          </w:p>
          <w:p w:rsidR="005A63D1" w:rsidRDefault="00DB5899" w14:paraId="000001F8" w14:textId="77777777">
            <w:pPr>
              <w:pStyle w:val="Normal2"/>
              <w:keepNext/>
              <w:numPr>
                <w:ilvl w:val="0"/>
                <w:numId w:val="8"/>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cause significant impacts on an Indigenous People’s cultural heritage that is material to the identity and/or cultural, ceremonial, or spiritual aspects of the affected Indigenous People's lives, or the use of such cultural heritage for commercial purposes?</w:t>
            </w:r>
          </w:p>
          <w:p w:rsidR="005A63D1" w:rsidRDefault="00DB5899" w14:paraId="000001F9" w14:textId="77777777">
            <w:pPr>
              <w:pStyle w:val="Normal2"/>
              <w:keepNext/>
              <w:numPr>
                <w:ilvl w:val="0"/>
                <w:numId w:val="8"/>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include the commercial development of lands and natural resources central to Indigenous Peoples’ identity and livelihood, or commercial use of Indigenous Peoples’ Cultural Heritage?</w:t>
            </w:r>
          </w:p>
          <w:p w:rsidR="005A63D1" w:rsidRDefault="00DB5899" w14:paraId="000001FA" w14:textId="77777777">
            <w:pPr>
              <w:pStyle w:val="Normal2"/>
              <w:keepNext/>
              <w:numPr>
                <w:ilvl w:val="0"/>
                <w:numId w:val="8"/>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restrict the access of Indigenous Peoples to parks and protected areas?</w:t>
            </w:r>
          </w:p>
          <w:p w:rsidR="005A63D1" w:rsidRDefault="00DB5899" w14:paraId="000001FB" w14:textId="77777777">
            <w:pPr>
              <w:pStyle w:val="Normal2"/>
              <w:keepNext/>
              <w:numPr>
                <w:ilvl w:val="0"/>
                <w:numId w:val="8"/>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Work in territories where there is Indigenous Peoples in voluntary isolation or could result in undesired contact with IPs?</w:t>
            </w:r>
          </w:p>
          <w:p w:rsidR="005A63D1" w:rsidRDefault="005A63D1" w14:paraId="000001FC" w14:textId="77777777">
            <w:pPr>
              <w:pStyle w:val="Normal2"/>
              <w:spacing w:after="0" w:line="276" w:lineRule="auto"/>
              <w:ind w:left="-30" w:firstLine="0"/>
              <w:rPr>
                <w:rFonts w:cs="Calibri"/>
                <w:sz w:val="20"/>
                <w:szCs w:val="20"/>
              </w:rPr>
            </w:pPr>
          </w:p>
          <w:p w:rsidR="005A63D1" w:rsidRDefault="00DB5899" w14:paraId="000001FD" w14:textId="77777777">
            <w:pPr>
              <w:pStyle w:val="Normal2"/>
              <w:pBdr>
                <w:top w:val="nil"/>
                <w:left w:val="nil"/>
                <w:bottom w:val="nil"/>
                <w:right w:val="nil"/>
                <w:between w:val="nil"/>
              </w:pBdr>
              <w:spacing w:after="0" w:line="276" w:lineRule="auto"/>
              <w:ind w:left="-30" w:firstLine="0"/>
              <w:rPr>
                <w:sz w:val="20"/>
                <w:szCs w:val="20"/>
              </w:rPr>
            </w:pPr>
            <w:r>
              <w:rPr>
                <w:rFonts w:cs="Calibri"/>
                <w:sz w:val="20"/>
                <w:szCs w:val="20"/>
              </w:rPr>
              <w:t>☐</w:t>
            </w:r>
            <w:r>
              <w:rPr>
                <w:rFonts w:cs="Calibri"/>
                <w:sz w:val="20"/>
                <w:szCs w:val="20"/>
              </w:rPr>
              <w:t xml:space="preserve"> NO</w:t>
            </w:r>
            <w:r>
              <w:rPr>
                <w:sz w:val="20"/>
                <w:szCs w:val="20"/>
              </w:rPr>
              <w:t xml:space="preserve"> (to all of the above) </w:t>
            </w:r>
          </w:p>
          <w:p w:rsidR="005A63D1" w:rsidRDefault="00DB5899" w14:paraId="000001FE" w14:textId="77777777">
            <w:pPr>
              <w:pStyle w:val="Normal2"/>
              <w:pBdr>
                <w:top w:val="nil"/>
                <w:left w:val="nil"/>
                <w:bottom w:val="nil"/>
                <w:right w:val="nil"/>
                <w:between w:val="nil"/>
              </w:pBdr>
              <w:spacing w:after="0" w:line="276" w:lineRule="auto"/>
              <w:ind w:left="-30" w:firstLine="0"/>
              <w:rPr>
                <w:sz w:val="20"/>
                <w:szCs w:val="20"/>
              </w:rPr>
            </w:pPr>
            <w:r>
              <w:t>☐</w:t>
            </w:r>
            <w:r>
              <w:rPr>
                <w:sz w:val="20"/>
                <w:szCs w:val="20"/>
              </w:rPr>
              <w:t xml:space="preserve"> TO BE DETERMINED (TBD)</w:t>
            </w:r>
          </w:p>
          <w:p w:rsidR="005A63D1" w:rsidRDefault="00DB5899" w14:paraId="000001FF" w14:textId="77777777">
            <w:pPr>
              <w:pStyle w:val="Normal2"/>
              <w:pBdr>
                <w:top w:val="nil"/>
                <w:left w:val="nil"/>
                <w:bottom w:val="nil"/>
                <w:right w:val="nil"/>
                <w:between w:val="nil"/>
              </w:pBdr>
              <w:spacing w:after="0" w:line="276" w:lineRule="auto"/>
              <w:ind w:left="-30" w:firstLine="0"/>
              <w:rPr>
                <w:rFonts w:cs="Calibri"/>
                <w:sz w:val="20"/>
                <w:szCs w:val="20"/>
              </w:rPr>
            </w:pPr>
            <w:r>
              <w:t>☒</w:t>
            </w:r>
            <w:r>
              <w:rPr>
                <w:sz w:val="20"/>
                <w:szCs w:val="20"/>
              </w:rPr>
              <w:t xml:space="preserve"> YES (to any of</w:t>
            </w:r>
            <w:r>
              <w:rPr>
                <w:rFonts w:cs="Calibri"/>
                <w:sz w:val="20"/>
                <w:szCs w:val="20"/>
              </w:rPr>
              <w:t xml:space="preserve"> the above)</w:t>
            </w:r>
          </w:p>
          <w:p w:rsidR="005A63D1" w:rsidRDefault="00DB5899" w14:paraId="00000200" w14:textId="77777777">
            <w:pPr>
              <w:pStyle w:val="Normal2"/>
              <w:shd w:val="clear" w:color="auto" w:fill="FFFFFF"/>
              <w:spacing w:after="200" w:line="276" w:lineRule="auto"/>
              <w:ind w:left="0" w:firstLine="0"/>
              <w:rPr>
                <w:sz w:val="21"/>
                <w:szCs w:val="21"/>
              </w:rPr>
            </w:pPr>
            <w:r>
              <w:rPr>
                <w:sz w:val="21"/>
                <w:szCs w:val="21"/>
              </w:rPr>
              <w:t>The project will take place in areas that are occupied by groups that self-identify as Indigenous Peoples (IPs), who could benefit from or be impacted by project activities. These include members of the indigenous organisations Eperara Siapidara in Colombia (Gorgona National Park) and Salasacas</w:t>
            </w:r>
            <w:r>
              <w:rPr>
                <w:sz w:val="21"/>
                <w:szCs w:val="21"/>
                <w:vertAlign w:val="superscript"/>
              </w:rPr>
              <w:footnoteReference w:id="14"/>
            </w:r>
            <w:r>
              <w:rPr>
                <w:sz w:val="21"/>
                <w:szCs w:val="21"/>
              </w:rPr>
              <w:t xml:space="preserve"> in Ecuador (Galapagos). Additionally, Afro-Colombian communities also inhabit the CMAR area. These communities are predominantly involved in the fishing and tourism sectors and could therefore be impacted by project activities.</w:t>
            </w:r>
          </w:p>
          <w:p w:rsidR="005A63D1" w:rsidRDefault="00DB5899" w14:paraId="00000201" w14:textId="77777777">
            <w:pPr>
              <w:pStyle w:val="Normal2"/>
              <w:shd w:val="clear" w:color="auto" w:fill="FFFFFF"/>
              <w:spacing w:after="200" w:line="276" w:lineRule="auto"/>
              <w:ind w:left="0" w:firstLine="0"/>
              <w:rPr>
                <w:sz w:val="21"/>
                <w:szCs w:val="21"/>
              </w:rPr>
            </w:pPr>
            <w:r>
              <w:rPr>
                <w:sz w:val="21"/>
                <w:szCs w:val="21"/>
              </w:rPr>
              <w:t>The CI GEF (2020) definition of the term “Indigenous Peoples” is used in a generic sense to refer to a distinct social and cultural group possessing the following characteristics, in varying degrees: (a) Self-identification as members of a distinct indigenous social and cultural group and recognition of this identity by others; (b) Collective attachment to geographically distinct habitats, ancestral territories, or areas of seasonal use or occupation as well as to the natural resources in these areas; (c) C</w:t>
            </w:r>
            <w:r>
              <w:rPr>
                <w:sz w:val="21"/>
                <w:szCs w:val="21"/>
              </w:rPr>
              <w:t>ustomary cultural, economic, social, or political systems that are distinct or separate from those of the mainstream society or culture; and, (d) A distinct language or dialect (existing now or in the past), often different from the official language or languages of the country or region in which they reside. According to this definition, then, it is possible that some of the groups that could benefit from and/or be impacted by the project can be considered to be Indigenous Peoples, in which case ESS4 would</w:t>
            </w:r>
            <w:r>
              <w:rPr>
                <w:sz w:val="21"/>
                <w:szCs w:val="21"/>
              </w:rPr>
              <w:t xml:space="preserve"> be triggered. </w:t>
            </w:r>
          </w:p>
          <w:p w:rsidR="005A63D1" w:rsidRDefault="00DB5899" w14:paraId="00000202" w14:textId="77777777">
            <w:pPr>
              <w:pStyle w:val="Normal2"/>
              <w:shd w:val="clear" w:color="auto" w:fill="FFFFFF"/>
              <w:spacing w:after="200" w:line="276" w:lineRule="auto"/>
              <w:ind w:left="0" w:firstLine="0"/>
              <w:rPr>
                <w:sz w:val="21"/>
                <w:szCs w:val="21"/>
              </w:rPr>
            </w:pPr>
            <w:r>
              <w:rPr>
                <w:sz w:val="21"/>
                <w:szCs w:val="21"/>
              </w:rPr>
              <w:t>There is the possibility that activities as part of the project (those under Components 2 and 3) could cause access restrictions for some of these groups (please see ESS3 above). As explained in ESS3, the final set of activities to be implemented and their locations are yet to be established, and therefore it is not possible to confirm if IPs could be affected by these activities. It is not expected that the project will cause relocation of IPs. Likewise, the project does not take place in an area where the</w:t>
            </w:r>
            <w:r>
              <w:rPr>
                <w:sz w:val="21"/>
                <w:szCs w:val="21"/>
              </w:rPr>
              <w:t>re are IPs in voluntary isolation and where undesired contact with IPs could be a risk.</w:t>
            </w:r>
          </w:p>
          <w:p w:rsidR="005A63D1" w:rsidRDefault="00DB5899" w14:paraId="00000203" w14:textId="77777777">
            <w:pPr>
              <w:pStyle w:val="Normal2"/>
              <w:shd w:val="clear" w:color="auto" w:fill="FFFFFF"/>
              <w:spacing w:after="200" w:line="276" w:lineRule="auto"/>
              <w:ind w:left="0" w:firstLine="0"/>
              <w:rPr>
                <w:rFonts w:cs="Calibri"/>
                <w:sz w:val="20"/>
                <w:szCs w:val="20"/>
              </w:rPr>
            </w:pPr>
            <w:r>
              <w:rPr>
                <w:sz w:val="21"/>
                <w:szCs w:val="21"/>
              </w:rPr>
              <w:t>Since this ESS can be considered triggered, an effective consultation process with the affected IP communities will need to be conducted to fully identify their views and to seek their free, prior and informed consent (FPIC) for those activities affecting them. Moreover, an Indigenous Peoples Planning Framework (IPPF)/Indigenous Peoples Plan (IPP) describing measures to avoid possible adverse impacts will also be  need.</w:t>
            </w:r>
          </w:p>
        </w:tc>
      </w:tr>
    </w:tbl>
    <w:p w:rsidR="005A63D1" w:rsidRDefault="005A63D1" w14:paraId="00000204" w14:textId="77777777">
      <w:pPr>
        <w:pStyle w:val="Normal2"/>
        <w:tabs>
          <w:tab w:val="left" w:pos="2250"/>
        </w:tabs>
        <w:spacing w:after="0" w:line="276" w:lineRule="auto"/>
        <w:ind w:left="0" w:firstLine="0"/>
        <w:rPr>
          <w:b/>
          <w:sz w:val="2"/>
          <w:szCs w:val="2"/>
        </w:rPr>
      </w:pPr>
    </w:p>
    <w:p w:rsidR="005A63D1" w:rsidRDefault="005A63D1" w14:paraId="00000205" w14:textId="77777777">
      <w:pPr>
        <w:pStyle w:val="Normal2"/>
        <w:tabs>
          <w:tab w:val="left" w:pos="2250"/>
        </w:tabs>
        <w:spacing w:after="0" w:line="276" w:lineRule="auto"/>
        <w:ind w:left="0" w:firstLine="0"/>
        <w:rPr>
          <w:b/>
          <w:sz w:val="2"/>
          <w:szCs w:val="2"/>
        </w:rPr>
      </w:pPr>
    </w:p>
    <w:tbl>
      <w:tblPr>
        <w:tblStyle w:val="afff9"/>
        <w:tblW w:w="9690" w:type="dxa"/>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9690"/>
      </w:tblGrid>
      <w:tr w:rsidR="005A63D1" w14:paraId="390255E1" w14:textId="77777777">
        <w:tc>
          <w:tcPr>
            <w:tcW w:w="9690" w:type="dxa"/>
            <w:tcBorders>
              <w:top w:val="single" w:color="525252" w:sz="4" w:space="0"/>
              <w:left w:val="single" w:color="525252" w:sz="4" w:space="0"/>
              <w:bottom w:val="single" w:color="525252" w:sz="4" w:space="0"/>
              <w:right w:val="single" w:color="525252" w:sz="4" w:space="0"/>
            </w:tcBorders>
            <w:shd w:val="clear" w:color="auto" w:fill="7B7B7B"/>
            <w:vAlign w:val="center"/>
          </w:tcPr>
          <w:p w:rsidR="005A63D1" w:rsidRDefault="00DB5899" w14:paraId="00000206" w14:textId="77777777">
            <w:pPr>
              <w:pStyle w:val="Normal2"/>
              <w:keepNext/>
              <w:tabs>
                <w:tab w:val="left" w:pos="2250"/>
              </w:tabs>
              <w:spacing w:after="0" w:line="276" w:lineRule="auto"/>
              <w:ind w:left="0" w:firstLine="0"/>
              <w:rPr>
                <w:rFonts w:cs="Calibri"/>
                <w:b/>
                <w:color w:val="FFFFFF"/>
                <w:u w:val="single"/>
              </w:rPr>
            </w:pPr>
            <w:r>
              <w:rPr>
                <w:rFonts w:cs="Calibri"/>
                <w:b/>
                <w:color w:val="FFFFFF"/>
                <w:u w:val="single"/>
              </w:rPr>
              <w:t>ESS 5: Resource Efficiency and Pollution Prevention</w:t>
            </w:r>
          </w:p>
        </w:tc>
      </w:tr>
      <w:tr w:rsidR="005A63D1" w14:paraId="36077CB1" w14:textId="77777777">
        <w:tc>
          <w:tcPr>
            <w:tcW w:w="9690" w:type="dxa"/>
            <w:tcBorders>
              <w:top w:val="single" w:color="525252" w:sz="4" w:space="0"/>
              <w:left w:val="single" w:color="525252" w:sz="4" w:space="0"/>
              <w:bottom w:val="single" w:color="525252" w:sz="4" w:space="0"/>
              <w:right w:val="single" w:color="525252" w:sz="4" w:space="0"/>
            </w:tcBorders>
            <w:shd w:val="clear" w:color="auto" w:fill="EDEDED"/>
            <w:vAlign w:val="center"/>
          </w:tcPr>
          <w:p w:rsidR="005A63D1" w:rsidRDefault="00DB5899" w14:paraId="00000207" w14:textId="77777777">
            <w:pPr>
              <w:pStyle w:val="Normal2"/>
              <w:keepNext/>
              <w:tabs>
                <w:tab w:val="left" w:pos="2250"/>
              </w:tabs>
              <w:spacing w:after="0" w:line="276" w:lineRule="auto"/>
              <w:ind w:left="0" w:firstLine="0"/>
              <w:rPr>
                <w:rFonts w:cs="Calibri"/>
                <w:sz w:val="20"/>
                <w:szCs w:val="20"/>
              </w:rPr>
            </w:pPr>
            <w:r>
              <w:rPr>
                <w:rFonts w:cs="Calibri"/>
                <w:sz w:val="20"/>
                <w:szCs w:val="20"/>
              </w:rPr>
              <w:t xml:space="preserve">Will the project: </w:t>
            </w:r>
          </w:p>
          <w:p w:rsidR="005A63D1" w:rsidRDefault="00DB5899" w14:paraId="00000208" w14:textId="77777777">
            <w:pPr>
              <w:pStyle w:val="Normal2"/>
              <w:keepNext/>
              <w:numPr>
                <w:ilvl w:val="0"/>
                <w:numId w:val="9"/>
              </w:numPr>
              <w:pBdr>
                <w:top w:val="nil"/>
                <w:left w:val="nil"/>
                <w:bottom w:val="nil"/>
                <w:right w:val="nil"/>
                <w:between w:val="nil"/>
              </w:pBdr>
              <w:tabs>
                <w:tab w:val="left" w:pos="2280"/>
              </w:tabs>
              <w:spacing w:after="0" w:line="276" w:lineRule="auto"/>
              <w:ind w:left="360"/>
              <w:rPr>
                <w:rFonts w:cs="Calibri"/>
                <w:sz w:val="20"/>
                <w:szCs w:val="20"/>
              </w:rPr>
            </w:pPr>
            <w:r>
              <w:rPr>
                <w:rFonts w:cs="Calibri"/>
                <w:sz w:val="20"/>
                <w:szCs w:val="20"/>
              </w:rPr>
              <w:t>promote the trade in or use of any substances listed under the Stockholm Convention on Persistent Organic Pollutants, or other chemicals or hazardous materials subject to international bans, restrictions or phaseouts due to high toxicity to living organisms, environmental persistence, potential for bioaccumulation, or potential depletion of the ozone layer, consistent with relevant international treaties and agreements?</w:t>
            </w:r>
          </w:p>
          <w:p w:rsidR="005A63D1" w:rsidRDefault="00DB5899" w14:paraId="00000209" w14:textId="77777777">
            <w:pPr>
              <w:pStyle w:val="Normal2"/>
              <w:keepNext/>
              <w:numPr>
                <w:ilvl w:val="0"/>
                <w:numId w:val="9"/>
              </w:numPr>
              <w:pBdr>
                <w:top w:val="nil"/>
                <w:left w:val="nil"/>
                <w:bottom w:val="nil"/>
                <w:right w:val="nil"/>
                <w:between w:val="nil"/>
              </w:pBdr>
              <w:tabs>
                <w:tab w:val="left" w:pos="2250"/>
              </w:tabs>
              <w:spacing w:after="0" w:line="276" w:lineRule="auto"/>
              <w:ind w:left="360"/>
              <w:rPr>
                <w:rFonts w:cs="Calibri"/>
                <w:sz w:val="20"/>
                <w:szCs w:val="20"/>
              </w:rPr>
            </w:pPr>
            <w:r>
              <w:rPr>
                <w:rFonts w:cs="Calibri"/>
                <w:sz w:val="20"/>
                <w:szCs w:val="20"/>
              </w:rPr>
              <w:t>generate wastes and effluents, and emissions of short- and long-lived climate pollutants?</w:t>
            </w:r>
          </w:p>
          <w:p w:rsidR="005A63D1" w:rsidRDefault="00DB5899" w14:paraId="0000020A" w14:textId="77777777">
            <w:pPr>
              <w:pStyle w:val="Normal2"/>
              <w:keepNext/>
              <w:numPr>
                <w:ilvl w:val="0"/>
                <w:numId w:val="9"/>
              </w:numPr>
              <w:pBdr>
                <w:top w:val="nil"/>
                <w:left w:val="nil"/>
                <w:bottom w:val="nil"/>
                <w:right w:val="nil"/>
                <w:between w:val="nil"/>
              </w:pBdr>
              <w:tabs>
                <w:tab w:val="left" w:pos="2250"/>
              </w:tabs>
              <w:spacing w:after="0" w:line="276" w:lineRule="auto"/>
              <w:ind w:left="360"/>
              <w:rPr>
                <w:rFonts w:cs="Calibri"/>
                <w:sz w:val="20"/>
                <w:szCs w:val="20"/>
              </w:rPr>
            </w:pPr>
            <w:r>
              <w:rPr>
                <w:rFonts w:cs="Calibri"/>
                <w:sz w:val="20"/>
                <w:szCs w:val="20"/>
              </w:rPr>
              <w:t>involve pest management measures, Integrated Pest Management or Integrated Management of Vectors and Intermediate Hosts?</w:t>
            </w:r>
          </w:p>
          <w:p w:rsidR="005A63D1" w:rsidRDefault="00DB5899" w14:paraId="0000020B" w14:textId="77777777">
            <w:pPr>
              <w:pStyle w:val="Normal2"/>
              <w:keepNext/>
              <w:numPr>
                <w:ilvl w:val="0"/>
                <w:numId w:val="9"/>
              </w:numPr>
              <w:pBdr>
                <w:top w:val="nil"/>
                <w:left w:val="nil"/>
                <w:bottom w:val="nil"/>
                <w:right w:val="nil"/>
                <w:between w:val="nil"/>
              </w:pBdr>
              <w:tabs>
                <w:tab w:val="left" w:pos="2250"/>
              </w:tabs>
              <w:spacing w:after="0" w:line="276" w:lineRule="auto"/>
              <w:ind w:left="360"/>
              <w:rPr>
                <w:rFonts w:cs="Calibri"/>
                <w:sz w:val="20"/>
                <w:szCs w:val="20"/>
              </w:rPr>
            </w:pPr>
            <w:r>
              <w:rPr>
                <w:rFonts w:cs="Calibri"/>
                <w:sz w:val="20"/>
                <w:szCs w:val="20"/>
              </w:rPr>
              <w:t>procure pesticides?</w:t>
            </w:r>
          </w:p>
          <w:p w:rsidR="005A63D1" w:rsidRDefault="00DB5899" w14:paraId="0000020C" w14:textId="77777777">
            <w:pPr>
              <w:pStyle w:val="Normal2"/>
              <w:keepNext/>
              <w:numPr>
                <w:ilvl w:val="0"/>
                <w:numId w:val="9"/>
              </w:numPr>
              <w:pBdr>
                <w:top w:val="nil"/>
                <w:left w:val="nil"/>
                <w:bottom w:val="nil"/>
                <w:right w:val="nil"/>
                <w:between w:val="nil"/>
              </w:pBdr>
              <w:tabs>
                <w:tab w:val="left" w:pos="2250"/>
              </w:tabs>
              <w:spacing w:after="0" w:line="276" w:lineRule="auto"/>
              <w:ind w:left="360"/>
              <w:rPr>
                <w:rFonts w:cs="Calibri"/>
                <w:sz w:val="20"/>
                <w:szCs w:val="20"/>
              </w:rPr>
            </w:pPr>
            <w:r>
              <w:rPr>
                <w:rFonts w:cs="Calibri"/>
                <w:sz w:val="20"/>
                <w:szCs w:val="20"/>
              </w:rPr>
              <w:t>use energy, water and other resources and material inputs, where significant water consumption is involved and would cause adverse impacts on communities, other water users, and the environment?</w:t>
            </w:r>
          </w:p>
          <w:p w:rsidR="005A63D1" w:rsidRDefault="005A63D1" w14:paraId="0000020D" w14:textId="77777777">
            <w:pPr>
              <w:pStyle w:val="Normal2"/>
              <w:ind w:left="0" w:firstLine="0"/>
              <w:rPr>
                <w:rFonts w:cs="Calibri"/>
                <w:sz w:val="20"/>
                <w:szCs w:val="20"/>
              </w:rPr>
            </w:pPr>
          </w:p>
          <w:p w:rsidR="005A63D1" w:rsidRDefault="00DB5899" w14:paraId="0000020E" w14:textId="77777777">
            <w:pPr>
              <w:pStyle w:val="Normal2"/>
              <w:keepNext/>
              <w:tabs>
                <w:tab w:val="left" w:pos="2250"/>
              </w:tabs>
              <w:spacing w:after="0" w:line="276" w:lineRule="auto"/>
              <w:ind w:left="0" w:firstLine="0"/>
              <w:rPr>
                <w:rFonts w:cs="Calibri"/>
                <w:sz w:val="20"/>
                <w:szCs w:val="20"/>
              </w:rPr>
            </w:pPr>
            <w:r>
              <w:t>☒</w:t>
            </w:r>
            <w:r>
              <w:rPr>
                <w:rFonts w:cs="Calibri"/>
                <w:sz w:val="20"/>
                <w:szCs w:val="20"/>
              </w:rPr>
              <w:t xml:space="preserve"> NO (to all of the above) </w:t>
            </w:r>
          </w:p>
          <w:p w:rsidR="005A63D1" w:rsidRDefault="00DB5899" w14:paraId="0000020F" w14:textId="77777777">
            <w:pPr>
              <w:pStyle w:val="Normal2"/>
              <w:keepNext/>
              <w:tabs>
                <w:tab w:val="left" w:pos="2250"/>
              </w:tabs>
              <w:spacing w:after="0" w:line="276" w:lineRule="auto"/>
              <w:ind w:left="0" w:firstLine="0"/>
              <w:rPr>
                <w:rFonts w:cs="Calibri"/>
                <w:sz w:val="20"/>
                <w:szCs w:val="20"/>
              </w:rPr>
            </w:pPr>
            <w:r>
              <w:rPr>
                <w:sz w:val="20"/>
                <w:szCs w:val="20"/>
              </w:rPr>
              <w:t>☐</w:t>
            </w:r>
            <w:r>
              <w:rPr>
                <w:rFonts w:cs="Calibri"/>
                <w:sz w:val="20"/>
                <w:szCs w:val="20"/>
              </w:rPr>
              <w:t xml:space="preserve"> TO BE DETERMINED (TBD)</w:t>
            </w:r>
          </w:p>
          <w:p w:rsidR="005A63D1" w:rsidRDefault="00DB5899" w14:paraId="00000210" w14:textId="77777777">
            <w:pPr>
              <w:pStyle w:val="Normal2"/>
              <w:keepNext/>
              <w:tabs>
                <w:tab w:val="left" w:pos="2250"/>
              </w:tabs>
              <w:spacing w:after="0" w:line="276" w:lineRule="auto"/>
              <w:ind w:left="0" w:firstLine="0"/>
              <w:rPr>
                <w:rFonts w:cs="Calibri"/>
                <w:sz w:val="20"/>
                <w:szCs w:val="20"/>
              </w:rPr>
            </w:pPr>
            <w:r>
              <w:rPr>
                <w:rFonts w:cs="Calibri"/>
                <w:sz w:val="20"/>
                <w:szCs w:val="20"/>
              </w:rPr>
              <w:t>☐</w:t>
            </w:r>
            <w:r>
              <w:rPr>
                <w:rFonts w:cs="Calibri"/>
                <w:sz w:val="20"/>
                <w:szCs w:val="20"/>
              </w:rPr>
              <w:t xml:space="preserve"> YES (to any of the above)</w:t>
            </w:r>
          </w:p>
          <w:p w:rsidR="005A63D1" w:rsidRDefault="00DB5899" w14:paraId="00000211" w14:textId="77777777">
            <w:pPr>
              <w:pStyle w:val="Normal2"/>
              <w:shd w:val="clear" w:color="auto" w:fill="FFFFFF"/>
              <w:spacing w:after="0" w:line="259" w:lineRule="auto"/>
              <w:ind w:left="0" w:firstLine="0"/>
              <w:rPr>
                <w:rFonts w:cs="Calibri"/>
                <w:sz w:val="21"/>
                <w:szCs w:val="21"/>
              </w:rPr>
            </w:pPr>
            <w:r>
              <w:rPr>
                <w:sz w:val="21"/>
                <w:szCs w:val="21"/>
              </w:rPr>
              <w:t xml:space="preserve">It is not expected that the project will have the risks (a)-(e) stated above. However, it will need to be ensured that  activities as part of the project, particularly those included in the Climate Action Plan (Component 2) and blue economy business plans (Component 3), do not cause any inadvertent pollution or inefficient use of resources; for example, it will need to be ensured that blue economy activities as part of the tourism sector do not result in an increase in water consumption. This could be done </w:t>
            </w:r>
            <w:r>
              <w:rPr>
                <w:sz w:val="21"/>
                <w:szCs w:val="21"/>
              </w:rPr>
              <w:t>by including energy and resource efficiency and pollution avoidance considerations in these plans.</w:t>
            </w:r>
          </w:p>
          <w:p w:rsidR="005A63D1" w:rsidRDefault="005A63D1" w14:paraId="00000212" w14:textId="77777777">
            <w:pPr>
              <w:pStyle w:val="Normal2"/>
              <w:keepNext/>
              <w:tabs>
                <w:tab w:val="left" w:pos="2250"/>
              </w:tabs>
              <w:spacing w:after="0" w:line="276" w:lineRule="auto"/>
              <w:ind w:left="0" w:firstLine="0"/>
              <w:rPr>
                <w:rFonts w:cs="Calibri"/>
                <w:b/>
                <w:color w:val="FFFFFF"/>
                <w:u w:val="single"/>
              </w:rPr>
            </w:pPr>
          </w:p>
        </w:tc>
      </w:tr>
    </w:tbl>
    <w:p w:rsidR="005A63D1" w:rsidRDefault="005A63D1" w14:paraId="00000213" w14:textId="77777777">
      <w:pPr>
        <w:pStyle w:val="Normal2"/>
        <w:tabs>
          <w:tab w:val="left" w:pos="2250"/>
        </w:tabs>
        <w:spacing w:after="0" w:line="276" w:lineRule="auto"/>
        <w:ind w:left="0" w:firstLine="0"/>
        <w:rPr>
          <w:b/>
          <w:sz w:val="14"/>
          <w:szCs w:val="14"/>
        </w:rPr>
      </w:pPr>
    </w:p>
    <w:tbl>
      <w:tblPr>
        <w:tblStyle w:val="afffa"/>
        <w:tblW w:w="9705" w:type="dxa"/>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9705"/>
      </w:tblGrid>
      <w:tr w:rsidR="005A63D1" w14:paraId="1E8367BF" w14:textId="77777777">
        <w:tc>
          <w:tcPr>
            <w:tcW w:w="9705" w:type="dxa"/>
            <w:shd w:val="clear" w:color="auto" w:fill="7B7B7B"/>
            <w:vAlign w:val="center"/>
          </w:tcPr>
          <w:p w:rsidR="005A63D1" w:rsidRDefault="00DB5899" w14:paraId="00000214" w14:textId="77777777">
            <w:pPr>
              <w:pStyle w:val="Normal2"/>
              <w:keepNext/>
              <w:tabs>
                <w:tab w:val="left" w:pos="2250"/>
              </w:tabs>
              <w:spacing w:after="0" w:line="276" w:lineRule="auto"/>
              <w:ind w:left="0" w:firstLine="0"/>
              <w:rPr>
                <w:rFonts w:cs="Calibri"/>
                <w:b/>
                <w:color w:val="FFFFFF"/>
              </w:rPr>
            </w:pPr>
            <w:r>
              <w:rPr>
                <w:rFonts w:cs="Calibri"/>
                <w:b/>
                <w:color w:val="FFFFFF"/>
                <w:u w:val="single"/>
              </w:rPr>
              <w:t>ESS 6</w:t>
            </w:r>
            <w:r>
              <w:rPr>
                <w:rFonts w:cs="Calibri"/>
                <w:b/>
                <w:color w:val="FFFFFF"/>
              </w:rPr>
              <w:t>: Cultural Heritage</w:t>
            </w:r>
            <w:r>
              <w:rPr>
                <w:rFonts w:cs="Calibri"/>
                <w:b/>
                <w:color w:val="FFFFFF"/>
                <w:vertAlign w:val="superscript"/>
              </w:rPr>
              <w:footnoteReference w:id="15"/>
            </w:r>
          </w:p>
        </w:tc>
      </w:tr>
      <w:tr w:rsidR="005A63D1" w14:paraId="7C4567E0" w14:textId="77777777">
        <w:tc>
          <w:tcPr>
            <w:tcW w:w="9705" w:type="dxa"/>
            <w:shd w:val="clear" w:color="auto" w:fill="EDEDED"/>
          </w:tcPr>
          <w:p w:rsidR="005A63D1" w:rsidRDefault="00DB5899" w14:paraId="00000215" w14:textId="77777777">
            <w:pPr>
              <w:pStyle w:val="Normal2"/>
              <w:keepNext/>
              <w:tabs>
                <w:tab w:val="left" w:pos="2250"/>
              </w:tabs>
              <w:spacing w:after="0" w:line="276" w:lineRule="auto"/>
              <w:ind w:left="0" w:firstLine="0"/>
              <w:rPr>
                <w:rFonts w:cs="Calibri"/>
                <w:sz w:val="20"/>
                <w:szCs w:val="20"/>
              </w:rPr>
            </w:pPr>
            <w:r>
              <w:rPr>
                <w:rFonts w:cs="Calibri"/>
                <w:sz w:val="20"/>
                <w:szCs w:val="20"/>
              </w:rPr>
              <w:t xml:space="preserve">Will the project implement activities that affect cultural heritage (both tangible and/or intangible), including archaeological, paleontological, historical, architectural, and sacred sites including graveyards, burial sites, and sites with unique natural values?  </w:t>
            </w:r>
          </w:p>
          <w:p w:rsidR="005A63D1" w:rsidRDefault="005A63D1" w14:paraId="00000216" w14:textId="77777777">
            <w:pPr>
              <w:pStyle w:val="Normal2"/>
              <w:spacing w:after="0" w:line="276" w:lineRule="auto"/>
              <w:ind w:left="0" w:firstLine="0"/>
              <w:rPr>
                <w:rFonts w:cs="Calibri"/>
                <w:sz w:val="20"/>
                <w:szCs w:val="20"/>
              </w:rPr>
            </w:pPr>
          </w:p>
          <w:p w:rsidR="005A63D1" w:rsidRDefault="00DB5899" w14:paraId="00000217" w14:textId="77777777">
            <w:pPr>
              <w:pStyle w:val="Normal2"/>
              <w:spacing w:after="0" w:line="276" w:lineRule="auto"/>
              <w:ind w:left="-30" w:firstLine="0"/>
              <w:rPr>
                <w:rFonts w:cs="Calibri"/>
                <w:sz w:val="20"/>
                <w:szCs w:val="20"/>
              </w:rPr>
            </w:pPr>
            <w:r>
              <w:t>☒</w:t>
            </w:r>
            <w:r>
              <w:rPr>
                <w:sz w:val="20"/>
                <w:szCs w:val="20"/>
              </w:rPr>
              <w:t xml:space="preserve"> </w:t>
            </w:r>
            <w:r>
              <w:rPr>
                <w:rFonts w:cs="Calibri"/>
                <w:sz w:val="20"/>
                <w:szCs w:val="20"/>
              </w:rPr>
              <w:t>NO</w:t>
            </w:r>
          </w:p>
          <w:p w:rsidR="005A63D1" w:rsidRDefault="00DB5899" w14:paraId="00000218" w14:textId="77777777">
            <w:pPr>
              <w:pStyle w:val="Normal2"/>
              <w:spacing w:after="0" w:line="276" w:lineRule="auto"/>
              <w:ind w:left="-30" w:firstLine="0"/>
              <w:rPr>
                <w:rFonts w:cs="Calibri"/>
                <w:sz w:val="20"/>
                <w:szCs w:val="20"/>
              </w:rPr>
            </w:pPr>
            <w:r>
              <w:rPr>
                <w:sz w:val="20"/>
                <w:szCs w:val="20"/>
              </w:rPr>
              <w:t>☐</w:t>
            </w:r>
            <w:r>
              <w:rPr>
                <w:sz w:val="20"/>
                <w:szCs w:val="20"/>
              </w:rPr>
              <w:t xml:space="preserve"> </w:t>
            </w:r>
            <w:r>
              <w:rPr>
                <w:rFonts w:cs="Calibri"/>
                <w:sz w:val="20"/>
                <w:szCs w:val="20"/>
              </w:rPr>
              <w:t>TO BE DETERMINED (TBD)</w:t>
            </w:r>
          </w:p>
          <w:p w:rsidR="005A63D1" w:rsidRDefault="00DB5899" w14:paraId="00000219" w14:textId="77777777">
            <w:pPr>
              <w:pStyle w:val="Normal2"/>
              <w:spacing w:after="0" w:line="276" w:lineRule="auto"/>
              <w:ind w:left="-30" w:firstLine="0"/>
              <w:rPr>
                <w:rFonts w:cs="Calibri"/>
                <w:sz w:val="20"/>
                <w:szCs w:val="20"/>
              </w:rPr>
            </w:pPr>
            <w:r>
              <w:rPr>
                <w:rFonts w:cs="Calibri"/>
                <w:sz w:val="20"/>
                <w:szCs w:val="20"/>
              </w:rPr>
              <w:t>☐</w:t>
            </w:r>
            <w:r>
              <w:rPr>
                <w:rFonts w:cs="Calibri"/>
                <w:sz w:val="20"/>
                <w:szCs w:val="20"/>
              </w:rPr>
              <w:t xml:space="preserve"> YES </w:t>
            </w:r>
          </w:p>
          <w:p w:rsidR="005A63D1" w:rsidRDefault="00DB5899" w14:paraId="0000021A" w14:textId="77777777">
            <w:pPr>
              <w:pStyle w:val="Normal2"/>
              <w:pBdr>
                <w:top w:val="nil"/>
                <w:left w:val="nil"/>
                <w:bottom w:val="nil"/>
                <w:right w:val="nil"/>
                <w:between w:val="nil"/>
              </w:pBdr>
              <w:shd w:val="clear" w:color="auto" w:fill="FFFFFF"/>
              <w:spacing w:after="200" w:line="259" w:lineRule="auto"/>
              <w:ind w:left="0" w:firstLine="0"/>
              <w:rPr>
                <w:sz w:val="21"/>
                <w:szCs w:val="21"/>
              </w:rPr>
            </w:pPr>
            <w:r>
              <w:rPr>
                <w:sz w:val="21"/>
                <w:szCs w:val="21"/>
              </w:rPr>
              <w:t>It is not expected that the project will include activities that could affect tangible cultural heritage; however, it is not possible to confirm at this point that there are no cultural heritage artefacts where potentially disruptive activities could take place (e.g. restriction of access to sacred sites including graveyards and burial sites or historical and paleontological sites due to restoration from EbA actions under Component 2), since the location for these activities is yet to be established. For ex</w:t>
            </w:r>
            <w:r>
              <w:rPr>
                <w:sz w:val="21"/>
                <w:szCs w:val="21"/>
              </w:rPr>
              <w:t>ample, petroglyphs from the Tumaco Tolita society can be found in Gorgona (PNNC n.d.), and the Galapagos Islands were declared a World Heritage Site due to, in part, their representative examples of important stages in the earth's history, including evidence of life, geological processes creating geological landforms or significant geomorphic or physiographic features. It is not expected that activities could affect this cultural heritage, but this will need to be confirmed once it is known where the activi</w:t>
            </w:r>
            <w:r>
              <w:rPr>
                <w:sz w:val="21"/>
                <w:szCs w:val="21"/>
              </w:rPr>
              <w:t xml:space="preserve">ties under this component will take place and an analysis has been carried out to ensure that any possible tangible cultural heritage is protected. </w:t>
            </w:r>
          </w:p>
          <w:p w:rsidR="005A63D1" w:rsidRDefault="00DB5899" w14:paraId="0000021B" w14:textId="77777777">
            <w:pPr>
              <w:pStyle w:val="Normal2"/>
              <w:pBdr>
                <w:top w:val="nil"/>
                <w:left w:val="nil"/>
                <w:bottom w:val="nil"/>
                <w:right w:val="nil"/>
                <w:between w:val="nil"/>
              </w:pBdr>
              <w:shd w:val="clear" w:color="auto" w:fill="FFFFFF"/>
              <w:spacing w:after="200" w:line="259" w:lineRule="auto"/>
              <w:ind w:left="0" w:firstLine="0"/>
              <w:rPr>
                <w:rFonts w:cs="Calibri"/>
                <w:sz w:val="20"/>
                <w:szCs w:val="20"/>
              </w:rPr>
            </w:pPr>
            <w:r>
              <w:rPr>
                <w:sz w:val="21"/>
                <w:szCs w:val="21"/>
              </w:rPr>
              <w:t xml:space="preserve">With regards to intangible cultural heritage, it will need to be ensured that activities under Component 3 do not have a negative effect on this type of cultural heritage. Any activities that try and change behaviour of people, such as the introduction of practices that are believed to be more sustainable, should consider that possible artisanal fishing techniques, i.e. collection of mussels, catching of crabs, etc. could fall under traditional knowledge and might thus be considered as intangible heritage. </w:t>
            </w:r>
            <w:r>
              <w:rPr>
                <w:sz w:val="21"/>
                <w:szCs w:val="21"/>
              </w:rPr>
              <w:t>Any activities that aim to introduce practices that depart from these traditional styles (i.e. implementation of sustainable fishing methods under blue economy plans and associated capacity building, as well as capacity building for tourism service providers to guarantee the sustainability of their actions) must consider the traditional knowledge and practices in place and evaluate whether more modern practices will indeed be more sustainable. Ideally, this should be discussed with the local communities app</w:t>
            </w:r>
            <w:r>
              <w:rPr>
                <w:sz w:val="21"/>
                <w:szCs w:val="21"/>
              </w:rPr>
              <w:t xml:space="preserve">lying traditional knowledge and practices, ensuring that this knowledge is appreciated and that any change in practices is developed in a participatory manner. </w:t>
            </w:r>
          </w:p>
        </w:tc>
      </w:tr>
    </w:tbl>
    <w:p w:rsidR="005A63D1" w:rsidRDefault="00DB5899" w14:paraId="0000021C" w14:textId="77777777">
      <w:pPr>
        <w:pStyle w:val="Normal2"/>
        <w:ind w:left="0" w:firstLine="0"/>
        <w:rPr>
          <w:sz w:val="2"/>
          <w:szCs w:val="2"/>
        </w:rPr>
      </w:pPr>
      <w:r>
        <w:br w:type="page"/>
      </w:r>
    </w:p>
    <w:p w:rsidR="005A63D1" w:rsidRDefault="005A63D1" w14:paraId="0000021D" w14:textId="77777777">
      <w:pPr>
        <w:pStyle w:val="Normal2"/>
        <w:ind w:left="0" w:firstLine="0"/>
        <w:rPr>
          <w:sz w:val="2"/>
          <w:szCs w:val="2"/>
        </w:rPr>
      </w:pPr>
    </w:p>
    <w:tbl>
      <w:tblPr>
        <w:tblStyle w:val="afffb"/>
        <w:tblW w:w="9720" w:type="dxa"/>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9720"/>
      </w:tblGrid>
      <w:tr w:rsidR="005A63D1" w14:paraId="3C9B84E0" w14:textId="77777777">
        <w:trPr>
          <w:cantSplit/>
        </w:trPr>
        <w:tc>
          <w:tcPr>
            <w:tcW w:w="9720" w:type="dxa"/>
            <w:shd w:val="clear" w:color="auto" w:fill="7B7B7B"/>
            <w:vAlign w:val="center"/>
          </w:tcPr>
          <w:p w:rsidR="005A63D1" w:rsidRDefault="00DB5899" w14:paraId="0000021E" w14:textId="77777777">
            <w:pPr>
              <w:pStyle w:val="Normal2"/>
              <w:keepNext/>
              <w:tabs>
                <w:tab w:val="left" w:pos="2250"/>
              </w:tabs>
              <w:spacing w:after="0" w:line="276" w:lineRule="auto"/>
              <w:ind w:left="0" w:firstLine="0"/>
              <w:rPr>
                <w:rFonts w:cs="Calibri"/>
                <w:b/>
                <w:color w:val="FFFFFF"/>
              </w:rPr>
            </w:pPr>
            <w:r>
              <w:rPr>
                <w:rFonts w:cs="Calibri"/>
                <w:b/>
                <w:color w:val="FFFFFF"/>
                <w:u w:val="single"/>
              </w:rPr>
              <w:t>ESS 7</w:t>
            </w:r>
            <w:r>
              <w:rPr>
                <w:rFonts w:cs="Calibri"/>
                <w:b/>
                <w:color w:val="FFFFFF"/>
              </w:rPr>
              <w:t>: Labor and Working Conditions</w:t>
            </w:r>
          </w:p>
        </w:tc>
      </w:tr>
      <w:tr w:rsidR="005A63D1" w14:paraId="46A0CB5F" w14:textId="77777777">
        <w:tc>
          <w:tcPr>
            <w:tcW w:w="9720" w:type="dxa"/>
            <w:shd w:val="clear" w:color="auto" w:fill="EDEDED"/>
          </w:tcPr>
          <w:p w:rsidR="005A63D1" w:rsidRDefault="00DB5899" w14:paraId="0000021F" w14:textId="77777777">
            <w:pPr>
              <w:pStyle w:val="Normal2"/>
              <w:keepNext/>
              <w:tabs>
                <w:tab w:val="left" w:pos="2250"/>
              </w:tabs>
              <w:spacing w:after="0" w:line="276" w:lineRule="auto"/>
              <w:ind w:left="90" w:firstLine="0"/>
              <w:rPr>
                <w:rFonts w:cs="Calibri"/>
                <w:sz w:val="20"/>
                <w:szCs w:val="20"/>
              </w:rPr>
            </w:pPr>
            <w:r>
              <w:rPr>
                <w:rFonts w:cs="Calibri"/>
                <w:sz w:val="20"/>
                <w:szCs w:val="20"/>
              </w:rPr>
              <w:t>Does the EA/EE have in place the necessary policies, procedures, systems and capabilities to ensure that:</w:t>
            </w:r>
          </w:p>
          <w:p w:rsidR="005A63D1" w:rsidRDefault="00DB5899" w14:paraId="00000220" w14:textId="77777777">
            <w:pPr>
              <w:pStyle w:val="Normal2"/>
              <w:keepNext/>
              <w:numPr>
                <w:ilvl w:val="0"/>
                <w:numId w:val="10"/>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 xml:space="preserve">the fundamental rights of workers, consistent with the International Labour Organization’s (ILO) Declaration on the Fundamental Principles and Rights at Work are respected and protected? </w:t>
            </w:r>
          </w:p>
          <w:p w:rsidR="005A63D1" w:rsidRDefault="00DB5899" w14:paraId="00000221" w14:textId="77777777">
            <w:pPr>
              <w:pStyle w:val="Normal2"/>
              <w:keepNext/>
              <w:numPr>
                <w:ilvl w:val="0"/>
                <w:numId w:val="10"/>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written labor management procedures are established in accordance with applicable national laws?</w:t>
            </w:r>
          </w:p>
          <w:p w:rsidR="005A63D1" w:rsidRDefault="00DB5899" w14:paraId="00000222" w14:textId="77777777">
            <w:pPr>
              <w:pStyle w:val="Normal2"/>
              <w:keepNext/>
              <w:numPr>
                <w:ilvl w:val="0"/>
                <w:numId w:val="10"/>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workers are provided with clear and understandable documentation of employment terms and conditions, including their rights under national law to hours of work, wages, overtime, compensation and benefits?</w:t>
            </w:r>
          </w:p>
          <w:p w:rsidR="005A63D1" w:rsidRDefault="00DB5899" w14:paraId="00000223" w14:textId="77777777">
            <w:pPr>
              <w:pStyle w:val="Normal2"/>
              <w:keepNext/>
              <w:numPr>
                <w:ilvl w:val="0"/>
                <w:numId w:val="10"/>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workers are provided regular and timely payment of wages; adequate periods of rest, holiday, sick, maternity, paternity, and family leave; and written notice of termination and severance payments, as required under national laws and the labor management procedures?</w:t>
            </w:r>
          </w:p>
          <w:p w:rsidR="005A63D1" w:rsidRDefault="00DB5899" w14:paraId="00000224" w14:textId="77777777">
            <w:pPr>
              <w:pStyle w:val="Normal2"/>
              <w:keepNext/>
              <w:numPr>
                <w:ilvl w:val="0"/>
                <w:numId w:val="10"/>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decisions relating to any aspect of the employment relationship, including recruitment, hiring and treatment of workers, are made based on the principles of non-discrimination, equal opportunity and fair treatment, and not on the basis of personal characteristics unrelated to inherent job requirements?</w:t>
            </w:r>
          </w:p>
          <w:p w:rsidR="005A63D1" w:rsidRDefault="00DB5899" w14:paraId="00000225" w14:textId="77777777">
            <w:pPr>
              <w:pStyle w:val="Normal2"/>
              <w:keepNext/>
              <w:numPr>
                <w:ilvl w:val="0"/>
                <w:numId w:val="10"/>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appropriate measures are in place to prevent harassment, intimidation, and exploitation, and to protect vulnerable workers, including but not limited to women, children of working age, migrants and persons with disabilities?</w:t>
            </w:r>
          </w:p>
          <w:p w:rsidR="005A63D1" w:rsidRDefault="00DB5899" w14:paraId="00000226" w14:textId="77777777">
            <w:pPr>
              <w:pStyle w:val="Normal2"/>
              <w:keepNext/>
              <w:numPr>
                <w:ilvl w:val="0"/>
                <w:numId w:val="10"/>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workers who participate, or seek to participate, in workers’ organizations and collective bargaining, do so without interference, are not discriminated or retaliated against, and are provided with information needed for meaningful negotiation in a timely manner?</w:t>
            </w:r>
          </w:p>
          <w:p w:rsidR="005A63D1" w:rsidRDefault="00DB5899" w14:paraId="00000227" w14:textId="77777777">
            <w:pPr>
              <w:pStyle w:val="Normal2"/>
              <w:keepNext/>
              <w:numPr>
                <w:ilvl w:val="0"/>
                <w:numId w:val="10"/>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forced labor and child labor are not used in connection with the project or program?</w:t>
            </w:r>
          </w:p>
          <w:p w:rsidR="005A63D1" w:rsidRDefault="00DB5899" w14:paraId="00000228" w14:textId="77777777">
            <w:pPr>
              <w:pStyle w:val="Normal2"/>
              <w:keepNext/>
              <w:numPr>
                <w:ilvl w:val="0"/>
                <w:numId w:val="10"/>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occupational health and safety (OHS) measures are applied to establish and maintain a safe and healthy working environment, including supply chain workers?</w:t>
            </w:r>
          </w:p>
          <w:p w:rsidR="005A63D1" w:rsidRDefault="00DB5899" w14:paraId="00000229" w14:textId="77777777">
            <w:pPr>
              <w:pStyle w:val="Normal2"/>
              <w:keepNext/>
              <w:numPr>
                <w:ilvl w:val="0"/>
                <w:numId w:val="10"/>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workers are informed of applicable grievance and conflict resolution systems provided at the workplace level?</w:t>
            </w:r>
          </w:p>
          <w:p w:rsidR="005A63D1" w:rsidRDefault="00DB5899" w14:paraId="0000022A" w14:textId="77777777">
            <w:pPr>
              <w:pStyle w:val="Normal2"/>
              <w:keepNext/>
              <w:numPr>
                <w:ilvl w:val="0"/>
                <w:numId w:val="10"/>
              </w:numPr>
              <w:pBdr>
                <w:top w:val="nil"/>
                <w:left w:val="nil"/>
                <w:bottom w:val="nil"/>
                <w:right w:val="nil"/>
                <w:between w:val="nil"/>
              </w:pBdr>
              <w:tabs>
                <w:tab w:val="left" w:pos="2250"/>
              </w:tabs>
              <w:spacing w:after="0" w:line="276" w:lineRule="auto"/>
              <w:rPr>
                <w:rFonts w:cs="Calibri"/>
                <w:sz w:val="20"/>
                <w:szCs w:val="20"/>
              </w:rPr>
            </w:pPr>
            <w:r>
              <w:rPr>
                <w:rFonts w:cs="Calibri"/>
                <w:sz w:val="20"/>
                <w:szCs w:val="20"/>
              </w:rPr>
              <w:t>workers may use these mechanisms without retribution, and the grievance and conflict resolution systems does not impede access to other judicial or administrative remedies available under the law or through existing arbitration procedures, or substitute for grievance systems provided through collective agreements?</w:t>
            </w:r>
          </w:p>
          <w:p w:rsidR="005A63D1" w:rsidRDefault="005A63D1" w14:paraId="0000022B" w14:textId="77777777">
            <w:pPr>
              <w:pStyle w:val="Normal2"/>
              <w:spacing w:after="0" w:line="276" w:lineRule="auto"/>
              <w:ind w:left="0" w:firstLine="0"/>
              <w:rPr>
                <w:rFonts w:cs="Calibri"/>
                <w:sz w:val="20"/>
                <w:szCs w:val="20"/>
              </w:rPr>
            </w:pPr>
          </w:p>
          <w:p w:rsidR="005A63D1" w:rsidRDefault="00DB5899" w14:paraId="0000022C" w14:textId="77777777">
            <w:pPr>
              <w:pStyle w:val="Normal2"/>
              <w:spacing w:after="0" w:line="276" w:lineRule="auto"/>
              <w:ind w:left="-30" w:firstLine="0"/>
              <w:rPr>
                <w:rFonts w:cs="Calibri"/>
                <w:sz w:val="20"/>
                <w:szCs w:val="20"/>
              </w:rPr>
            </w:pPr>
            <w:r>
              <w:rPr>
                <w:sz w:val="20"/>
                <w:szCs w:val="20"/>
              </w:rPr>
              <w:t>☐</w:t>
            </w:r>
            <w:r>
              <w:rPr>
                <w:rFonts w:cs="Calibri"/>
                <w:sz w:val="20"/>
                <w:szCs w:val="20"/>
              </w:rPr>
              <w:t xml:space="preserve"> NO (to any of the above) </w:t>
            </w:r>
          </w:p>
          <w:p w:rsidR="005A63D1" w:rsidRDefault="00DB5899" w14:paraId="0000022D" w14:textId="77777777">
            <w:pPr>
              <w:pStyle w:val="Normal2"/>
              <w:spacing w:after="0" w:line="276" w:lineRule="auto"/>
              <w:ind w:left="-30" w:firstLine="0"/>
              <w:rPr>
                <w:rFonts w:cs="Calibri"/>
                <w:sz w:val="20"/>
                <w:szCs w:val="20"/>
              </w:rPr>
            </w:pPr>
            <w:r>
              <w:t>☐</w:t>
            </w:r>
            <w:r>
              <w:rPr>
                <w:rFonts w:cs="Calibri"/>
                <w:sz w:val="20"/>
                <w:szCs w:val="20"/>
              </w:rPr>
              <w:t xml:space="preserve"> TO BE DETERMINED (TBD)</w:t>
            </w:r>
          </w:p>
          <w:p w:rsidR="005A63D1" w:rsidRDefault="00DB5899" w14:paraId="0000022E" w14:textId="77777777">
            <w:pPr>
              <w:pStyle w:val="Normal2"/>
              <w:spacing w:after="0" w:line="276" w:lineRule="auto"/>
              <w:ind w:left="-30" w:firstLine="0"/>
              <w:rPr>
                <w:rFonts w:cs="Calibri"/>
                <w:sz w:val="20"/>
                <w:szCs w:val="20"/>
              </w:rPr>
            </w:pPr>
            <w:r>
              <w:t>☒</w:t>
            </w:r>
            <w:r>
              <w:rPr>
                <w:rFonts w:cs="Calibri"/>
                <w:sz w:val="20"/>
                <w:szCs w:val="20"/>
              </w:rPr>
              <w:t xml:space="preserve"> YES (to all of the above)</w:t>
            </w:r>
          </w:p>
          <w:p w:rsidR="005A63D1" w:rsidRDefault="00DB5899" w14:paraId="0000022F" w14:textId="77777777">
            <w:pPr>
              <w:pStyle w:val="Normal2"/>
              <w:shd w:val="clear" w:color="auto" w:fill="FFFFFF"/>
              <w:spacing w:after="200" w:line="259" w:lineRule="auto"/>
              <w:ind w:left="0" w:firstLine="0"/>
              <w:rPr>
                <w:sz w:val="21"/>
                <w:szCs w:val="21"/>
              </w:rPr>
            </w:pPr>
            <w:r>
              <w:rPr>
                <w:sz w:val="21"/>
                <w:szCs w:val="21"/>
              </w:rPr>
              <w:t>It is expected that Fundación Pacífico (EA) w</w:t>
            </w:r>
            <w:r>
              <w:rPr>
                <w:sz w:val="21"/>
                <w:szCs w:val="21"/>
              </w:rPr>
              <w:t>ill have the necessary policies, procedures, systems and capabilities in place to avoid the risks (a) - (k) mentioned above. Fundación Pacífico’s ESMS contains a standard on labour and working conditions, which is based on World Bank’s guidance (ESS2: Labor and Working Conditions). The objectives of the standard are i) to promote health and safety in PACIFICO's activities and projects, ii) to promote fair treatment, non-discrimination and equal opportunity in such activities and projects, and iii) avoid for</w:t>
            </w:r>
            <w:r>
              <w:rPr>
                <w:sz w:val="21"/>
                <w:szCs w:val="21"/>
              </w:rPr>
              <w:t>ced labor of any kind and child labor (under 14 years of age). The requirements of PACIFICO’s standard and that of the World Bank, as well as the provisions of the national labor laws in all Pacifico countries and those included in Pacifico’s governance documents (Manual de Puestos, Manual de Políticas y Procedimientos), ensure (a) to (k) above are covered.</w:t>
            </w:r>
          </w:p>
          <w:p w:rsidR="005A63D1" w:rsidRDefault="00DB5899" w14:paraId="00000230" w14:textId="77777777">
            <w:pPr>
              <w:pStyle w:val="Normal2"/>
              <w:shd w:val="clear" w:color="auto" w:fill="FFFFFF"/>
              <w:spacing w:after="200" w:line="259" w:lineRule="auto"/>
              <w:ind w:left="0" w:firstLine="0"/>
              <w:rPr>
                <w:sz w:val="21"/>
                <w:szCs w:val="21"/>
              </w:rPr>
            </w:pPr>
            <w:r>
              <w:rPr>
                <w:sz w:val="21"/>
                <w:szCs w:val="21"/>
              </w:rPr>
              <w:t xml:space="preserve">Nonetheless, it is important to note that where the project creates employment opportunities it must be ensured that these meet ILO standards. This includes activities under Components 2 and 3. For example, where the implementation of Blue Economy Plans leads to new employment opportunities, it would be important that these are safe and fair for all, i.e they are equally available for women and men, working conditions meet international OHS standards, include fair remuneration and employment benefits, etc. </w:t>
            </w:r>
            <w:r>
              <w:rPr>
                <w:sz w:val="21"/>
                <w:szCs w:val="21"/>
              </w:rPr>
              <w:t>Pacifico’s ESMS is aligned with the 10 Fundamental Conventions of the ILO and therefore it is expected that these will be met.</w:t>
            </w:r>
          </w:p>
          <w:p w:rsidR="005A63D1" w:rsidRDefault="00DB5899" w14:paraId="00000231" w14:textId="77777777">
            <w:pPr>
              <w:pStyle w:val="Normal2"/>
              <w:shd w:val="clear" w:color="auto" w:fill="FFFFFF"/>
              <w:spacing w:after="200" w:line="259" w:lineRule="auto"/>
              <w:ind w:left="0" w:firstLine="0"/>
              <w:rPr>
                <w:sz w:val="21"/>
                <w:szCs w:val="21"/>
              </w:rPr>
            </w:pPr>
            <w:r>
              <w:rPr>
                <w:sz w:val="21"/>
                <w:szCs w:val="21"/>
              </w:rPr>
              <w:t>Regarding (j) and (k): At the moment, no one has been informed about the grievance mechanism yet. Therefore, Pacifico needs to ensure that all stakeholders and workers are duly informed and that the mechanism guarantees point (k) above once implementation starts.</w:t>
            </w:r>
          </w:p>
        </w:tc>
      </w:tr>
    </w:tbl>
    <w:p w:rsidR="005A63D1" w:rsidRDefault="005A63D1" w14:paraId="00000232" w14:textId="77777777">
      <w:pPr>
        <w:pStyle w:val="Normal2"/>
        <w:tabs>
          <w:tab w:val="left" w:pos="2250"/>
        </w:tabs>
        <w:spacing w:after="0" w:line="276" w:lineRule="auto"/>
        <w:ind w:left="0" w:firstLine="0"/>
        <w:rPr>
          <w:b/>
          <w:sz w:val="20"/>
          <w:szCs w:val="20"/>
        </w:rPr>
      </w:pPr>
    </w:p>
    <w:tbl>
      <w:tblPr>
        <w:tblStyle w:val="afffc"/>
        <w:tblW w:w="9705" w:type="dxa"/>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9705"/>
      </w:tblGrid>
      <w:tr w:rsidR="005A63D1" w14:paraId="1C01FBBB" w14:textId="77777777">
        <w:tc>
          <w:tcPr>
            <w:tcW w:w="9705" w:type="dxa"/>
            <w:shd w:val="clear" w:color="auto" w:fill="7B7B7B"/>
            <w:vAlign w:val="center"/>
          </w:tcPr>
          <w:p w:rsidR="005A63D1" w:rsidRDefault="00DB5899" w14:paraId="00000233" w14:textId="77777777">
            <w:pPr>
              <w:pStyle w:val="Normal2"/>
              <w:keepNext/>
              <w:tabs>
                <w:tab w:val="left" w:pos="2250"/>
              </w:tabs>
              <w:spacing w:after="0" w:line="276" w:lineRule="auto"/>
              <w:ind w:left="0" w:firstLine="0"/>
              <w:rPr>
                <w:rFonts w:cs="Calibri"/>
                <w:b/>
                <w:color w:val="FFFFFF"/>
              </w:rPr>
            </w:pPr>
            <w:r>
              <w:rPr>
                <w:rFonts w:cs="Calibri"/>
                <w:b/>
                <w:color w:val="FFFFFF"/>
                <w:u w:val="single"/>
              </w:rPr>
              <w:t>ESS 8</w:t>
            </w:r>
            <w:r>
              <w:rPr>
                <w:rFonts w:cs="Calibri"/>
                <w:b/>
                <w:color w:val="FFFFFF"/>
              </w:rPr>
              <w:t>: Community Health, Safety and Security</w:t>
            </w:r>
          </w:p>
        </w:tc>
      </w:tr>
      <w:tr w:rsidR="005A63D1" w14:paraId="7FCC0F32" w14:textId="77777777">
        <w:tc>
          <w:tcPr>
            <w:tcW w:w="9705" w:type="dxa"/>
            <w:shd w:val="clear" w:color="auto" w:fill="EDEDED"/>
          </w:tcPr>
          <w:p w:rsidR="005A63D1" w:rsidRDefault="00DB5899" w14:paraId="00000234" w14:textId="77777777">
            <w:pPr>
              <w:pStyle w:val="Normal2"/>
              <w:keepNext/>
              <w:tabs>
                <w:tab w:val="left" w:pos="2250"/>
              </w:tabs>
              <w:spacing w:after="0" w:line="276" w:lineRule="auto"/>
              <w:ind w:left="90" w:firstLine="0"/>
              <w:rPr>
                <w:rFonts w:cs="Calibri"/>
              </w:rPr>
            </w:pPr>
            <w:r>
              <w:rPr>
                <w:rFonts w:cs="Calibri"/>
              </w:rPr>
              <w:t xml:space="preserve">Please complete the following Risk Assessment Tool to determine community health, safety and security risks and their mitigation measures. Guidance on how to complete the Tool can be found in Appendix IX of the ESMF (Version 7). Try to identify risks in a way that recognizes diversity, disadvantaged groups that might be </w:t>
            </w:r>
            <w:r>
              <w:t>disproportionately</w:t>
            </w:r>
            <w:r>
              <w:rPr>
                <w:rFonts w:cs="Calibri"/>
              </w:rPr>
              <w:t xml:space="preserve"> affected or affected in different ways to others. For example, elderly and people with disabilities will be more impacted by natural hazards, or women having more exposure to accidents from having less access to Personal Protective Equipment (PPE).</w:t>
            </w:r>
          </w:p>
          <w:p w:rsidR="005A63D1" w:rsidRDefault="005A63D1" w14:paraId="00000235" w14:textId="77777777">
            <w:pPr>
              <w:pStyle w:val="Normal2"/>
              <w:keepNext/>
              <w:tabs>
                <w:tab w:val="left" w:pos="2250"/>
              </w:tabs>
              <w:spacing w:after="0" w:line="276" w:lineRule="auto"/>
              <w:ind w:left="90" w:firstLine="0"/>
              <w:rPr>
                <w:rFonts w:cs="Calibri"/>
              </w:rPr>
            </w:pPr>
          </w:p>
          <w:p w:rsidR="005A63D1" w:rsidRDefault="00DB5899" w14:paraId="00000236" w14:textId="77777777">
            <w:pPr>
              <w:pStyle w:val="Normal2"/>
              <w:keepNext/>
              <w:tabs>
                <w:tab w:val="left" w:pos="2250"/>
              </w:tabs>
              <w:spacing w:after="0" w:line="276" w:lineRule="auto"/>
              <w:ind w:left="90" w:firstLine="0"/>
              <w:rPr>
                <w:rFonts w:cs="Calibri"/>
              </w:rPr>
            </w:pPr>
            <w:r>
              <w:rPr>
                <w:rFonts w:cs="Calibri"/>
              </w:rPr>
              <w:t>Some of the CHSS risks may include but are not limited to:</w:t>
            </w:r>
          </w:p>
          <w:p w:rsidR="005A63D1" w:rsidRDefault="00DB5899" w14:paraId="00000237" w14:textId="77777777">
            <w:pPr>
              <w:pStyle w:val="Normal2"/>
              <w:keepNext/>
              <w:numPr>
                <w:ilvl w:val="0"/>
                <w:numId w:val="2"/>
              </w:numPr>
              <w:pBdr>
                <w:top w:val="nil"/>
                <w:left w:val="nil"/>
                <w:bottom w:val="nil"/>
                <w:right w:val="nil"/>
                <w:between w:val="nil"/>
              </w:pBdr>
              <w:tabs>
                <w:tab w:val="left" w:pos="2250"/>
              </w:tabs>
              <w:spacing w:after="0" w:line="276" w:lineRule="auto"/>
              <w:ind w:left="450"/>
              <w:rPr>
                <w:rFonts w:cs="Calibri"/>
                <w:i/>
                <w:color w:val="1C4587"/>
                <w:sz w:val="20"/>
                <w:szCs w:val="20"/>
              </w:rPr>
            </w:pPr>
            <w:r>
              <w:rPr>
                <w:rFonts w:cs="Calibri"/>
              </w:rPr>
              <w:t>Natural hazards/disasters such as flooding, drought, wildfires, volcanic eruptions, earthquakes, typhoons and hurricanes;</w:t>
            </w:r>
          </w:p>
          <w:p w:rsidR="005A63D1" w:rsidRDefault="00DB5899" w14:paraId="00000238" w14:textId="77777777">
            <w:pPr>
              <w:pStyle w:val="Normal2"/>
              <w:keepNext/>
              <w:numPr>
                <w:ilvl w:val="0"/>
                <w:numId w:val="2"/>
              </w:numPr>
              <w:pBdr>
                <w:top w:val="nil"/>
                <w:left w:val="nil"/>
                <w:bottom w:val="nil"/>
                <w:right w:val="nil"/>
                <w:between w:val="nil"/>
              </w:pBdr>
              <w:tabs>
                <w:tab w:val="left" w:pos="2250"/>
              </w:tabs>
              <w:spacing w:after="0" w:line="276" w:lineRule="auto"/>
              <w:ind w:left="450"/>
              <w:rPr>
                <w:rFonts w:cs="Calibri"/>
                <w:i/>
                <w:color w:val="1C4587"/>
                <w:sz w:val="20"/>
                <w:szCs w:val="20"/>
              </w:rPr>
            </w:pPr>
            <w:r>
              <w:rPr>
                <w:rFonts w:cs="Calibri"/>
              </w:rPr>
              <w:t>Climate change and ecosystem service stress such as increased temperatures;</w:t>
            </w:r>
          </w:p>
          <w:p w:rsidR="005A63D1" w:rsidRDefault="00DB5899" w14:paraId="00000239" w14:textId="77777777">
            <w:pPr>
              <w:pStyle w:val="Normal2"/>
              <w:keepNext/>
              <w:numPr>
                <w:ilvl w:val="0"/>
                <w:numId w:val="2"/>
              </w:numPr>
              <w:pBdr>
                <w:top w:val="nil"/>
                <w:left w:val="nil"/>
                <w:bottom w:val="nil"/>
                <w:right w:val="nil"/>
                <w:between w:val="nil"/>
              </w:pBdr>
              <w:tabs>
                <w:tab w:val="left" w:pos="2250"/>
              </w:tabs>
              <w:spacing w:after="0" w:line="276" w:lineRule="auto"/>
              <w:ind w:left="450"/>
              <w:rPr>
                <w:rFonts w:cs="Calibri"/>
                <w:i/>
                <w:color w:val="1C4587"/>
                <w:sz w:val="20"/>
                <w:szCs w:val="20"/>
              </w:rPr>
            </w:pPr>
            <w:r>
              <w:rPr>
                <w:rFonts w:cs="Calibri"/>
              </w:rPr>
              <w:t>Exposure to Hazardous Materials such pesticides and banned chemicals;</w:t>
            </w:r>
          </w:p>
          <w:p w:rsidR="005A63D1" w:rsidRDefault="00DB5899" w14:paraId="0000023A" w14:textId="77777777">
            <w:pPr>
              <w:pStyle w:val="Normal2"/>
              <w:keepNext/>
              <w:numPr>
                <w:ilvl w:val="0"/>
                <w:numId w:val="2"/>
              </w:numPr>
              <w:pBdr>
                <w:top w:val="nil"/>
                <w:left w:val="nil"/>
                <w:bottom w:val="nil"/>
                <w:right w:val="nil"/>
                <w:between w:val="nil"/>
              </w:pBdr>
              <w:tabs>
                <w:tab w:val="left" w:pos="2250"/>
              </w:tabs>
              <w:spacing w:after="0" w:line="276" w:lineRule="auto"/>
              <w:ind w:left="450"/>
              <w:rPr>
                <w:rFonts w:cs="Calibri"/>
                <w:i/>
                <w:color w:val="1C4587"/>
                <w:sz w:val="20"/>
                <w:szCs w:val="20"/>
              </w:rPr>
            </w:pPr>
            <w:r>
              <w:rPr>
                <w:rFonts w:cs="Calibri"/>
              </w:rPr>
              <w:t xml:space="preserve">Exposure to communicable/vector-borne disease such as Ebola, COVID-19, and Malaria; </w:t>
            </w:r>
          </w:p>
          <w:p w:rsidR="005A63D1" w:rsidRDefault="00DB5899" w14:paraId="0000023B" w14:textId="77777777">
            <w:pPr>
              <w:pStyle w:val="Normal2"/>
              <w:keepNext/>
              <w:numPr>
                <w:ilvl w:val="0"/>
                <w:numId w:val="2"/>
              </w:numPr>
              <w:pBdr>
                <w:top w:val="nil"/>
                <w:left w:val="nil"/>
                <w:bottom w:val="nil"/>
                <w:right w:val="nil"/>
                <w:between w:val="nil"/>
              </w:pBdr>
              <w:tabs>
                <w:tab w:val="left" w:pos="2250"/>
              </w:tabs>
              <w:spacing w:after="0" w:line="276" w:lineRule="auto"/>
              <w:ind w:left="450"/>
              <w:rPr>
                <w:rFonts w:cs="Calibri"/>
                <w:i/>
                <w:color w:val="1C4587"/>
                <w:sz w:val="20"/>
                <w:szCs w:val="20"/>
              </w:rPr>
            </w:pPr>
            <w:r>
              <w:rPr>
                <w:rFonts w:cs="Calibri"/>
              </w:rPr>
              <w:t>Security related risk such as working in areas of conflict or post-conflict or with illegal activities (e.g. poaching, growing illicit crops), context with ongoing human rights violations, human-wildlife conflict, frequent and violent protests/demonstrations, working with armed rangers;</w:t>
            </w:r>
          </w:p>
          <w:p w:rsidR="005A63D1" w:rsidRDefault="00DB5899" w14:paraId="0000023C" w14:textId="77777777">
            <w:pPr>
              <w:pStyle w:val="Normal2"/>
              <w:keepNext/>
              <w:numPr>
                <w:ilvl w:val="0"/>
                <w:numId w:val="2"/>
              </w:numPr>
              <w:pBdr>
                <w:top w:val="nil"/>
                <w:left w:val="nil"/>
                <w:bottom w:val="nil"/>
                <w:right w:val="nil"/>
                <w:between w:val="nil"/>
              </w:pBdr>
              <w:tabs>
                <w:tab w:val="left" w:pos="2250"/>
              </w:tabs>
              <w:spacing w:after="0" w:line="276" w:lineRule="auto"/>
              <w:ind w:left="450"/>
              <w:rPr>
                <w:rFonts w:cs="Calibri"/>
                <w:i/>
                <w:color w:val="1C4587"/>
                <w:sz w:val="20"/>
                <w:szCs w:val="20"/>
              </w:rPr>
            </w:pPr>
            <w:r>
              <w:rPr>
                <w:rFonts w:cs="Calibri"/>
              </w:rPr>
              <w:t>Safety related risks such as failure of structural elements or infrastructure built by the project, lack of PPE; and</w:t>
            </w:r>
          </w:p>
          <w:p w:rsidR="005A63D1" w:rsidRDefault="00DB5899" w14:paraId="0000023D" w14:textId="77777777">
            <w:pPr>
              <w:pStyle w:val="Normal2"/>
              <w:keepNext/>
              <w:numPr>
                <w:ilvl w:val="0"/>
                <w:numId w:val="2"/>
              </w:numPr>
              <w:pBdr>
                <w:top w:val="nil"/>
                <w:left w:val="nil"/>
                <w:bottom w:val="nil"/>
                <w:right w:val="nil"/>
                <w:between w:val="nil"/>
              </w:pBdr>
              <w:tabs>
                <w:tab w:val="left" w:pos="2250"/>
              </w:tabs>
              <w:spacing w:after="0" w:line="276" w:lineRule="auto"/>
              <w:ind w:left="450"/>
              <w:rPr>
                <w:rFonts w:cs="Calibri"/>
                <w:i/>
                <w:color w:val="1C4587"/>
                <w:sz w:val="20"/>
                <w:szCs w:val="20"/>
              </w:rPr>
            </w:pPr>
            <w:r>
              <w:rPr>
                <w:rFonts w:cs="Calibri"/>
              </w:rPr>
              <w:t>Gender-Based Violence (GBV) and Sexual Exploitation, Abuse and Harassment (SEAH).</w:t>
            </w:r>
          </w:p>
          <w:p w:rsidR="005A63D1" w:rsidRDefault="005A63D1" w14:paraId="0000023E" w14:textId="77777777">
            <w:pPr>
              <w:pStyle w:val="Normal2"/>
              <w:keepNext/>
              <w:tabs>
                <w:tab w:val="left" w:pos="2250"/>
              </w:tabs>
              <w:spacing w:after="0" w:line="276" w:lineRule="auto"/>
              <w:ind w:left="0" w:firstLine="0"/>
              <w:rPr>
                <w:rFonts w:cs="Calibri"/>
                <w:sz w:val="20"/>
                <w:szCs w:val="20"/>
              </w:rPr>
            </w:pPr>
          </w:p>
          <w:tbl>
            <w:tblPr>
              <w:tblStyle w:val="afffd"/>
              <w:tblW w:w="9135" w:type="dxa"/>
              <w:tblInd w:w="0" w:type="dxa"/>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Layout w:type="fixed"/>
              <w:tblLook w:val="0420" w:firstRow="1" w:lastRow="0" w:firstColumn="0" w:lastColumn="0" w:noHBand="0" w:noVBand="1"/>
            </w:tblPr>
            <w:tblGrid>
              <w:gridCol w:w="2025"/>
              <w:gridCol w:w="1065"/>
              <w:gridCol w:w="990"/>
              <w:gridCol w:w="1215"/>
              <w:gridCol w:w="750"/>
              <w:gridCol w:w="3090"/>
            </w:tblGrid>
            <w:tr w:rsidR="005A63D1" w:rsidTr="005A63D1" w14:paraId="25646434" w14:textId="77777777">
              <w:trPr>
                <w:cnfStyle w:val="100000000000" w:firstRow="1" w:lastRow="0" w:firstColumn="0" w:lastColumn="0" w:oddVBand="0" w:evenVBand="0" w:oddHBand="0" w:evenHBand="0" w:firstRowFirstColumn="0" w:firstRowLastColumn="0" w:lastRowFirstColumn="0" w:lastRowLastColumn="0"/>
                <w:trHeight w:val="330"/>
              </w:trPr>
              <w:tc>
                <w:tcPr>
                  <w:tcW w:w="2025" w:type="dxa"/>
                  <w:shd w:val="clear" w:color="auto" w:fill="A6A6A6"/>
                </w:tcPr>
                <w:p w:rsidR="005A63D1" w:rsidRDefault="00DB5899" w14:paraId="0000023F" w14:textId="77777777">
                  <w:pPr>
                    <w:pStyle w:val="Normal2"/>
                    <w:ind w:left="0" w:firstLine="0"/>
                    <w:jc w:val="center"/>
                    <w:rPr>
                      <w:sz w:val="19"/>
                      <w:szCs w:val="19"/>
                    </w:rPr>
                  </w:pPr>
                  <w:r>
                    <w:rPr>
                      <w:b/>
                      <w:color w:val="FFFFFF"/>
                      <w:sz w:val="19"/>
                      <w:szCs w:val="19"/>
                    </w:rPr>
                    <w:t>Community Health, Safety and Security Threat</w:t>
                  </w:r>
                </w:p>
              </w:tc>
              <w:tc>
                <w:tcPr>
                  <w:tcW w:w="1065" w:type="dxa"/>
                  <w:shd w:val="clear" w:color="auto" w:fill="A6A6A6"/>
                </w:tcPr>
                <w:p w:rsidR="005A63D1" w:rsidRDefault="00DB5899" w14:paraId="00000240" w14:textId="77777777">
                  <w:pPr>
                    <w:pStyle w:val="Normal2"/>
                    <w:jc w:val="center"/>
                    <w:rPr>
                      <w:sz w:val="19"/>
                      <w:szCs w:val="19"/>
                    </w:rPr>
                  </w:pPr>
                  <w:r>
                    <w:rPr>
                      <w:b/>
                      <w:color w:val="FFFFFF"/>
                      <w:sz w:val="19"/>
                      <w:szCs w:val="19"/>
                    </w:rPr>
                    <w:t>Likelihood</w:t>
                  </w:r>
                </w:p>
              </w:tc>
              <w:tc>
                <w:tcPr>
                  <w:tcW w:w="990" w:type="dxa"/>
                  <w:shd w:val="clear" w:color="auto" w:fill="A6A6A6"/>
                </w:tcPr>
                <w:p w:rsidR="005A63D1" w:rsidRDefault="00DB5899" w14:paraId="00000241" w14:textId="77777777">
                  <w:pPr>
                    <w:pStyle w:val="Normal2"/>
                    <w:jc w:val="center"/>
                    <w:rPr>
                      <w:sz w:val="19"/>
                      <w:szCs w:val="19"/>
                    </w:rPr>
                  </w:pPr>
                  <w:r>
                    <w:rPr>
                      <w:b/>
                      <w:color w:val="FFFFFF"/>
                      <w:sz w:val="19"/>
                      <w:szCs w:val="19"/>
                    </w:rPr>
                    <w:t>Impact</w:t>
                  </w:r>
                </w:p>
              </w:tc>
              <w:tc>
                <w:tcPr>
                  <w:tcW w:w="1215" w:type="dxa"/>
                  <w:shd w:val="clear" w:color="auto" w:fill="A6A6A6"/>
                </w:tcPr>
                <w:p w:rsidR="005A63D1" w:rsidRDefault="00DB5899" w14:paraId="00000242" w14:textId="77777777">
                  <w:pPr>
                    <w:pStyle w:val="Normal2"/>
                    <w:jc w:val="center"/>
                    <w:rPr>
                      <w:sz w:val="19"/>
                      <w:szCs w:val="19"/>
                    </w:rPr>
                  </w:pPr>
                  <w:r>
                    <w:rPr>
                      <w:b/>
                      <w:color w:val="FFFFFF"/>
                      <w:sz w:val="19"/>
                      <w:szCs w:val="19"/>
                    </w:rPr>
                    <w:t>Risk</w:t>
                  </w:r>
                </w:p>
              </w:tc>
              <w:tc>
                <w:tcPr>
                  <w:tcW w:w="750" w:type="dxa"/>
                  <w:shd w:val="clear" w:color="auto" w:fill="A6A6A6"/>
                </w:tcPr>
                <w:p w:rsidR="005A63D1" w:rsidRDefault="00DB5899" w14:paraId="00000243" w14:textId="77777777">
                  <w:pPr>
                    <w:pStyle w:val="Normal2"/>
                    <w:ind w:left="0" w:firstLine="0"/>
                    <w:jc w:val="center"/>
                    <w:rPr>
                      <w:sz w:val="19"/>
                      <w:szCs w:val="19"/>
                    </w:rPr>
                  </w:pPr>
                  <w:r>
                    <w:rPr>
                      <w:b/>
                      <w:color w:val="FFFFFF"/>
                      <w:sz w:val="19"/>
                      <w:szCs w:val="19"/>
                    </w:rPr>
                    <w:t>Risk Rating</w:t>
                  </w:r>
                </w:p>
              </w:tc>
              <w:tc>
                <w:tcPr>
                  <w:tcW w:w="3090" w:type="dxa"/>
                  <w:shd w:val="clear" w:color="auto" w:fill="A6A6A6"/>
                </w:tcPr>
                <w:p w:rsidR="005A63D1" w:rsidRDefault="00DB5899" w14:paraId="00000244" w14:textId="77777777">
                  <w:pPr>
                    <w:pStyle w:val="Normal2"/>
                    <w:ind w:left="0" w:firstLine="0"/>
                    <w:jc w:val="center"/>
                    <w:rPr>
                      <w:sz w:val="19"/>
                      <w:szCs w:val="19"/>
                    </w:rPr>
                  </w:pPr>
                  <w:r>
                    <w:rPr>
                      <w:b/>
                      <w:color w:val="FFFFFF"/>
                      <w:sz w:val="19"/>
                      <w:szCs w:val="19"/>
                    </w:rPr>
                    <w:t>Mitigation Measures</w:t>
                  </w:r>
                </w:p>
              </w:tc>
            </w:tr>
            <w:tr w:rsidR="005A63D1" w:rsidTr="005A63D1" w14:paraId="2531E756" w14:textId="77777777">
              <w:trPr>
                <w:trHeight w:val="315"/>
              </w:trPr>
              <w:tc>
                <w:tcPr>
                  <w:tcW w:w="2025" w:type="dxa"/>
                </w:tcPr>
                <w:p w:rsidR="005A63D1" w:rsidRDefault="00DB5899" w14:paraId="00000245" w14:textId="77777777">
                  <w:pPr>
                    <w:pStyle w:val="Normal2"/>
                    <w:numPr>
                      <w:ilvl w:val="0"/>
                      <w:numId w:val="11"/>
                    </w:numPr>
                    <w:pBdr>
                      <w:top w:val="nil"/>
                      <w:left w:val="nil"/>
                      <w:bottom w:val="nil"/>
                      <w:right w:val="nil"/>
                      <w:between w:val="nil"/>
                    </w:pBdr>
                    <w:spacing w:after="0"/>
                    <w:rPr>
                      <w:sz w:val="19"/>
                      <w:szCs w:val="19"/>
                    </w:rPr>
                  </w:pPr>
                  <w:r>
                    <w:rPr>
                      <w:sz w:val="19"/>
                      <w:szCs w:val="19"/>
                    </w:rPr>
                    <w:t xml:space="preserve">Physical injury or harm and impact on project activities as a result of changing weather patterns due to seasonal El Niño/La Niña resulting in </w:t>
                  </w:r>
                  <w:r>
                    <w:t>natural hazards/disasters occuring in project MPAs and/or in close proximity to these areas</w:t>
                  </w:r>
                </w:p>
              </w:tc>
              <w:tc>
                <w:tcPr>
                  <w:tcW w:w="1065" w:type="dxa"/>
                </w:tcPr>
                <w:p w:rsidR="005A63D1" w:rsidRDefault="00DB5899" w14:paraId="00000246" w14:textId="77777777">
                  <w:pPr>
                    <w:pStyle w:val="Normal2"/>
                    <w:jc w:val="center"/>
                    <w:rPr>
                      <w:sz w:val="19"/>
                      <w:szCs w:val="19"/>
                    </w:rPr>
                  </w:pPr>
                  <w:r>
                    <w:rPr>
                      <w:sz w:val="19"/>
                      <w:szCs w:val="19"/>
                    </w:rPr>
                    <w:t>3</w:t>
                  </w:r>
                </w:p>
              </w:tc>
              <w:tc>
                <w:tcPr>
                  <w:tcW w:w="990" w:type="dxa"/>
                </w:tcPr>
                <w:p w:rsidR="005A63D1" w:rsidRDefault="00DB5899" w14:paraId="00000247" w14:textId="77777777">
                  <w:pPr>
                    <w:pStyle w:val="Normal2"/>
                    <w:jc w:val="center"/>
                    <w:rPr>
                      <w:sz w:val="19"/>
                      <w:szCs w:val="19"/>
                    </w:rPr>
                  </w:pPr>
                  <w:r>
                    <w:rPr>
                      <w:sz w:val="19"/>
                      <w:szCs w:val="19"/>
                    </w:rPr>
                    <w:t>4</w:t>
                  </w:r>
                </w:p>
              </w:tc>
              <w:tc>
                <w:tcPr>
                  <w:tcW w:w="1215" w:type="dxa"/>
                </w:tcPr>
                <w:p w:rsidR="005A63D1" w:rsidRDefault="00DB5899" w14:paraId="00000248" w14:textId="77777777">
                  <w:pPr>
                    <w:pStyle w:val="Normal2"/>
                    <w:ind w:left="-60" w:firstLine="0"/>
                    <w:jc w:val="center"/>
                    <w:rPr>
                      <w:sz w:val="19"/>
                      <w:szCs w:val="19"/>
                    </w:rPr>
                  </w:pPr>
                  <w:r>
                    <w:rPr>
                      <w:sz w:val="19"/>
                      <w:szCs w:val="19"/>
                    </w:rPr>
                    <w:t>medium</w:t>
                  </w:r>
                </w:p>
              </w:tc>
              <w:tc>
                <w:tcPr>
                  <w:tcW w:w="750" w:type="dxa"/>
                </w:tcPr>
                <w:p w:rsidR="005A63D1" w:rsidRDefault="00DB5899" w14:paraId="00000249" w14:textId="77777777">
                  <w:pPr>
                    <w:pStyle w:val="Normal2"/>
                    <w:jc w:val="center"/>
                    <w:rPr>
                      <w:sz w:val="19"/>
                      <w:szCs w:val="19"/>
                    </w:rPr>
                  </w:pPr>
                  <w:r>
                    <w:rPr>
                      <w:sz w:val="19"/>
                      <w:szCs w:val="19"/>
                    </w:rPr>
                    <w:t>12</w:t>
                  </w:r>
                </w:p>
              </w:tc>
              <w:tc>
                <w:tcPr>
                  <w:tcW w:w="3090" w:type="dxa"/>
                </w:tcPr>
                <w:p w:rsidR="005A63D1" w:rsidRDefault="00DB5899" w14:paraId="0000024A" w14:textId="77777777">
                  <w:pPr>
                    <w:pStyle w:val="Normal2"/>
                    <w:ind w:left="0" w:firstLine="0"/>
                    <w:rPr>
                      <w:sz w:val="19"/>
                      <w:szCs w:val="19"/>
                    </w:rPr>
                  </w:pPr>
                  <w:r>
                    <w:rPr>
                      <w:sz w:val="19"/>
                      <w:szCs w:val="19"/>
                    </w:rPr>
                    <w:t>Seasonal natural hazards as a result of this will need to be considered and included in the design of planned activities. The development of a climate vulnerability analysis (as part of Output 2.1.1.) partly addresses this risk. Additional measures include making use/sharing climate prediction models as well as weather alerts and warnings with relevant personnel/actors; using protective equipment and other safety measures for workers; choosing activities more resilient to these hazards for the adaptation an</w:t>
                  </w:r>
                  <w:r>
                    <w:rPr>
                      <w:sz w:val="19"/>
                      <w:szCs w:val="19"/>
                    </w:rPr>
                    <w:t>d blue economy plans; or suspending a/o adapting programming accordingly.</w:t>
                  </w:r>
                </w:p>
              </w:tc>
            </w:tr>
            <w:tr w:rsidR="005A63D1" w:rsidTr="005A63D1" w14:paraId="13F84EF4" w14:textId="77777777">
              <w:trPr>
                <w:trHeight w:val="330"/>
              </w:trPr>
              <w:tc>
                <w:tcPr>
                  <w:tcW w:w="2025" w:type="dxa"/>
                </w:tcPr>
                <w:p w:rsidR="005A63D1" w:rsidRDefault="00DB5899" w14:paraId="0000024B" w14:textId="77777777">
                  <w:pPr>
                    <w:pStyle w:val="Normal2"/>
                    <w:numPr>
                      <w:ilvl w:val="0"/>
                      <w:numId w:val="11"/>
                    </w:numPr>
                    <w:pBdr>
                      <w:top w:val="nil"/>
                      <w:left w:val="nil"/>
                      <w:bottom w:val="nil"/>
                      <w:right w:val="nil"/>
                      <w:between w:val="nil"/>
                    </w:pBdr>
                    <w:spacing w:after="0"/>
                    <w:rPr>
                      <w:sz w:val="16"/>
                      <w:szCs w:val="16"/>
                    </w:rPr>
                  </w:pPr>
                  <w:r>
                    <w:rPr>
                      <w:sz w:val="19"/>
                      <w:szCs w:val="19"/>
                    </w:rPr>
                    <w:t>P</w:t>
                  </w:r>
                  <w:r>
                    <w:rPr>
                      <w:sz w:val="18"/>
                      <w:szCs w:val="18"/>
                    </w:rPr>
                    <w:t>hysical injur</w:t>
                  </w:r>
                  <w:r>
                    <w:rPr>
                      <w:sz w:val="19"/>
                      <w:szCs w:val="19"/>
                    </w:rPr>
                    <w:t xml:space="preserve">y or harm due to unsafe working conditions </w:t>
                  </w:r>
                </w:p>
              </w:tc>
              <w:tc>
                <w:tcPr>
                  <w:tcW w:w="1065" w:type="dxa"/>
                </w:tcPr>
                <w:p w:rsidR="005A63D1" w:rsidRDefault="00DB5899" w14:paraId="0000024C" w14:textId="77777777">
                  <w:pPr>
                    <w:pStyle w:val="Normal2"/>
                    <w:ind w:left="283" w:right="-379" w:firstLine="0"/>
                    <w:rPr>
                      <w:sz w:val="18"/>
                      <w:szCs w:val="18"/>
                    </w:rPr>
                  </w:pPr>
                  <w:r>
                    <w:rPr>
                      <w:sz w:val="18"/>
                      <w:szCs w:val="18"/>
                    </w:rPr>
                    <w:t>2</w:t>
                  </w:r>
                </w:p>
              </w:tc>
              <w:tc>
                <w:tcPr>
                  <w:tcW w:w="990" w:type="dxa"/>
                </w:tcPr>
                <w:p w:rsidR="005A63D1" w:rsidRDefault="00DB5899" w14:paraId="0000024D" w14:textId="77777777">
                  <w:pPr>
                    <w:pStyle w:val="Normal2"/>
                    <w:ind w:left="0" w:firstLine="0"/>
                    <w:jc w:val="center"/>
                    <w:rPr>
                      <w:sz w:val="18"/>
                      <w:szCs w:val="18"/>
                    </w:rPr>
                  </w:pPr>
                  <w:r>
                    <w:rPr>
                      <w:sz w:val="18"/>
                      <w:szCs w:val="18"/>
                    </w:rPr>
                    <w:t>3</w:t>
                  </w:r>
                </w:p>
              </w:tc>
              <w:tc>
                <w:tcPr>
                  <w:tcW w:w="1215" w:type="dxa"/>
                </w:tcPr>
                <w:p w:rsidR="005A63D1" w:rsidRDefault="00DB5899" w14:paraId="0000024E" w14:textId="77777777">
                  <w:pPr>
                    <w:pStyle w:val="Normal2"/>
                    <w:ind w:left="-60" w:firstLine="0"/>
                    <w:jc w:val="center"/>
                    <w:rPr>
                      <w:sz w:val="18"/>
                      <w:szCs w:val="18"/>
                    </w:rPr>
                  </w:pPr>
                  <w:r>
                    <w:rPr>
                      <w:sz w:val="19"/>
                      <w:szCs w:val="19"/>
                    </w:rPr>
                    <w:t>low</w:t>
                  </w:r>
                </w:p>
              </w:tc>
              <w:tc>
                <w:tcPr>
                  <w:tcW w:w="750" w:type="dxa"/>
                </w:tcPr>
                <w:p w:rsidR="005A63D1" w:rsidRDefault="00DB5899" w14:paraId="0000024F" w14:textId="77777777">
                  <w:pPr>
                    <w:pStyle w:val="Normal2"/>
                    <w:jc w:val="center"/>
                    <w:rPr>
                      <w:sz w:val="18"/>
                      <w:szCs w:val="18"/>
                    </w:rPr>
                  </w:pPr>
                  <w:r>
                    <w:rPr>
                      <w:sz w:val="18"/>
                      <w:szCs w:val="18"/>
                    </w:rPr>
                    <w:t>6</w:t>
                  </w:r>
                </w:p>
              </w:tc>
              <w:tc>
                <w:tcPr>
                  <w:tcW w:w="3090" w:type="dxa"/>
                </w:tcPr>
                <w:p w:rsidR="005A63D1" w:rsidRDefault="00DB5899" w14:paraId="00000250" w14:textId="77777777">
                  <w:pPr>
                    <w:pStyle w:val="Normal2"/>
                    <w:ind w:left="0" w:firstLine="0"/>
                    <w:rPr>
                      <w:sz w:val="19"/>
                      <w:szCs w:val="19"/>
                    </w:rPr>
                  </w:pPr>
                  <w:r>
                    <w:rPr>
                      <w:sz w:val="19"/>
                      <w:szCs w:val="19"/>
                    </w:rPr>
                    <w:t>It is possible that port infrastructure resilient to adverse conditions will be built. Were this to be the case, project management will need to ensure that working conditions are safe for workers. This can be done by ensuring that workers are aware of possible unsafe practices, that they are provided with adequate PPE and that training is provided, if needed. However, these infrastructure works would be small-scale and therefore the likelihood of possible accidents is low.</w:t>
                  </w:r>
                </w:p>
              </w:tc>
            </w:tr>
            <w:tr w:rsidR="005A63D1" w:rsidTr="005A63D1" w14:paraId="464BCFF4" w14:textId="77777777">
              <w:trPr>
                <w:trHeight w:val="2128"/>
              </w:trPr>
              <w:tc>
                <w:tcPr>
                  <w:tcW w:w="2025" w:type="dxa"/>
                </w:tcPr>
                <w:p w:rsidR="005A63D1" w:rsidRDefault="00DB5899" w14:paraId="00000251" w14:textId="77777777">
                  <w:pPr>
                    <w:pStyle w:val="Normal2"/>
                    <w:numPr>
                      <w:ilvl w:val="0"/>
                      <w:numId w:val="11"/>
                    </w:numPr>
                    <w:spacing w:after="0"/>
                    <w:rPr>
                      <w:sz w:val="16"/>
                      <w:szCs w:val="16"/>
                    </w:rPr>
                  </w:pPr>
                  <w:r>
                    <w:rPr>
                      <w:sz w:val="18"/>
                      <w:szCs w:val="18"/>
                    </w:rPr>
                    <w:t>Contraction or transmission of COVID-19 or other transmittable diseases</w:t>
                  </w:r>
                  <w:r>
                    <w:rPr>
                      <w:sz w:val="19"/>
                      <w:szCs w:val="19"/>
                    </w:rPr>
                    <w:t xml:space="preserve"> as a result of coming together in presence in a larger group of people</w:t>
                  </w:r>
                </w:p>
              </w:tc>
              <w:tc>
                <w:tcPr>
                  <w:tcW w:w="1065" w:type="dxa"/>
                </w:tcPr>
                <w:p w:rsidR="005A63D1" w:rsidRDefault="00DB5899" w14:paraId="00000252" w14:textId="77777777">
                  <w:pPr>
                    <w:pStyle w:val="Normal2"/>
                    <w:ind w:left="283" w:right="-379" w:firstLine="0"/>
                    <w:rPr>
                      <w:sz w:val="18"/>
                      <w:szCs w:val="18"/>
                    </w:rPr>
                  </w:pPr>
                  <w:r>
                    <w:rPr>
                      <w:sz w:val="18"/>
                      <w:szCs w:val="18"/>
                    </w:rPr>
                    <w:t>3</w:t>
                  </w:r>
                </w:p>
              </w:tc>
              <w:tc>
                <w:tcPr>
                  <w:tcW w:w="990" w:type="dxa"/>
                </w:tcPr>
                <w:p w:rsidR="005A63D1" w:rsidRDefault="00DB5899" w14:paraId="00000253" w14:textId="77777777">
                  <w:pPr>
                    <w:pStyle w:val="Normal2"/>
                    <w:ind w:left="0" w:firstLine="0"/>
                    <w:jc w:val="center"/>
                    <w:rPr>
                      <w:sz w:val="18"/>
                      <w:szCs w:val="18"/>
                    </w:rPr>
                  </w:pPr>
                  <w:r>
                    <w:rPr>
                      <w:sz w:val="18"/>
                      <w:szCs w:val="18"/>
                    </w:rPr>
                    <w:t>3</w:t>
                  </w:r>
                </w:p>
              </w:tc>
              <w:tc>
                <w:tcPr>
                  <w:tcW w:w="1215" w:type="dxa"/>
                </w:tcPr>
                <w:p w:rsidR="005A63D1" w:rsidRDefault="00DB5899" w14:paraId="00000254" w14:textId="77777777">
                  <w:pPr>
                    <w:pStyle w:val="Normal2"/>
                    <w:ind w:left="-60" w:firstLine="0"/>
                    <w:jc w:val="center"/>
                    <w:rPr>
                      <w:sz w:val="18"/>
                      <w:szCs w:val="18"/>
                    </w:rPr>
                  </w:pPr>
                  <w:r>
                    <w:rPr>
                      <w:sz w:val="19"/>
                      <w:szCs w:val="19"/>
                    </w:rPr>
                    <w:t>low</w:t>
                  </w:r>
                </w:p>
              </w:tc>
              <w:tc>
                <w:tcPr>
                  <w:tcW w:w="750" w:type="dxa"/>
                </w:tcPr>
                <w:p w:rsidR="005A63D1" w:rsidRDefault="00DB5899" w14:paraId="00000255" w14:textId="77777777">
                  <w:pPr>
                    <w:pStyle w:val="Normal2"/>
                    <w:jc w:val="center"/>
                    <w:rPr>
                      <w:sz w:val="18"/>
                      <w:szCs w:val="18"/>
                    </w:rPr>
                  </w:pPr>
                  <w:r>
                    <w:rPr>
                      <w:sz w:val="18"/>
                      <w:szCs w:val="18"/>
                    </w:rPr>
                    <w:t>9</w:t>
                  </w:r>
                </w:p>
              </w:tc>
              <w:tc>
                <w:tcPr>
                  <w:tcW w:w="3090" w:type="dxa"/>
                </w:tcPr>
                <w:p w:rsidR="005A63D1" w:rsidRDefault="00DB5899" w14:paraId="00000256" w14:textId="77777777">
                  <w:pPr>
                    <w:pStyle w:val="Normal2"/>
                    <w:ind w:left="0" w:firstLine="0"/>
                    <w:rPr>
                      <w:sz w:val="18"/>
                      <w:szCs w:val="18"/>
                    </w:rPr>
                  </w:pPr>
                  <w:r>
                    <w:rPr>
                      <w:sz w:val="19"/>
                      <w:szCs w:val="19"/>
                    </w:rPr>
                    <w:t>Implement officially recommended measures as applicable/relevant as and when in-presence events are planned</w:t>
                  </w:r>
                </w:p>
              </w:tc>
            </w:tr>
            <w:tr w:rsidR="005A63D1" w:rsidTr="005A63D1" w14:paraId="6E86ABBD" w14:textId="77777777">
              <w:trPr>
                <w:trHeight w:val="330"/>
              </w:trPr>
              <w:tc>
                <w:tcPr>
                  <w:tcW w:w="2025" w:type="dxa"/>
                </w:tcPr>
                <w:p w:rsidR="005A63D1" w:rsidRDefault="00DB5899" w14:paraId="00000257" w14:textId="77777777">
                  <w:pPr>
                    <w:pStyle w:val="Normal2"/>
                    <w:numPr>
                      <w:ilvl w:val="0"/>
                      <w:numId w:val="11"/>
                    </w:numPr>
                    <w:pBdr>
                      <w:top w:val="nil"/>
                      <w:left w:val="nil"/>
                      <w:bottom w:val="nil"/>
                      <w:right w:val="nil"/>
                      <w:between w:val="nil"/>
                    </w:pBdr>
                    <w:spacing w:after="0"/>
                    <w:rPr>
                      <w:sz w:val="16"/>
                      <w:szCs w:val="16"/>
                    </w:rPr>
                  </w:pPr>
                  <w:r>
                    <w:rPr>
                      <w:sz w:val="18"/>
                      <w:szCs w:val="18"/>
                    </w:rPr>
                    <w:t xml:space="preserve">Tensions and/or violence with local population due to an </w:t>
                  </w:r>
                  <w:r>
                    <w:rPr>
                      <w:sz w:val="19"/>
                      <w:szCs w:val="19"/>
                    </w:rPr>
                    <w:t>increase in law enforcement operations</w:t>
                  </w:r>
                </w:p>
              </w:tc>
              <w:tc>
                <w:tcPr>
                  <w:tcW w:w="1065" w:type="dxa"/>
                </w:tcPr>
                <w:p w:rsidR="005A63D1" w:rsidRDefault="00DB5899" w14:paraId="00000258" w14:textId="77777777">
                  <w:pPr>
                    <w:pStyle w:val="Normal2"/>
                    <w:ind w:left="283" w:right="-379" w:firstLine="0"/>
                    <w:rPr>
                      <w:sz w:val="18"/>
                      <w:szCs w:val="18"/>
                    </w:rPr>
                  </w:pPr>
                  <w:r>
                    <w:rPr>
                      <w:sz w:val="18"/>
                      <w:szCs w:val="18"/>
                    </w:rPr>
                    <w:t>3</w:t>
                  </w:r>
                </w:p>
              </w:tc>
              <w:tc>
                <w:tcPr>
                  <w:tcW w:w="990" w:type="dxa"/>
                </w:tcPr>
                <w:p w:rsidR="005A63D1" w:rsidRDefault="00DB5899" w14:paraId="00000259" w14:textId="77777777">
                  <w:pPr>
                    <w:pStyle w:val="Normal2"/>
                    <w:ind w:left="0" w:firstLine="0"/>
                    <w:jc w:val="center"/>
                    <w:rPr>
                      <w:sz w:val="18"/>
                      <w:szCs w:val="18"/>
                    </w:rPr>
                  </w:pPr>
                  <w:r>
                    <w:rPr>
                      <w:sz w:val="18"/>
                      <w:szCs w:val="18"/>
                    </w:rPr>
                    <w:t>3</w:t>
                  </w:r>
                </w:p>
              </w:tc>
              <w:tc>
                <w:tcPr>
                  <w:tcW w:w="1215" w:type="dxa"/>
                </w:tcPr>
                <w:p w:rsidR="005A63D1" w:rsidRDefault="00DB5899" w14:paraId="0000025A" w14:textId="77777777">
                  <w:pPr>
                    <w:pStyle w:val="Normal2"/>
                    <w:ind w:left="-60" w:firstLine="0"/>
                    <w:jc w:val="center"/>
                    <w:rPr>
                      <w:sz w:val="18"/>
                      <w:szCs w:val="18"/>
                    </w:rPr>
                  </w:pPr>
                  <w:r>
                    <w:rPr>
                      <w:sz w:val="19"/>
                      <w:szCs w:val="19"/>
                    </w:rPr>
                    <w:t>low</w:t>
                  </w:r>
                </w:p>
              </w:tc>
              <w:tc>
                <w:tcPr>
                  <w:tcW w:w="750" w:type="dxa"/>
                </w:tcPr>
                <w:p w:rsidR="005A63D1" w:rsidRDefault="00DB5899" w14:paraId="0000025B" w14:textId="77777777">
                  <w:pPr>
                    <w:pStyle w:val="Normal2"/>
                    <w:jc w:val="center"/>
                    <w:rPr>
                      <w:sz w:val="18"/>
                      <w:szCs w:val="18"/>
                    </w:rPr>
                  </w:pPr>
                  <w:r>
                    <w:rPr>
                      <w:sz w:val="18"/>
                      <w:szCs w:val="18"/>
                    </w:rPr>
                    <w:t>9</w:t>
                  </w:r>
                </w:p>
              </w:tc>
              <w:tc>
                <w:tcPr>
                  <w:tcW w:w="3090" w:type="dxa"/>
                </w:tcPr>
                <w:p w:rsidR="005A63D1" w:rsidRDefault="00DB5899" w14:paraId="0000025C" w14:textId="77777777">
                  <w:pPr>
                    <w:pStyle w:val="Normal2"/>
                    <w:ind w:left="0" w:firstLine="0"/>
                    <w:rPr>
                      <w:sz w:val="19"/>
                      <w:szCs w:val="19"/>
                    </w:rPr>
                  </w:pPr>
                  <w:r>
                    <w:rPr>
                      <w:sz w:val="19"/>
                      <w:szCs w:val="19"/>
                    </w:rPr>
                    <w:t>Training of law enforcement personnel on human rights and rights of local resource users that may depend on certain marine resources; appropriate behaviour and use of force; etc.</w:t>
                  </w:r>
                </w:p>
              </w:tc>
            </w:tr>
            <w:tr w:rsidR="005A63D1" w:rsidTr="005A63D1" w14:paraId="2D05ED6D" w14:textId="77777777">
              <w:trPr>
                <w:trHeight w:val="330"/>
              </w:trPr>
              <w:tc>
                <w:tcPr>
                  <w:tcW w:w="2025" w:type="dxa"/>
                </w:tcPr>
                <w:p w:rsidR="005A63D1" w:rsidRDefault="00DB5899" w14:paraId="0000025D" w14:textId="77777777">
                  <w:pPr>
                    <w:pStyle w:val="Normal2"/>
                    <w:numPr>
                      <w:ilvl w:val="0"/>
                      <w:numId w:val="11"/>
                    </w:numPr>
                    <w:pBdr>
                      <w:top w:val="nil"/>
                      <w:left w:val="nil"/>
                      <w:bottom w:val="nil"/>
                      <w:right w:val="nil"/>
                      <w:between w:val="nil"/>
                    </w:pBdr>
                    <w:spacing w:after="0"/>
                    <w:rPr>
                      <w:sz w:val="16"/>
                      <w:szCs w:val="16"/>
                    </w:rPr>
                  </w:pPr>
                  <w:r>
                    <w:rPr>
                      <w:sz w:val="18"/>
                      <w:szCs w:val="18"/>
                    </w:rPr>
                    <w:t xml:space="preserve">Tensions and/or violence with local population due to </w:t>
                  </w:r>
                  <w:r>
                    <w:rPr>
                      <w:sz w:val="19"/>
                      <w:szCs w:val="19"/>
                    </w:rPr>
                    <w:t>confusion over boundaries / disagreement over enforcement measures</w:t>
                  </w:r>
                </w:p>
              </w:tc>
              <w:tc>
                <w:tcPr>
                  <w:tcW w:w="1065" w:type="dxa"/>
                </w:tcPr>
                <w:p w:rsidR="005A63D1" w:rsidRDefault="00DB5899" w14:paraId="0000025E" w14:textId="77777777">
                  <w:pPr>
                    <w:pStyle w:val="Normal2"/>
                    <w:ind w:left="283" w:right="-379" w:firstLine="0"/>
                    <w:rPr>
                      <w:sz w:val="18"/>
                      <w:szCs w:val="18"/>
                    </w:rPr>
                  </w:pPr>
                  <w:r>
                    <w:rPr>
                      <w:sz w:val="18"/>
                      <w:szCs w:val="18"/>
                    </w:rPr>
                    <w:t>3</w:t>
                  </w:r>
                </w:p>
              </w:tc>
              <w:tc>
                <w:tcPr>
                  <w:tcW w:w="990" w:type="dxa"/>
                </w:tcPr>
                <w:p w:rsidR="005A63D1" w:rsidRDefault="00DB5899" w14:paraId="0000025F" w14:textId="77777777">
                  <w:pPr>
                    <w:pStyle w:val="Normal2"/>
                    <w:ind w:left="0" w:firstLine="0"/>
                    <w:jc w:val="center"/>
                    <w:rPr>
                      <w:sz w:val="18"/>
                      <w:szCs w:val="18"/>
                    </w:rPr>
                  </w:pPr>
                  <w:r>
                    <w:rPr>
                      <w:sz w:val="18"/>
                      <w:szCs w:val="18"/>
                    </w:rPr>
                    <w:t>3</w:t>
                  </w:r>
                </w:p>
              </w:tc>
              <w:tc>
                <w:tcPr>
                  <w:tcW w:w="1215" w:type="dxa"/>
                </w:tcPr>
                <w:p w:rsidR="005A63D1" w:rsidRDefault="00DB5899" w14:paraId="00000260" w14:textId="77777777">
                  <w:pPr>
                    <w:pStyle w:val="Normal2"/>
                    <w:ind w:left="-60" w:firstLine="0"/>
                    <w:jc w:val="center"/>
                    <w:rPr>
                      <w:sz w:val="18"/>
                      <w:szCs w:val="18"/>
                    </w:rPr>
                  </w:pPr>
                  <w:r>
                    <w:rPr>
                      <w:sz w:val="19"/>
                      <w:szCs w:val="19"/>
                    </w:rPr>
                    <w:t>low</w:t>
                  </w:r>
                </w:p>
              </w:tc>
              <w:tc>
                <w:tcPr>
                  <w:tcW w:w="750" w:type="dxa"/>
                </w:tcPr>
                <w:p w:rsidR="005A63D1" w:rsidRDefault="00DB5899" w14:paraId="00000261" w14:textId="77777777">
                  <w:pPr>
                    <w:pStyle w:val="Normal2"/>
                    <w:jc w:val="center"/>
                    <w:rPr>
                      <w:sz w:val="18"/>
                      <w:szCs w:val="18"/>
                    </w:rPr>
                  </w:pPr>
                  <w:r>
                    <w:rPr>
                      <w:sz w:val="18"/>
                      <w:szCs w:val="18"/>
                    </w:rPr>
                    <w:t>9</w:t>
                  </w:r>
                </w:p>
              </w:tc>
              <w:tc>
                <w:tcPr>
                  <w:tcW w:w="3090" w:type="dxa"/>
                </w:tcPr>
                <w:p w:rsidR="005A63D1" w:rsidRDefault="00DB5899" w14:paraId="00000262" w14:textId="77777777">
                  <w:pPr>
                    <w:pStyle w:val="Normal2"/>
                    <w:ind w:left="0" w:firstLine="0"/>
                    <w:rPr>
                      <w:sz w:val="19"/>
                      <w:szCs w:val="19"/>
                    </w:rPr>
                  </w:pPr>
                  <w:r>
                    <w:rPr>
                      <w:sz w:val="19"/>
                      <w:szCs w:val="19"/>
                    </w:rPr>
                    <w:t>Ensuring that all rights holders and stakeholders are provided with clear and timely information over new/existing boundaries within which fishing is permitted; Ensuring that resource users are compensated for possible impacts resulting from access restrictions.</w:t>
                  </w:r>
                </w:p>
              </w:tc>
            </w:tr>
            <w:tr w:rsidR="005A63D1" w:rsidTr="005A63D1" w14:paraId="05218895" w14:textId="77777777">
              <w:trPr>
                <w:trHeight w:val="330"/>
              </w:trPr>
              <w:tc>
                <w:tcPr>
                  <w:tcW w:w="2025" w:type="dxa"/>
                </w:tcPr>
                <w:p w:rsidR="005A63D1" w:rsidRDefault="00DB5899" w14:paraId="00000263" w14:textId="77777777">
                  <w:pPr>
                    <w:pStyle w:val="Normal2"/>
                    <w:numPr>
                      <w:ilvl w:val="0"/>
                      <w:numId w:val="11"/>
                    </w:numPr>
                    <w:pBdr>
                      <w:top w:val="nil"/>
                      <w:left w:val="nil"/>
                      <w:bottom w:val="nil"/>
                      <w:right w:val="nil"/>
                      <w:between w:val="nil"/>
                    </w:pBdr>
                    <w:spacing w:after="0"/>
                    <w:rPr>
                      <w:sz w:val="16"/>
                      <w:szCs w:val="16"/>
                    </w:rPr>
                  </w:pPr>
                  <w:r>
                    <w:rPr>
                      <w:sz w:val="18"/>
                      <w:szCs w:val="18"/>
                    </w:rPr>
                    <w:t xml:space="preserve">Decrease in security for communities and project personnel (including risk of SEAH) due to </w:t>
                  </w:r>
                  <w:r>
                    <w:rPr>
                      <w:sz w:val="19"/>
                      <w:szCs w:val="19"/>
                    </w:rPr>
                    <w:t>narcotrafficking using marine routes</w:t>
                  </w:r>
                </w:p>
              </w:tc>
              <w:tc>
                <w:tcPr>
                  <w:tcW w:w="1065" w:type="dxa"/>
                </w:tcPr>
                <w:p w:rsidR="005A63D1" w:rsidRDefault="00DB5899" w14:paraId="00000264" w14:textId="77777777">
                  <w:pPr>
                    <w:pStyle w:val="Normal2"/>
                    <w:ind w:left="283" w:right="-379" w:firstLine="0"/>
                    <w:rPr>
                      <w:sz w:val="18"/>
                      <w:szCs w:val="18"/>
                    </w:rPr>
                  </w:pPr>
                  <w:r>
                    <w:rPr>
                      <w:sz w:val="18"/>
                      <w:szCs w:val="18"/>
                    </w:rPr>
                    <w:t>3</w:t>
                  </w:r>
                </w:p>
              </w:tc>
              <w:tc>
                <w:tcPr>
                  <w:tcW w:w="990" w:type="dxa"/>
                </w:tcPr>
                <w:p w:rsidR="005A63D1" w:rsidRDefault="00DB5899" w14:paraId="00000265" w14:textId="77777777">
                  <w:pPr>
                    <w:pStyle w:val="Normal2"/>
                    <w:ind w:left="0" w:firstLine="0"/>
                    <w:jc w:val="center"/>
                    <w:rPr>
                      <w:sz w:val="18"/>
                      <w:szCs w:val="18"/>
                    </w:rPr>
                  </w:pPr>
                  <w:r>
                    <w:rPr>
                      <w:sz w:val="18"/>
                      <w:szCs w:val="18"/>
                    </w:rPr>
                    <w:t>4</w:t>
                  </w:r>
                </w:p>
              </w:tc>
              <w:tc>
                <w:tcPr>
                  <w:tcW w:w="1215" w:type="dxa"/>
                </w:tcPr>
                <w:p w:rsidR="005A63D1" w:rsidRDefault="00DB5899" w14:paraId="00000266" w14:textId="77777777">
                  <w:pPr>
                    <w:pStyle w:val="Normal2"/>
                    <w:ind w:left="-60" w:firstLine="0"/>
                    <w:jc w:val="center"/>
                    <w:rPr>
                      <w:sz w:val="18"/>
                      <w:szCs w:val="18"/>
                    </w:rPr>
                  </w:pPr>
                  <w:r>
                    <w:rPr>
                      <w:sz w:val="19"/>
                      <w:szCs w:val="19"/>
                    </w:rPr>
                    <w:t>medium</w:t>
                  </w:r>
                </w:p>
              </w:tc>
              <w:tc>
                <w:tcPr>
                  <w:tcW w:w="750" w:type="dxa"/>
                </w:tcPr>
                <w:p w:rsidR="005A63D1" w:rsidRDefault="00DB5899" w14:paraId="00000267" w14:textId="77777777">
                  <w:pPr>
                    <w:pStyle w:val="Normal2"/>
                    <w:jc w:val="center"/>
                    <w:rPr>
                      <w:sz w:val="18"/>
                      <w:szCs w:val="18"/>
                    </w:rPr>
                  </w:pPr>
                  <w:r>
                    <w:rPr>
                      <w:sz w:val="18"/>
                      <w:szCs w:val="18"/>
                    </w:rPr>
                    <w:t>12</w:t>
                  </w:r>
                </w:p>
              </w:tc>
              <w:tc>
                <w:tcPr>
                  <w:tcW w:w="3090" w:type="dxa"/>
                </w:tcPr>
                <w:p w:rsidR="005A63D1" w:rsidRDefault="00DB5899" w14:paraId="00000268" w14:textId="77777777">
                  <w:pPr>
                    <w:pStyle w:val="Normal2"/>
                    <w:ind w:left="0" w:firstLine="0"/>
                    <w:rPr>
                      <w:sz w:val="19"/>
                      <w:szCs w:val="19"/>
                    </w:rPr>
                  </w:pPr>
                  <w:r>
                    <w:rPr>
                      <w:sz w:val="19"/>
                      <w:szCs w:val="19"/>
                    </w:rPr>
                    <w:t>Enforcing security measures; MPA control. It will be important that the project i) does not improve the enabling conditions for illicit activities to take place (e.g. by creating new areas with restricted access that might not patrolled and which could be potentially used by drug traffickers), and ii) increases accidental encounters between organised criminal groups and local resource users, fisherfolks and tour operators (e.g. if indeed the routes they can take are reduced due to more limitations and patro</w:t>
                  </w:r>
                  <w:r>
                    <w:rPr>
                      <w:sz w:val="19"/>
                      <w:szCs w:val="19"/>
                    </w:rPr>
                    <w:t>lling, traffickers may go around certain areas and encounter other stakeholders).</w:t>
                  </w:r>
                </w:p>
              </w:tc>
            </w:tr>
            <w:tr w:rsidR="005A63D1" w:rsidTr="005A63D1" w14:paraId="27128209" w14:textId="77777777">
              <w:tc>
                <w:tcPr>
                  <w:tcW w:w="5295" w:type="dxa"/>
                  <w:gridSpan w:val="4"/>
                </w:tcPr>
                <w:p w:rsidR="005A63D1" w:rsidRDefault="00DB5899" w14:paraId="00000269" w14:textId="77777777">
                  <w:pPr>
                    <w:pStyle w:val="Normal2"/>
                    <w:ind w:left="4470" w:firstLine="0"/>
                    <w:jc w:val="both"/>
                  </w:pPr>
                  <w:r>
                    <w:t xml:space="preserve">   Total</w:t>
                  </w:r>
                </w:p>
              </w:tc>
              <w:tc>
                <w:tcPr>
                  <w:tcW w:w="3840" w:type="dxa"/>
                  <w:gridSpan w:val="2"/>
                </w:tcPr>
                <w:p w:rsidR="005A63D1" w:rsidRDefault="00DB5899" w14:paraId="0000026D" w14:textId="77777777">
                  <w:pPr>
                    <w:pStyle w:val="Normal2"/>
                    <w:jc w:val="center"/>
                  </w:pPr>
                  <w:r>
                    <w:t>Medium</w:t>
                  </w:r>
                </w:p>
              </w:tc>
            </w:tr>
            <w:tr w:rsidR="005A63D1" w:rsidTr="005A63D1" w14:paraId="7AF6938C" w14:textId="77777777">
              <w:trPr>
                <w:trHeight w:val="330"/>
              </w:trPr>
              <w:tc>
                <w:tcPr>
                  <w:tcW w:w="5295" w:type="dxa"/>
                  <w:gridSpan w:val="4"/>
                </w:tcPr>
                <w:p w:rsidR="005A63D1" w:rsidRDefault="00DB5899" w14:paraId="0000026F" w14:textId="77777777">
                  <w:pPr>
                    <w:pStyle w:val="Normal2"/>
                    <w:jc w:val="right"/>
                  </w:pPr>
                  <w:r>
                    <w:t>Average</w:t>
                  </w:r>
                </w:p>
              </w:tc>
              <w:tc>
                <w:tcPr>
                  <w:tcW w:w="3840" w:type="dxa"/>
                  <w:gridSpan w:val="2"/>
                </w:tcPr>
                <w:p w:rsidR="005A63D1" w:rsidRDefault="00DB5899" w14:paraId="00000273" w14:textId="77777777">
                  <w:pPr>
                    <w:pStyle w:val="Normal2"/>
                    <w:jc w:val="center"/>
                  </w:pPr>
                  <w:r>
                    <w:t>N/A</w:t>
                  </w:r>
                </w:p>
              </w:tc>
            </w:tr>
            <w:tr w:rsidR="005A63D1" w:rsidTr="005A63D1" w14:paraId="3FB96C67" w14:textId="77777777">
              <w:trPr>
                <w:trHeight w:val="330"/>
              </w:trPr>
              <w:tc>
                <w:tcPr>
                  <w:tcW w:w="5295" w:type="dxa"/>
                  <w:gridSpan w:val="4"/>
                </w:tcPr>
                <w:p w:rsidR="005A63D1" w:rsidRDefault="00DB5899" w14:paraId="00000275" w14:textId="77777777">
                  <w:pPr>
                    <w:pStyle w:val="Normal2"/>
                    <w:jc w:val="right"/>
                    <w:rPr>
                      <w:b/>
                    </w:rPr>
                  </w:pPr>
                  <w:r>
                    <w:t>Overall risk rating to project-affected communities</w:t>
                  </w:r>
                </w:p>
              </w:tc>
              <w:tc>
                <w:tcPr>
                  <w:tcW w:w="3840" w:type="dxa"/>
                  <w:gridSpan w:val="2"/>
                  <w:shd w:val="clear" w:color="auto" w:fill="A6A6A6"/>
                </w:tcPr>
                <w:p w:rsidR="005A63D1" w:rsidRDefault="00DB5899" w14:paraId="00000279" w14:textId="77777777">
                  <w:pPr>
                    <w:pStyle w:val="Normal2"/>
                    <w:jc w:val="center"/>
                  </w:pPr>
                  <w:r>
                    <w:t>Medium</w:t>
                  </w:r>
                </w:p>
              </w:tc>
            </w:tr>
          </w:tbl>
          <w:p w:rsidR="005A63D1" w:rsidRDefault="005A63D1" w14:paraId="0000027B" w14:textId="77777777">
            <w:pPr>
              <w:pStyle w:val="Normal2"/>
              <w:spacing w:after="0" w:line="276" w:lineRule="auto"/>
              <w:ind w:left="0" w:firstLine="0"/>
              <w:rPr>
                <w:rFonts w:cs="Calibri"/>
                <w:sz w:val="20"/>
                <w:szCs w:val="20"/>
              </w:rPr>
            </w:pPr>
          </w:p>
        </w:tc>
      </w:tr>
    </w:tbl>
    <w:p w:rsidR="005A63D1" w:rsidRDefault="005A63D1" w14:paraId="0000027C" w14:textId="77777777">
      <w:pPr>
        <w:pStyle w:val="Normal2"/>
        <w:tabs>
          <w:tab w:val="left" w:pos="2250"/>
        </w:tabs>
        <w:spacing w:after="0" w:line="276" w:lineRule="auto"/>
        <w:ind w:left="0" w:firstLine="0"/>
        <w:rPr>
          <w:b/>
          <w:sz w:val="14"/>
          <w:szCs w:val="14"/>
        </w:rPr>
      </w:pPr>
    </w:p>
    <w:tbl>
      <w:tblPr>
        <w:tblStyle w:val="afffe"/>
        <w:tblW w:w="9690" w:type="dxa"/>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9690"/>
      </w:tblGrid>
      <w:tr w:rsidR="005A63D1" w14:paraId="359B3590" w14:textId="77777777">
        <w:tc>
          <w:tcPr>
            <w:tcW w:w="9690" w:type="dxa"/>
            <w:shd w:val="clear" w:color="auto" w:fill="7B7B7B"/>
            <w:vAlign w:val="center"/>
          </w:tcPr>
          <w:p w:rsidR="005A63D1" w:rsidRDefault="00DB5899" w14:paraId="0000027D" w14:textId="77777777">
            <w:pPr>
              <w:pStyle w:val="Normal2"/>
              <w:keepNext/>
              <w:tabs>
                <w:tab w:val="left" w:pos="2250"/>
              </w:tabs>
              <w:spacing w:after="0" w:line="276" w:lineRule="auto"/>
              <w:ind w:left="0" w:firstLine="0"/>
              <w:rPr>
                <w:rFonts w:cs="Calibri"/>
                <w:b/>
                <w:color w:val="FFFFFF"/>
              </w:rPr>
            </w:pPr>
            <w:r>
              <w:rPr>
                <w:rFonts w:cs="Calibri"/>
                <w:b/>
                <w:color w:val="FFFFFF"/>
                <w:u w:val="single"/>
              </w:rPr>
              <w:t>ESS 9</w:t>
            </w:r>
            <w:r>
              <w:rPr>
                <w:rFonts w:cs="Calibri"/>
                <w:b/>
                <w:color w:val="FFFFFF"/>
              </w:rPr>
              <w:t>: Private Sector Direct Investments and Financial Intermediaries</w:t>
            </w:r>
          </w:p>
        </w:tc>
      </w:tr>
      <w:tr w:rsidR="005A63D1" w14:paraId="71B8807C" w14:textId="77777777">
        <w:trPr>
          <w:trHeight w:val="991"/>
        </w:trPr>
        <w:tc>
          <w:tcPr>
            <w:tcW w:w="9690" w:type="dxa"/>
            <w:shd w:val="clear" w:color="auto" w:fill="EDEDED"/>
          </w:tcPr>
          <w:p w:rsidR="005A63D1" w:rsidRDefault="00DB5899" w14:paraId="0000027E" w14:textId="77777777">
            <w:pPr>
              <w:pStyle w:val="Normal2"/>
              <w:keepNext/>
              <w:tabs>
                <w:tab w:val="left" w:pos="2250"/>
              </w:tabs>
              <w:spacing w:after="0" w:line="276" w:lineRule="auto"/>
              <w:ind w:left="90" w:firstLine="0"/>
              <w:rPr>
                <w:rFonts w:cs="Calibri"/>
                <w:sz w:val="20"/>
                <w:szCs w:val="20"/>
              </w:rPr>
            </w:pPr>
            <w:r>
              <w:rPr>
                <w:rFonts w:cs="Calibri"/>
                <w:sz w:val="20"/>
                <w:szCs w:val="20"/>
              </w:rPr>
              <w:t>Will the project make either direct investments in private sector firms or Endowment Funds, or channels funds through Financial Intermediaries (FIs)?</w:t>
            </w:r>
          </w:p>
          <w:p w:rsidR="005A63D1" w:rsidRDefault="005A63D1" w14:paraId="0000027F" w14:textId="77777777">
            <w:pPr>
              <w:pStyle w:val="Normal2"/>
              <w:keepNext/>
              <w:tabs>
                <w:tab w:val="left" w:pos="2250"/>
              </w:tabs>
              <w:spacing w:after="0" w:line="276" w:lineRule="auto"/>
              <w:ind w:left="90" w:firstLine="0"/>
              <w:rPr>
                <w:rFonts w:cs="Calibri"/>
                <w:sz w:val="20"/>
                <w:szCs w:val="20"/>
              </w:rPr>
            </w:pPr>
          </w:p>
          <w:p w:rsidR="005A63D1" w:rsidRDefault="00DB5899" w14:paraId="00000280" w14:textId="77777777">
            <w:pPr>
              <w:pStyle w:val="Normal2"/>
              <w:spacing w:after="0" w:line="276" w:lineRule="auto"/>
              <w:ind w:left="-30" w:firstLine="0"/>
              <w:rPr>
                <w:rFonts w:cs="Calibri"/>
                <w:sz w:val="20"/>
                <w:szCs w:val="20"/>
              </w:rPr>
            </w:pPr>
            <w:r>
              <w:t>☐</w:t>
            </w:r>
            <w:r>
              <w:rPr>
                <w:rFonts w:cs="Calibri"/>
                <w:sz w:val="20"/>
                <w:szCs w:val="20"/>
              </w:rPr>
              <w:t xml:space="preserve"> NO</w:t>
            </w:r>
          </w:p>
          <w:p w:rsidR="005A63D1" w:rsidRDefault="00DB5899" w14:paraId="00000281" w14:textId="77777777">
            <w:pPr>
              <w:pStyle w:val="Normal2"/>
              <w:spacing w:after="0" w:line="276" w:lineRule="auto"/>
              <w:ind w:left="-30" w:firstLine="0"/>
              <w:rPr>
                <w:rFonts w:cs="Calibri"/>
                <w:sz w:val="20"/>
                <w:szCs w:val="20"/>
              </w:rPr>
            </w:pPr>
            <w:r>
              <w:rPr>
                <w:rFonts w:cs="Calibri"/>
                <w:sz w:val="20"/>
                <w:szCs w:val="20"/>
              </w:rPr>
              <w:t>☐</w:t>
            </w:r>
            <w:r>
              <w:rPr>
                <w:rFonts w:cs="Calibri"/>
                <w:sz w:val="20"/>
                <w:szCs w:val="20"/>
              </w:rPr>
              <w:t xml:space="preserve"> TO BE DETERMINED (TBD)</w:t>
            </w:r>
          </w:p>
          <w:p w:rsidR="005A63D1" w:rsidRDefault="00DB5899" w14:paraId="00000282" w14:textId="77777777">
            <w:pPr>
              <w:pStyle w:val="Normal2"/>
              <w:spacing w:after="0" w:line="276" w:lineRule="auto"/>
              <w:ind w:left="-30" w:firstLine="0"/>
              <w:rPr>
                <w:rFonts w:cs="Calibri"/>
                <w:sz w:val="20"/>
                <w:szCs w:val="20"/>
              </w:rPr>
            </w:pPr>
            <w:r>
              <w:t>☒</w:t>
            </w:r>
            <w:r>
              <w:rPr>
                <w:rFonts w:cs="Calibri"/>
                <w:sz w:val="20"/>
                <w:szCs w:val="20"/>
              </w:rPr>
              <w:t xml:space="preserve"> YES (to any of the above)</w:t>
            </w:r>
          </w:p>
          <w:p w:rsidR="005A63D1" w:rsidRDefault="00DB5899" w14:paraId="00000283" w14:textId="77777777">
            <w:pPr>
              <w:pStyle w:val="Normal2"/>
              <w:shd w:val="clear" w:color="auto" w:fill="FFFFFF"/>
              <w:spacing w:after="200" w:line="259" w:lineRule="auto"/>
              <w:ind w:left="0" w:firstLine="0"/>
              <w:rPr>
                <w:sz w:val="21"/>
                <w:szCs w:val="21"/>
              </w:rPr>
            </w:pPr>
            <w:r>
              <w:rPr>
                <w:sz w:val="21"/>
                <w:szCs w:val="21"/>
              </w:rPr>
              <w:t xml:space="preserve">The project will be sub-granting to small and medium enterprises (SMEs) to implement business plans. </w:t>
            </w:r>
          </w:p>
        </w:tc>
      </w:tr>
    </w:tbl>
    <w:p w:rsidR="005A63D1" w:rsidRDefault="005A63D1" w14:paraId="00000284" w14:textId="77777777">
      <w:pPr>
        <w:pStyle w:val="Normal2"/>
        <w:spacing w:after="0"/>
        <w:ind w:left="0" w:firstLine="0"/>
        <w:sectPr w:rsidR="005A63D1">
          <w:headerReference w:type="even" r:id="rId23"/>
          <w:headerReference w:type="default" r:id="rId24"/>
          <w:footerReference w:type="even" r:id="rId25"/>
          <w:footerReference w:type="default" r:id="rId26"/>
          <w:headerReference w:type="first" r:id="rId27"/>
          <w:footerReference w:type="first" r:id="rId28"/>
          <w:pgSz w:w="12240" w:h="15840" w:orient="portrait"/>
          <w:pgMar w:top="1440" w:right="1440" w:bottom="1440" w:left="1440" w:header="720" w:footer="720" w:gutter="0"/>
          <w:pgNumType w:start="1"/>
          <w:cols w:space="720"/>
        </w:sectPr>
      </w:pPr>
    </w:p>
    <w:p w:rsidR="005A63D1" w:rsidRDefault="005A63D1" w14:paraId="00000285" w14:textId="77777777">
      <w:pPr>
        <w:pStyle w:val="Normal2"/>
        <w:spacing w:after="0"/>
        <w:ind w:left="0" w:firstLine="0"/>
      </w:pPr>
    </w:p>
    <w:tbl>
      <w:tblPr>
        <w:tblStyle w:val="affff"/>
        <w:tblW w:w="9735" w:type="dxa"/>
        <w:tblInd w:w="-34" w:type="dxa"/>
        <w:tblBorders>
          <w:top w:val="single" w:color="525252" w:sz="4" w:space="0"/>
          <w:left w:val="single" w:color="525252" w:sz="4" w:space="0"/>
          <w:bottom w:val="single" w:color="525252" w:sz="4" w:space="0"/>
          <w:right w:val="single" w:color="525252" w:sz="4" w:space="0"/>
          <w:insideH w:val="single" w:color="525252" w:sz="4" w:space="0"/>
          <w:insideV w:val="single" w:color="525252" w:sz="4" w:space="0"/>
        </w:tblBorders>
        <w:tblLayout w:type="fixed"/>
        <w:tblLook w:val="0000" w:firstRow="0" w:lastRow="0" w:firstColumn="0" w:lastColumn="0" w:noHBand="0" w:noVBand="0"/>
      </w:tblPr>
      <w:tblGrid>
        <w:gridCol w:w="9735"/>
      </w:tblGrid>
      <w:tr w:rsidR="005A63D1" w14:paraId="6E8F7C50" w14:textId="77777777">
        <w:tc>
          <w:tcPr>
            <w:tcW w:w="9735" w:type="dxa"/>
            <w:shd w:val="clear" w:color="auto" w:fill="7B7B7B"/>
            <w:vAlign w:val="center"/>
          </w:tcPr>
          <w:p w:rsidR="005A63D1" w:rsidRDefault="00DB5899" w14:paraId="00000286" w14:textId="77777777">
            <w:pPr>
              <w:pStyle w:val="Normal2"/>
              <w:keepNext/>
              <w:tabs>
                <w:tab w:val="left" w:pos="2250"/>
              </w:tabs>
              <w:spacing w:after="0" w:line="276" w:lineRule="auto"/>
              <w:ind w:left="0" w:firstLine="0"/>
              <w:rPr>
                <w:rFonts w:cs="Calibri"/>
                <w:b/>
                <w:color w:val="FFFFFF"/>
              </w:rPr>
            </w:pPr>
            <w:r>
              <w:rPr>
                <w:rFonts w:cs="Calibri"/>
                <w:b/>
                <w:color w:val="FFFFFF"/>
                <w:u w:val="single"/>
              </w:rPr>
              <w:t>ESS 10</w:t>
            </w:r>
            <w:r>
              <w:rPr>
                <w:rFonts w:cs="Calibri"/>
                <w:b/>
                <w:color w:val="FFFFFF"/>
              </w:rPr>
              <w:t xml:space="preserve">: </w:t>
            </w:r>
            <w:r>
              <w:rPr>
                <w:b/>
                <w:color w:val="FFFFFF"/>
                <w:shd w:val="clear" w:color="auto" w:fill="7B7B7B"/>
              </w:rPr>
              <w:t>Climate Risk and Related Disasters</w:t>
            </w:r>
          </w:p>
        </w:tc>
      </w:tr>
      <w:tr w:rsidR="005A63D1" w14:paraId="77C199D5" w14:textId="77777777">
        <w:trPr>
          <w:trHeight w:val="991"/>
        </w:trPr>
        <w:tc>
          <w:tcPr>
            <w:tcW w:w="9735" w:type="dxa"/>
            <w:shd w:val="clear" w:color="auto" w:fill="EDEDED"/>
          </w:tcPr>
          <w:p w:rsidR="005A63D1" w:rsidRDefault="00DB5899" w14:paraId="00000287" w14:textId="77777777">
            <w:pPr>
              <w:pStyle w:val="Normal2"/>
              <w:keepNext/>
              <w:tabs>
                <w:tab w:val="left" w:pos="2250"/>
              </w:tabs>
              <w:spacing w:after="0" w:line="276" w:lineRule="auto"/>
              <w:ind w:left="0" w:firstLine="0"/>
              <w:rPr>
                <w:rFonts w:cs="Calibri"/>
                <w:sz w:val="20"/>
                <w:szCs w:val="20"/>
              </w:rPr>
            </w:pPr>
            <w:r>
              <w:rPr>
                <w:rFonts w:cs="Calibri"/>
                <w:sz w:val="20"/>
                <w:szCs w:val="20"/>
              </w:rPr>
              <w:t>Please refer to guiding questions in Appendix A to help answer the questions below:</w:t>
            </w:r>
          </w:p>
          <w:p w:rsidR="005A63D1" w:rsidRDefault="005A63D1" w14:paraId="00000288" w14:textId="77777777">
            <w:pPr>
              <w:pStyle w:val="Normal2"/>
              <w:keepNext/>
              <w:tabs>
                <w:tab w:val="left" w:pos="2250"/>
              </w:tabs>
              <w:spacing w:after="0" w:line="276" w:lineRule="auto"/>
              <w:ind w:left="90" w:firstLine="0"/>
              <w:rPr>
                <w:rFonts w:cs="Calibri"/>
                <w:sz w:val="20"/>
                <w:szCs w:val="20"/>
              </w:rPr>
            </w:pPr>
          </w:p>
          <w:p w:rsidR="005A63D1" w:rsidRDefault="00DB5899" w14:paraId="00000289" w14:textId="77777777">
            <w:pPr>
              <w:pStyle w:val="Normal2"/>
              <w:keepNext/>
              <w:tabs>
                <w:tab w:val="left" w:pos="2250"/>
              </w:tabs>
              <w:spacing w:after="0" w:line="276" w:lineRule="auto"/>
              <w:ind w:left="0" w:firstLine="0"/>
              <w:rPr>
                <w:rFonts w:cs="Calibri"/>
                <w:sz w:val="20"/>
                <w:szCs w:val="20"/>
              </w:rPr>
            </w:pPr>
            <w:r>
              <w:rPr>
                <w:rFonts w:cs="Calibri"/>
                <w:sz w:val="20"/>
                <w:szCs w:val="20"/>
              </w:rPr>
              <w:t>Describe the climate projections for the country or region, or if possible, for the specific location of the project for the next 30 years from the start date of the project.</w:t>
            </w:r>
          </w:p>
          <w:p w:rsidR="005A63D1" w:rsidRDefault="00DB5899" w14:paraId="0000028A" w14:textId="77777777">
            <w:pPr>
              <w:pStyle w:val="Normal2"/>
              <w:shd w:val="clear" w:color="auto" w:fill="FFFFFF"/>
              <w:spacing w:after="200" w:line="276" w:lineRule="auto"/>
              <w:ind w:left="0" w:firstLine="0"/>
              <w:jc w:val="both"/>
              <w:rPr>
                <w:sz w:val="21"/>
                <w:szCs w:val="21"/>
              </w:rPr>
            </w:pPr>
            <w:r>
              <w:rPr>
                <w:sz w:val="21"/>
                <w:szCs w:val="21"/>
              </w:rPr>
              <w:t>Climatic changes in the eastern tropical Pacific are controlled by the El Niño-Southern Oscillation (ENSO), a recurring ocean-and-atmosphere pattern that warms and cools the eastern tropical Pacific through El Niño and La Niña events, respectively, and that lasts from one to three years. However, there is low agreement on how (or if) climate change will influence the behaviour of ENSO and other long-term climate patterns (Hoegh-Guldberg et al. 2014). In fact, tropical waters at the heart of ENSO are not beh</w:t>
            </w:r>
            <w:r>
              <w:rPr>
                <w:sz w:val="21"/>
                <w:szCs w:val="21"/>
              </w:rPr>
              <w:t>aving exactly as climate scientists expected they would in a warming world, with potentially major implications for weather phenomena around the world.</w:t>
            </w:r>
          </w:p>
          <w:p w:rsidR="005A63D1" w:rsidRDefault="00DB5899" w14:paraId="0000028B" w14:textId="77777777">
            <w:pPr>
              <w:pStyle w:val="Normal2"/>
              <w:shd w:val="clear" w:color="auto" w:fill="FFFFFF"/>
              <w:spacing w:after="0" w:line="276" w:lineRule="auto"/>
              <w:ind w:left="0" w:firstLine="0"/>
              <w:jc w:val="center"/>
              <w:rPr>
                <w:sz w:val="20"/>
                <w:szCs w:val="20"/>
              </w:rPr>
            </w:pPr>
            <w:r>
              <w:rPr>
                <w:noProof/>
                <w:sz w:val="20"/>
                <w:szCs w:val="20"/>
              </w:rPr>
              <w:drawing>
                <wp:inline distT="114300" distB="114300" distL="114300" distR="114300" wp14:anchorId="0C7EA655" wp14:editId="07777777">
                  <wp:extent cx="5557838" cy="2414470"/>
                  <wp:effectExtent l="0" t="0" r="0" b="0"/>
                  <wp:docPr id="4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a:srcRect/>
                          <a:stretch>
                            <a:fillRect/>
                          </a:stretch>
                        </pic:blipFill>
                        <pic:spPr>
                          <a:xfrm>
                            <a:off x="0" y="0"/>
                            <a:ext cx="5557838" cy="2414470"/>
                          </a:xfrm>
                          <a:prstGeom prst="rect">
                            <a:avLst/>
                          </a:prstGeom>
                          <a:ln/>
                        </pic:spPr>
                      </pic:pic>
                    </a:graphicData>
                  </a:graphic>
                </wp:inline>
              </w:drawing>
            </w:r>
          </w:p>
          <w:p w:rsidR="005A63D1" w:rsidRDefault="00DB5899" w14:paraId="0000028C" w14:textId="77777777">
            <w:pPr>
              <w:pStyle w:val="Normal2"/>
              <w:shd w:val="clear" w:color="auto" w:fill="FFFFFF"/>
              <w:spacing w:after="0" w:line="276" w:lineRule="auto"/>
              <w:ind w:left="0" w:firstLine="0"/>
              <w:jc w:val="center"/>
              <w:rPr>
                <w:sz w:val="20"/>
                <w:szCs w:val="20"/>
              </w:rPr>
            </w:pPr>
            <w:r>
              <w:rPr>
                <w:noProof/>
                <w:sz w:val="20"/>
                <w:szCs w:val="20"/>
              </w:rPr>
              <w:drawing>
                <wp:inline distT="114300" distB="114300" distL="114300" distR="114300" wp14:anchorId="6844CEAA" wp14:editId="07777777">
                  <wp:extent cx="5581650" cy="2455548"/>
                  <wp:effectExtent l="0" t="0" r="0" b="0"/>
                  <wp:docPr id="4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0"/>
                          <a:srcRect/>
                          <a:stretch>
                            <a:fillRect/>
                          </a:stretch>
                        </pic:blipFill>
                        <pic:spPr>
                          <a:xfrm>
                            <a:off x="0" y="0"/>
                            <a:ext cx="5581650" cy="2455548"/>
                          </a:xfrm>
                          <a:prstGeom prst="rect">
                            <a:avLst/>
                          </a:prstGeom>
                          <a:ln/>
                        </pic:spPr>
                      </pic:pic>
                    </a:graphicData>
                  </a:graphic>
                </wp:inline>
              </w:drawing>
            </w:r>
          </w:p>
          <w:p w:rsidR="005A63D1" w:rsidRDefault="00DB5899" w14:paraId="0000028D" w14:textId="77777777">
            <w:pPr>
              <w:pStyle w:val="Normal2"/>
              <w:shd w:val="clear" w:color="auto" w:fill="FFFFFF"/>
              <w:spacing w:after="200"/>
              <w:ind w:left="0" w:firstLine="0"/>
              <w:jc w:val="both"/>
              <w:rPr>
                <w:sz w:val="18"/>
                <w:szCs w:val="18"/>
              </w:rPr>
            </w:pPr>
            <w:r>
              <w:rPr>
                <w:sz w:val="19"/>
                <w:szCs w:val="19"/>
              </w:rPr>
              <w:t>Figure 10. The tropical Pacific Ocean (Australia and South/Central America in gray, left and right). Top map shows what climate models say sea-surface temperatures should be doing in response to rising greenhouse gases, including pronounced warming of waters along the equator. Bottom map shows what the waters are actually doing; the equatorial waters are remaining relatively cool (Source: Seager et al. 2019; Krajick 2019).</w:t>
            </w:r>
          </w:p>
          <w:p w:rsidR="005A63D1" w:rsidRDefault="00DB5899" w14:paraId="0000028E" w14:textId="77777777">
            <w:pPr>
              <w:pStyle w:val="Normal2"/>
              <w:shd w:val="clear" w:color="auto" w:fill="FFFFFF"/>
              <w:spacing w:after="200" w:line="276" w:lineRule="auto"/>
              <w:ind w:left="0" w:firstLine="0"/>
              <w:jc w:val="both"/>
              <w:rPr>
                <w:sz w:val="20"/>
                <w:szCs w:val="20"/>
              </w:rPr>
            </w:pPr>
            <w:r>
              <w:rPr>
                <w:sz w:val="21"/>
                <w:szCs w:val="21"/>
              </w:rPr>
              <w:t xml:space="preserve">Climate models (see figure 10 above) indicate that ENSO is virtually certain to continue to be a major driver of oceanic variability over the coming century, and a superposition of a warming ocean on future ENSO activity means that temperatures within Equatorial Upwelling Systems (EUS) sub-regions are projected to continue to warm significantly, shifting towards an “El Niño-like” state (Hoegh-Guldberg et al. 2014). However, the opposite is occurring. The western tropical Pacific has warmed dramatically, as </w:t>
            </w:r>
            <w:r>
              <w:rPr>
                <w:sz w:val="21"/>
                <w:szCs w:val="21"/>
              </w:rPr>
              <w:t>predicted, but unusually persistent upwelling of cool subsurface water has led to a slight drop in average sea surface temperature over much of the eastern tropical Pacific. In fact, in the last 30 years, the accumulation of satellite and buoy data on sea surface temperatures has supported the notion that the eastern tropical Pacific is cooling (Henson 2023, Lindsey 2016).</w:t>
            </w:r>
          </w:p>
          <w:p w:rsidR="005A63D1" w:rsidRDefault="00DB5899" w14:paraId="0000028F" w14:textId="77777777">
            <w:pPr>
              <w:pStyle w:val="Normal2"/>
              <w:shd w:val="clear" w:color="auto" w:fill="FFFFFF"/>
              <w:spacing w:after="0" w:line="276" w:lineRule="auto"/>
              <w:ind w:left="0" w:firstLine="0"/>
              <w:jc w:val="center"/>
              <w:rPr>
                <w:sz w:val="20"/>
                <w:szCs w:val="20"/>
              </w:rPr>
            </w:pPr>
            <w:r>
              <w:rPr>
                <w:noProof/>
                <w:sz w:val="19"/>
                <w:szCs w:val="19"/>
              </w:rPr>
              <w:drawing>
                <wp:inline distT="114300" distB="114300" distL="114300" distR="114300" wp14:anchorId="4F356CFB" wp14:editId="07777777">
                  <wp:extent cx="4157663" cy="3038475"/>
                  <wp:effectExtent l="0" t="0" r="0" b="0"/>
                  <wp:docPr id="4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1"/>
                          <a:srcRect l="1467"/>
                          <a:stretch>
                            <a:fillRect/>
                          </a:stretch>
                        </pic:blipFill>
                        <pic:spPr>
                          <a:xfrm>
                            <a:off x="0" y="0"/>
                            <a:ext cx="4157663" cy="3038475"/>
                          </a:xfrm>
                          <a:prstGeom prst="rect">
                            <a:avLst/>
                          </a:prstGeom>
                          <a:ln/>
                        </pic:spPr>
                      </pic:pic>
                    </a:graphicData>
                  </a:graphic>
                </wp:inline>
              </w:drawing>
            </w:r>
          </w:p>
          <w:p w:rsidR="005A63D1" w:rsidRDefault="00DB5899" w14:paraId="00000290" w14:textId="77777777">
            <w:pPr>
              <w:pStyle w:val="Normal2"/>
              <w:pBdr>
                <w:top w:val="nil"/>
                <w:left w:val="nil"/>
                <w:bottom w:val="nil"/>
                <w:right w:val="nil"/>
                <w:between w:val="nil"/>
              </w:pBdr>
              <w:shd w:val="clear" w:color="auto" w:fill="FFFFFF"/>
              <w:spacing w:after="200"/>
              <w:ind w:left="0" w:firstLine="0"/>
              <w:jc w:val="both"/>
              <w:rPr>
                <w:sz w:val="19"/>
                <w:szCs w:val="19"/>
                <w:highlight w:val="yellow"/>
              </w:rPr>
            </w:pPr>
            <w:r>
              <w:rPr>
                <w:sz w:val="19"/>
                <w:szCs w:val="19"/>
              </w:rPr>
              <w:t>Figure 11. 2016 difference from average temperature in the Pacific (from 1981 - 2010). Redder colours indicate where average monthly sea surface temperatures in May 2016 were warmer than the 1981-2010 average, while blue colours indicate where sea surface temperatures were cooler than average. Temperatures across most of the western tropical Pacific were still warmer than average, but a narrow band of cooler-than-average surface water had emerged at the equator in the eastern half of the basin. Source: NOAA</w:t>
            </w:r>
            <w:r>
              <w:rPr>
                <w:sz w:val="19"/>
                <w:szCs w:val="19"/>
              </w:rPr>
              <w:t>/Lindsey 2016.</w:t>
            </w:r>
          </w:p>
          <w:p w:rsidR="005A63D1" w:rsidRDefault="00DB5899" w14:paraId="00000291" w14:textId="77777777">
            <w:pPr>
              <w:pStyle w:val="Normal2"/>
              <w:shd w:val="clear" w:color="auto" w:fill="FFFFFF"/>
              <w:spacing w:after="200" w:line="276" w:lineRule="auto"/>
              <w:ind w:left="0" w:firstLine="0"/>
              <w:jc w:val="both"/>
              <w:rPr>
                <w:sz w:val="21"/>
                <w:szCs w:val="21"/>
                <w:highlight w:val="yellow"/>
              </w:rPr>
            </w:pPr>
            <w:r>
              <w:rPr>
                <w:sz w:val="21"/>
                <w:szCs w:val="21"/>
              </w:rPr>
              <w:t xml:space="preserve">This anomaly seems to primarily affect the ocean surrounding the islands in the equator line, in particular the Galapagos Archipelago. However, studies on the Islands of San Cristobal, Santa Cruz, and Isabela show that there is a wetting and warming trend across the region. Precipitation is projected to increase between 20 and 70% and temperature may even increase up to 2.5 °C, in comparison with the last four decades. However, these future estimates may be constrained by the ability of General Circulation </w:t>
            </w:r>
            <w:r>
              <w:rPr>
                <w:sz w:val="21"/>
                <w:szCs w:val="21"/>
              </w:rPr>
              <w:t>Models (GCMs) to represent climate change in the equatorial Pacific, since in the case of the Galapagos region, major discrepancies have been reported between GCMs and observed tropical Pacific sea surface temperature trends (Paltán et al. 2021). As previously mentioned, the projected warmer and wetter future contradicts the recent cooler and drying trends, which are more representative of a “La Niña-like” state.</w:t>
            </w:r>
          </w:p>
          <w:p w:rsidR="005A63D1" w:rsidRDefault="00DB5899" w14:paraId="00000292" w14:textId="77777777">
            <w:pPr>
              <w:pStyle w:val="Normal2"/>
              <w:shd w:val="clear" w:color="auto" w:fill="FFFFFF"/>
              <w:spacing w:after="200" w:line="276" w:lineRule="auto"/>
              <w:ind w:left="0" w:firstLine="0"/>
              <w:jc w:val="both"/>
              <w:rPr>
                <w:sz w:val="21"/>
                <w:szCs w:val="21"/>
              </w:rPr>
            </w:pPr>
            <w:r>
              <w:rPr>
                <w:sz w:val="21"/>
                <w:szCs w:val="21"/>
              </w:rPr>
              <w:t>The rest of the CMAR project area seems to show less uncertain warming trends, albeit lower than predicted by climate models. Higher temperat</w:t>
            </w:r>
            <w:r>
              <w:t>ures worsen many types of disasters, including storms, heat waves, floods, and droughts, ocean acidification, and sea level rise. The Intertropical Convergence Zone (ITCZ), which shifts latitudinally w</w:t>
            </w:r>
            <w:r>
              <w:rPr>
                <w:sz w:val="21"/>
                <w:szCs w:val="21"/>
              </w:rPr>
              <w:t>ith climate patterns, makes the marine and coastal ecosystems of the MPAs in the ETPO particularly vulnerable to climate change impacts. Warming surface waters, particularly during intense El Niño events, result in lower primary production and a general decline in biological activity (Enright et al. 2021). Pro</w:t>
            </w:r>
            <w:r>
              <w:rPr>
                <w:sz w:val="21"/>
                <w:szCs w:val="21"/>
              </w:rPr>
              <w:t xml:space="preserve">jected increases in sea temperature mean that heat stress will continue to increase and ultimately irreversibly degrade marine ecosystems such as coral reefs. Moreover, a substantial risk exists with respect to the synergistic interactions between sea temperature and declining pH, especially as to how they influence a large number of key biological processes (Hoegh-Guldberg et al. 2014). </w:t>
            </w:r>
          </w:p>
          <w:p w:rsidR="005A63D1" w:rsidRDefault="00DB5899" w14:paraId="00000293" w14:textId="77777777">
            <w:pPr>
              <w:pStyle w:val="Normal2"/>
              <w:shd w:val="clear" w:color="auto" w:fill="FFFFFF"/>
              <w:spacing w:after="200" w:line="276" w:lineRule="auto"/>
              <w:ind w:left="0" w:firstLine="0"/>
              <w:jc w:val="both"/>
              <w:rPr>
                <w:rFonts w:cs="Calibri"/>
                <w:sz w:val="20"/>
                <w:szCs w:val="20"/>
              </w:rPr>
            </w:pPr>
            <w:r>
              <w:rPr>
                <w:sz w:val="21"/>
                <w:szCs w:val="21"/>
              </w:rPr>
              <w:t>It is unknown whether the factors that are now pushing the tropical Pacific toward a La Niña-like state will eventually get overwhelmed by longer-term global warming, leading to the El Niño-like outcome that models have long projected. This means that making decisions based on projections of future climate becomes harder as there is significant debate on climate projections in the eastern tropical Pacific at the moment.</w:t>
            </w:r>
          </w:p>
          <w:p w:rsidR="005A63D1" w:rsidRDefault="00DB5899" w14:paraId="00000294" w14:textId="77777777">
            <w:pPr>
              <w:pStyle w:val="Normal2"/>
              <w:keepNext/>
              <w:tabs>
                <w:tab w:val="left" w:pos="2250"/>
              </w:tabs>
              <w:spacing w:after="0" w:line="276" w:lineRule="auto"/>
              <w:ind w:left="0" w:firstLine="0"/>
              <w:rPr>
                <w:rFonts w:cs="Calibri"/>
                <w:sz w:val="20"/>
                <w:szCs w:val="20"/>
              </w:rPr>
            </w:pPr>
            <w:r>
              <w:rPr>
                <w:rFonts w:cs="Calibri"/>
                <w:sz w:val="20"/>
                <w:szCs w:val="20"/>
              </w:rPr>
              <w:t>Describe the relevant potential hazards (e.g. heavy rainfall leading to flood, low rainfall leading to drought, temperature changes which could lead to heat waves, sea-level rise, or changes in other extreme events such as hurricanes and cyclone) that could prevent the project from achieving its objectives and/or outputs.</w:t>
            </w:r>
          </w:p>
          <w:p w:rsidR="005A63D1" w:rsidRDefault="00DB5899" w14:paraId="00000295" w14:textId="77777777">
            <w:pPr>
              <w:pStyle w:val="Normal2"/>
              <w:pBdr>
                <w:top w:val="nil"/>
                <w:left w:val="nil"/>
                <w:bottom w:val="nil"/>
                <w:right w:val="nil"/>
                <w:between w:val="nil"/>
              </w:pBdr>
              <w:shd w:val="clear" w:color="auto" w:fill="FFFFFF"/>
              <w:spacing w:after="200" w:line="276" w:lineRule="auto"/>
              <w:ind w:left="0" w:firstLine="0"/>
              <w:jc w:val="both"/>
              <w:rPr>
                <w:sz w:val="21"/>
                <w:szCs w:val="21"/>
              </w:rPr>
            </w:pPr>
            <w:r>
              <w:rPr>
                <w:sz w:val="21"/>
                <w:szCs w:val="21"/>
              </w:rPr>
              <w:t>Due to the conditions outlined above, the CMAR region is also susceptible to natural disasters including earthquakes, hurricanes, and intense storms. According to NASA, in a typical year, the Eastern Pacific (from the coast of the Americas to 140° West longitude) sees 15 named storms, eight hurricanes, and four major hurricanes. Due to prevailing westerly trade winds, most storms in the eastern Pacific move westward and rarely make landfall (NASA Earth Observatory 2021). Extreme weather and droughts have al</w:t>
            </w:r>
            <w:r>
              <w:rPr>
                <w:sz w:val="21"/>
                <w:szCs w:val="21"/>
              </w:rPr>
              <w:t xml:space="preserve">so been experienced and are expected to continue. </w:t>
            </w:r>
          </w:p>
          <w:p w:rsidR="005A63D1" w:rsidRDefault="00DB5899" w14:paraId="00000296" w14:textId="77777777">
            <w:pPr>
              <w:pStyle w:val="Normal2"/>
              <w:pBdr>
                <w:top w:val="nil"/>
                <w:left w:val="nil"/>
                <w:bottom w:val="nil"/>
                <w:right w:val="nil"/>
                <w:between w:val="nil"/>
              </w:pBdr>
              <w:shd w:val="clear" w:color="auto" w:fill="FFFFFF"/>
              <w:spacing w:after="0" w:line="276" w:lineRule="auto"/>
              <w:ind w:left="0" w:firstLine="0"/>
              <w:jc w:val="both"/>
              <w:rPr>
                <w:rFonts w:cs="Calibri"/>
                <w:b/>
                <w:sz w:val="21"/>
                <w:szCs w:val="21"/>
              </w:rPr>
            </w:pPr>
            <w:r>
              <w:rPr>
                <w:sz w:val="21"/>
                <w:szCs w:val="21"/>
              </w:rPr>
              <w:t>These events are not expected to substantially affect the project or prevent the project from achieving its objectives and/or outputs as long as climate variability and possible effects of ENSO are embedded in activity design. Attention will need to be paid to these potential hazards and ensure that project activities have protective measures in place to ensure that they succeed in the face of these climatic variabilities. The project should ensure that activity design accounts for these hazards and continu</w:t>
            </w:r>
            <w:r>
              <w:rPr>
                <w:sz w:val="21"/>
                <w:szCs w:val="21"/>
              </w:rPr>
              <w:t xml:space="preserve">e to monitor climate trends across the region as they could influence activities undertaken in climate action plans and MPA management effectiveness in Component 2 and blue economy fisheries work in Component 3. For example, when designing more sustainable fishing methods under Component 3, it will be important to ensure that these methods are resilient to likely future climate change events. For some activities, these potential hazards are already being considered. For example, in workshops on Component 2 </w:t>
            </w:r>
            <w:r>
              <w:rPr>
                <w:sz w:val="21"/>
                <w:szCs w:val="21"/>
              </w:rPr>
              <w:t>with CMAR, country representatives and working groups, it was noted that the main climate hazards that the Climate Adaptation Plan should address are: ENSO, sea temperature rise, sea level rise and ocean acidification, and therefore it is expected that the activities contained within this plan will help reduce the likelihood of related climate risks in the future.</w:t>
            </w:r>
          </w:p>
          <w:p w:rsidR="005A63D1" w:rsidRDefault="005A63D1" w14:paraId="00000297" w14:textId="77777777">
            <w:pPr>
              <w:pStyle w:val="Normal2"/>
              <w:spacing w:after="0" w:line="276" w:lineRule="auto"/>
              <w:ind w:left="0" w:firstLine="0"/>
              <w:rPr>
                <w:rFonts w:cs="Calibri"/>
                <w:sz w:val="20"/>
                <w:szCs w:val="20"/>
              </w:rPr>
            </w:pPr>
          </w:p>
          <w:p w:rsidR="005A63D1" w:rsidRDefault="00DB5899" w14:paraId="00000298" w14:textId="77777777">
            <w:pPr>
              <w:pStyle w:val="Normal2"/>
              <w:keepNext/>
              <w:tabs>
                <w:tab w:val="left" w:pos="2250"/>
              </w:tabs>
              <w:spacing w:after="0" w:line="276" w:lineRule="auto"/>
              <w:ind w:left="0" w:firstLine="0"/>
              <w:rPr>
                <w:rFonts w:cs="Calibri"/>
                <w:sz w:val="20"/>
                <w:szCs w:val="20"/>
              </w:rPr>
            </w:pPr>
            <w:r>
              <w:rPr>
                <w:rFonts w:cs="Calibri"/>
                <w:sz w:val="20"/>
                <w:szCs w:val="20"/>
              </w:rPr>
              <w:t>Describe the current and projected exposures, vulnerabilities, and adaptive capacities (e.g. technical, institutional, financial) and how these could prevent the project from achieving its objectives and/or outputs.</w:t>
            </w:r>
          </w:p>
          <w:p w:rsidR="005A63D1" w:rsidRDefault="00DB5899" w14:paraId="00000299" w14:textId="77777777">
            <w:pPr>
              <w:pStyle w:val="Normal2"/>
              <w:shd w:val="clear" w:color="auto" w:fill="FFFFFF"/>
              <w:spacing w:after="0" w:line="276" w:lineRule="auto"/>
              <w:ind w:left="0" w:firstLine="0"/>
              <w:jc w:val="both"/>
              <w:rPr>
                <w:rFonts w:cs="Calibri"/>
                <w:b/>
                <w:sz w:val="20"/>
                <w:szCs w:val="20"/>
              </w:rPr>
            </w:pPr>
            <w:r>
              <w:rPr>
                <w:sz w:val="21"/>
                <w:szCs w:val="21"/>
              </w:rPr>
              <w:t>Currently, the CMAR region lacks a regional entity that is capable of guiding regional marine conservation investment. This project is founded on the premise that such an agency can be identified and trained with needed skills within the term of this GEF project (CI 2023). While CMAR already has a set of guiding documents, these need be revised and broadened to reflect the organization’s evolution into a more formal regional entity while new bylaws and procedures will need to be developed and approved by th</w:t>
            </w:r>
            <w:r>
              <w:rPr>
                <w:sz w:val="21"/>
                <w:szCs w:val="21"/>
              </w:rPr>
              <w:t xml:space="preserve">e four governments. An important objective of Component 1 is to strengthen a regional entity capable of attracting and managing large sum and multi-year investment. The project intends to work with the four governments to strengthen regional governance by broadening CMAR’s mandate and increasing the institution’s capacity and global profile (CI-GEF 2024). </w:t>
            </w:r>
          </w:p>
          <w:p w:rsidR="005A63D1" w:rsidRDefault="005A63D1" w14:paraId="0000029A" w14:textId="77777777">
            <w:pPr>
              <w:pStyle w:val="Normal2"/>
              <w:keepNext/>
              <w:tabs>
                <w:tab w:val="left" w:pos="2250"/>
              </w:tabs>
              <w:spacing w:after="0" w:line="276" w:lineRule="auto"/>
              <w:ind w:left="0" w:firstLine="0"/>
              <w:rPr>
                <w:rFonts w:cs="Calibri"/>
                <w:sz w:val="20"/>
                <w:szCs w:val="20"/>
              </w:rPr>
            </w:pPr>
          </w:p>
          <w:p w:rsidR="005A63D1" w:rsidRDefault="00DB5899" w14:paraId="0000029B" w14:textId="77777777">
            <w:pPr>
              <w:pStyle w:val="Normal2"/>
              <w:keepNext/>
              <w:tabs>
                <w:tab w:val="left" w:pos="2250"/>
              </w:tabs>
              <w:spacing w:after="0" w:line="276" w:lineRule="auto"/>
              <w:ind w:left="0" w:firstLine="0"/>
              <w:rPr>
                <w:rFonts w:cs="Calibri"/>
                <w:sz w:val="20"/>
                <w:szCs w:val="20"/>
              </w:rPr>
            </w:pPr>
            <w:r>
              <w:rPr>
                <w:rFonts w:cs="Calibri"/>
                <w:sz w:val="20"/>
                <w:szCs w:val="20"/>
              </w:rPr>
              <w:t>What mitigation measures have been identified and incorporated into the design of the project/planned for the implementation phase to reduce the likelihood and/or consequences of risks or to respond to consequences so as to ensure that the project achieves its objectives and/or outputs?</w:t>
            </w:r>
          </w:p>
          <w:p w:rsidR="005A63D1" w:rsidRDefault="00DB5899" w14:paraId="0000029C" w14:textId="77777777">
            <w:pPr>
              <w:pStyle w:val="Normal2"/>
              <w:shd w:val="clear" w:color="auto" w:fill="FFFFFF"/>
              <w:spacing w:after="200" w:line="276" w:lineRule="auto"/>
              <w:ind w:left="0" w:firstLine="0"/>
              <w:jc w:val="both"/>
              <w:rPr>
                <w:rFonts w:cs="Calibri"/>
                <w:b/>
                <w:sz w:val="21"/>
                <w:szCs w:val="21"/>
                <w:highlight w:val="yellow"/>
              </w:rPr>
            </w:pPr>
            <w:r>
              <w:rPr>
                <w:sz w:val="21"/>
                <w:szCs w:val="21"/>
              </w:rPr>
              <w:t>Climate scenario coping strategies will be included in project MPA management plans and blue economy initiatives (Components 2 and 3). As part of Outcome 2.1, an updated CMAR Regional Action Plan will be developed by 2025 (currently supported by the World Bank), and the project will be used as a guide for the development of a Regional Climate Action Plan that will establish actions, metrics, and goals that will be implemented and measured across the CMAR MPAs. Output 3.1 will include the development of a Bl</w:t>
            </w:r>
            <w:r>
              <w:rPr>
                <w:sz w:val="21"/>
                <w:szCs w:val="21"/>
              </w:rPr>
              <w:t xml:space="preserve">ue Economy Strategy in alignment with the Climate Action Plan. These plans will help inform the development of best practices while helping to secure the sustainability and viability of MPA and blue economy initiatives (CI-GEF 2024).  </w:t>
            </w:r>
          </w:p>
          <w:p w:rsidR="005A63D1" w:rsidRDefault="005A63D1" w14:paraId="0000029D" w14:textId="77777777">
            <w:pPr>
              <w:pStyle w:val="Normal2"/>
              <w:spacing w:after="0" w:line="276" w:lineRule="auto"/>
              <w:ind w:left="0" w:firstLine="0"/>
              <w:rPr>
                <w:rFonts w:cs="Calibri"/>
                <w:sz w:val="20"/>
                <w:szCs w:val="20"/>
              </w:rPr>
            </w:pPr>
          </w:p>
          <w:p w:rsidR="005A63D1" w:rsidRDefault="00DB5899" w14:paraId="0000029E" w14:textId="77777777">
            <w:pPr>
              <w:pStyle w:val="Normal2"/>
              <w:keepNext/>
              <w:tabs>
                <w:tab w:val="left" w:pos="2250"/>
              </w:tabs>
              <w:spacing w:after="0" w:line="276" w:lineRule="auto"/>
              <w:ind w:left="0" w:firstLine="0"/>
              <w:rPr>
                <w:rFonts w:cs="Calibri"/>
                <w:sz w:val="20"/>
                <w:szCs w:val="20"/>
              </w:rPr>
            </w:pPr>
            <w:r>
              <w:rPr>
                <w:rFonts w:cs="Calibri"/>
                <w:sz w:val="20"/>
                <w:szCs w:val="20"/>
              </w:rPr>
              <w:t>If one or more risks are accepted, please provide a justification.</w:t>
            </w:r>
          </w:p>
          <w:p w:rsidR="005A63D1" w:rsidRDefault="00DB5899" w14:paraId="0000029F" w14:textId="77777777">
            <w:pPr>
              <w:pStyle w:val="Normal2"/>
              <w:pBdr>
                <w:top w:val="nil"/>
                <w:left w:val="nil"/>
                <w:bottom w:val="nil"/>
                <w:right w:val="nil"/>
                <w:between w:val="nil"/>
              </w:pBdr>
              <w:shd w:val="clear" w:color="auto" w:fill="FFFFFF"/>
              <w:spacing w:after="200" w:line="276" w:lineRule="auto"/>
              <w:ind w:left="0" w:firstLine="0"/>
              <w:jc w:val="both"/>
              <w:rPr>
                <w:rFonts w:cs="Calibri"/>
                <w:b/>
                <w:sz w:val="20"/>
                <w:szCs w:val="20"/>
              </w:rPr>
            </w:pPr>
            <w:r>
              <w:rPr>
                <w:sz w:val="21"/>
                <w:szCs w:val="21"/>
              </w:rPr>
              <w:t xml:space="preserve">Known risks are considered minor to moderate and could easily be addressed following good practice standards and mitigation measures. </w:t>
            </w:r>
          </w:p>
          <w:p w:rsidR="005A63D1" w:rsidRDefault="005A63D1" w14:paraId="000002A0" w14:textId="77777777">
            <w:pPr>
              <w:pStyle w:val="Normal2"/>
              <w:spacing w:after="0" w:line="276" w:lineRule="auto"/>
              <w:ind w:left="0" w:firstLine="0"/>
              <w:rPr>
                <w:rFonts w:cs="Calibri"/>
                <w:sz w:val="20"/>
                <w:szCs w:val="20"/>
              </w:rPr>
            </w:pPr>
          </w:p>
        </w:tc>
      </w:tr>
    </w:tbl>
    <w:p w:rsidR="005A63D1" w:rsidRDefault="005A63D1" w14:paraId="000002A1" w14:textId="77777777">
      <w:pPr>
        <w:pStyle w:val="Normal2"/>
        <w:ind w:left="0" w:right="677" w:firstLine="0"/>
        <w:rPr>
          <w:rFonts w:cs="Calibri"/>
          <w:sz w:val="20"/>
          <w:szCs w:val="20"/>
        </w:rPr>
        <w:sectPr w:rsidR="005A63D1">
          <w:pgSz w:w="12240" w:h="15840" w:orient="portrait"/>
          <w:pgMar w:top="1440" w:right="1440" w:bottom="1440" w:left="1440" w:header="720" w:footer="720" w:gutter="0"/>
          <w:cols w:space="720"/>
        </w:sectPr>
      </w:pPr>
    </w:p>
    <w:p w:rsidR="005A63D1" w:rsidRDefault="00DB5899" w14:paraId="000002A2" w14:textId="77777777">
      <w:pPr>
        <w:pStyle w:val="Normal2"/>
        <w:ind w:left="0" w:right="677" w:firstLine="0"/>
        <w:rPr>
          <w:rFonts w:cs="Calibri"/>
          <w:sz w:val="20"/>
          <w:szCs w:val="20"/>
        </w:rPr>
      </w:pPr>
      <w:r>
        <w:rPr>
          <w:rFonts w:cs="Calibri"/>
          <w:b/>
          <w:sz w:val="20"/>
          <w:szCs w:val="20"/>
        </w:rPr>
        <w:t>Appendix A.</w:t>
      </w:r>
      <w:r>
        <w:rPr>
          <w:rFonts w:cs="Calibri"/>
          <w:sz w:val="20"/>
          <w:szCs w:val="20"/>
        </w:rPr>
        <w:t xml:space="preserve"> Climate risk and related disaster assessment tool (adapted from FAO).</w:t>
      </w:r>
    </w:p>
    <w:p w:rsidR="005A63D1" w:rsidRDefault="00DB5899" w14:paraId="000002A3" w14:textId="77777777">
      <w:pPr>
        <w:pStyle w:val="Normal2"/>
        <w:ind w:left="0" w:right="5" w:firstLine="0"/>
        <w:jc w:val="both"/>
        <w:rPr>
          <w:i/>
          <w:color w:val="FF0000"/>
          <w:sz w:val="20"/>
          <w:szCs w:val="20"/>
        </w:rPr>
      </w:pPr>
      <w:r>
        <w:rPr>
          <w:rFonts w:cs="Calibri"/>
          <w:sz w:val="20"/>
          <w:szCs w:val="20"/>
        </w:rPr>
        <w:t>The checklist below presents some guiding questions on hazards, exposure, vulnerability and adaptive capacity (see definitions in Appendix XI of the ESMF Version 7) for completing the climate screening section of the Safeguard Screening Form:</w:t>
      </w:r>
    </w:p>
    <w:tbl>
      <w:tblPr>
        <w:tblStyle w:val="affff0"/>
        <w:tblW w:w="9350" w:type="dxa"/>
        <w:tblInd w:w="-3" w:type="dxa"/>
        <w:tblBorders>
          <w:top w:val="single" w:color="C9C9C9" w:sz="4" w:space="0"/>
          <w:left w:val="single" w:color="C9C9C9" w:sz="4" w:space="0"/>
          <w:bottom w:val="single" w:color="C9C9C9" w:sz="4" w:space="0"/>
          <w:right w:val="single" w:color="C9C9C9" w:sz="4" w:space="0"/>
          <w:insideH w:val="single" w:color="C9C9C9" w:sz="4" w:space="0"/>
          <w:insideV w:val="single" w:color="C9C9C9" w:sz="4" w:space="0"/>
        </w:tblBorders>
        <w:tblLayout w:type="fixed"/>
        <w:tblLook w:val="0400" w:firstRow="0" w:lastRow="0" w:firstColumn="0" w:lastColumn="0" w:noHBand="0" w:noVBand="1"/>
      </w:tblPr>
      <w:tblGrid>
        <w:gridCol w:w="7644"/>
        <w:gridCol w:w="541"/>
        <w:gridCol w:w="558"/>
        <w:gridCol w:w="607"/>
      </w:tblGrid>
      <w:tr w:rsidR="005A63D1" w14:paraId="060AE698" w14:textId="77777777">
        <w:tc>
          <w:tcPr>
            <w:tcW w:w="7644" w:type="dxa"/>
            <w:shd w:val="clear" w:color="auto" w:fill="002060"/>
          </w:tcPr>
          <w:p w:rsidR="005A63D1" w:rsidRDefault="00DB5899" w14:paraId="000002A4" w14:textId="77777777">
            <w:pPr>
              <w:pStyle w:val="Normal2"/>
              <w:rPr>
                <w:color w:val="FFFFFF"/>
                <w:sz w:val="20"/>
                <w:szCs w:val="20"/>
              </w:rPr>
            </w:pPr>
            <w:r>
              <w:rPr>
                <w:color w:val="FFFFFF"/>
                <w:sz w:val="20"/>
                <w:szCs w:val="20"/>
              </w:rPr>
              <w:t xml:space="preserve">Existing Hazards Guiding Questions:                                                                                                            </w:t>
            </w:r>
          </w:p>
        </w:tc>
        <w:tc>
          <w:tcPr>
            <w:tcW w:w="541" w:type="dxa"/>
            <w:shd w:val="clear" w:color="auto" w:fill="002060"/>
          </w:tcPr>
          <w:p w:rsidR="005A63D1" w:rsidRDefault="00DB5899" w14:paraId="000002A5" w14:textId="77777777">
            <w:pPr>
              <w:pStyle w:val="Normal2"/>
              <w:jc w:val="center"/>
              <w:rPr>
                <w:color w:val="FFFFFF"/>
                <w:sz w:val="20"/>
                <w:szCs w:val="20"/>
              </w:rPr>
            </w:pPr>
            <w:r>
              <w:rPr>
                <w:color w:val="FFFFFF"/>
                <w:sz w:val="20"/>
                <w:szCs w:val="20"/>
              </w:rPr>
              <w:t>Yes</w:t>
            </w:r>
          </w:p>
        </w:tc>
        <w:tc>
          <w:tcPr>
            <w:tcW w:w="558" w:type="dxa"/>
            <w:shd w:val="clear" w:color="auto" w:fill="002060"/>
          </w:tcPr>
          <w:p w:rsidR="005A63D1" w:rsidRDefault="00DB5899" w14:paraId="000002A6" w14:textId="77777777">
            <w:pPr>
              <w:pStyle w:val="Normal2"/>
              <w:jc w:val="center"/>
              <w:rPr>
                <w:color w:val="FFFFFF"/>
                <w:sz w:val="20"/>
                <w:szCs w:val="20"/>
              </w:rPr>
            </w:pPr>
            <w:r>
              <w:rPr>
                <w:color w:val="FFFFFF"/>
                <w:sz w:val="20"/>
                <w:szCs w:val="20"/>
              </w:rPr>
              <w:t>No</w:t>
            </w:r>
          </w:p>
        </w:tc>
        <w:tc>
          <w:tcPr>
            <w:tcW w:w="607" w:type="dxa"/>
            <w:shd w:val="clear" w:color="auto" w:fill="002060"/>
            <w:vAlign w:val="center"/>
          </w:tcPr>
          <w:p w:rsidR="005A63D1" w:rsidRDefault="00DB5899" w14:paraId="000002A7" w14:textId="77777777">
            <w:pPr>
              <w:pStyle w:val="Normal2"/>
              <w:jc w:val="center"/>
              <w:rPr>
                <w:color w:val="FFFFFF"/>
                <w:sz w:val="20"/>
                <w:szCs w:val="20"/>
              </w:rPr>
            </w:pPr>
            <w:r>
              <w:rPr>
                <w:color w:val="FFFFFF"/>
                <w:sz w:val="20"/>
                <w:szCs w:val="20"/>
              </w:rPr>
              <w:t>TBD</w:t>
            </w:r>
          </w:p>
        </w:tc>
      </w:tr>
      <w:tr w:rsidR="005A63D1" w14:paraId="62371FDB" w14:textId="77777777">
        <w:tc>
          <w:tcPr>
            <w:tcW w:w="9350" w:type="dxa"/>
            <w:gridSpan w:val="4"/>
            <w:shd w:val="clear" w:color="auto" w:fill="8EAADB"/>
          </w:tcPr>
          <w:p w:rsidR="005A63D1" w:rsidRDefault="00DB5899" w14:paraId="000002A8" w14:textId="77777777">
            <w:pPr>
              <w:pStyle w:val="Normal2"/>
              <w:rPr>
                <w:sz w:val="20"/>
                <w:szCs w:val="20"/>
              </w:rPr>
            </w:pPr>
            <w:r>
              <w:rPr>
                <w:sz w:val="20"/>
                <w:szCs w:val="20"/>
              </w:rPr>
              <w:t xml:space="preserve">Observed climate and weather hazards in the project area: </w:t>
            </w:r>
          </w:p>
        </w:tc>
      </w:tr>
      <w:tr w:rsidR="005A63D1" w14:paraId="596DF69B" w14:textId="77777777">
        <w:tc>
          <w:tcPr>
            <w:tcW w:w="7644" w:type="dxa"/>
            <w:shd w:val="clear" w:color="auto" w:fill="auto"/>
          </w:tcPr>
          <w:p w:rsidR="005A63D1" w:rsidRDefault="00DB5899" w14:paraId="000002AC" w14:textId="77777777">
            <w:pPr>
              <w:pStyle w:val="Normal2"/>
              <w:rPr>
                <w:sz w:val="20"/>
                <w:szCs w:val="20"/>
              </w:rPr>
            </w:pPr>
            <w:r>
              <w:rPr>
                <w:sz w:val="20"/>
                <w:szCs w:val="20"/>
              </w:rPr>
              <w:t>Extreme temperature (heat/cold)</w:t>
            </w:r>
          </w:p>
        </w:tc>
        <w:tc>
          <w:tcPr>
            <w:tcW w:w="541" w:type="dxa"/>
            <w:shd w:val="clear" w:color="auto" w:fill="auto"/>
            <w:vAlign w:val="center"/>
          </w:tcPr>
          <w:p w:rsidR="005A63D1" w:rsidRDefault="00DB5899" w14:paraId="000002AD"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2AE" w14:textId="77777777">
            <w:pPr>
              <w:pStyle w:val="Normal2"/>
              <w:jc w:val="center"/>
              <w:rPr>
                <w:sz w:val="20"/>
                <w:szCs w:val="20"/>
              </w:rPr>
            </w:pPr>
            <w:r>
              <w:rPr>
                <w:rFonts w:ascii="MS Gothic" w:hAnsi="MS Gothic" w:eastAsia="MS Gothic" w:cs="MS Gothic"/>
                <w:b/>
                <w:sz w:val="20"/>
                <w:szCs w:val="20"/>
              </w:rPr>
              <w:t>☐</w:t>
            </w:r>
          </w:p>
        </w:tc>
        <w:tc>
          <w:tcPr>
            <w:tcW w:w="607" w:type="dxa"/>
            <w:shd w:val="clear" w:color="auto" w:fill="auto"/>
            <w:vAlign w:val="center"/>
          </w:tcPr>
          <w:p w:rsidR="005A63D1" w:rsidRDefault="00DB5899" w14:paraId="000002AF" w14:textId="77777777">
            <w:pPr>
              <w:pStyle w:val="Normal2"/>
              <w:jc w:val="center"/>
              <w:rPr>
                <w:sz w:val="20"/>
                <w:szCs w:val="20"/>
              </w:rPr>
            </w:pPr>
            <w:r>
              <w:rPr>
                <w:rFonts w:ascii="MS Gothic" w:hAnsi="MS Gothic" w:eastAsia="MS Gothic" w:cs="MS Gothic"/>
                <w:b/>
                <w:sz w:val="20"/>
                <w:szCs w:val="20"/>
              </w:rPr>
              <w:t>☐</w:t>
            </w:r>
          </w:p>
        </w:tc>
      </w:tr>
      <w:tr w:rsidR="005A63D1" w14:paraId="2244506C" w14:textId="77777777">
        <w:tc>
          <w:tcPr>
            <w:tcW w:w="7644" w:type="dxa"/>
            <w:shd w:val="clear" w:color="auto" w:fill="auto"/>
          </w:tcPr>
          <w:p w:rsidR="005A63D1" w:rsidRDefault="00DB5899" w14:paraId="000002B0" w14:textId="77777777">
            <w:pPr>
              <w:pStyle w:val="Normal2"/>
              <w:rPr>
                <w:sz w:val="20"/>
                <w:szCs w:val="20"/>
              </w:rPr>
            </w:pPr>
            <w:r>
              <w:rPr>
                <w:sz w:val="20"/>
                <w:szCs w:val="20"/>
              </w:rPr>
              <w:t>Extreme precipitation and flooding</w:t>
            </w:r>
          </w:p>
        </w:tc>
        <w:tc>
          <w:tcPr>
            <w:tcW w:w="541" w:type="dxa"/>
            <w:shd w:val="clear" w:color="auto" w:fill="auto"/>
            <w:vAlign w:val="center"/>
          </w:tcPr>
          <w:p w:rsidR="005A63D1" w:rsidRDefault="00DB5899" w14:paraId="000002B1"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2B2" w14:textId="77777777">
            <w:pPr>
              <w:pStyle w:val="Normal2"/>
              <w:jc w:val="center"/>
              <w:rPr>
                <w:sz w:val="20"/>
                <w:szCs w:val="20"/>
              </w:rPr>
            </w:pPr>
            <w:r>
              <w:rPr>
                <w:rFonts w:ascii="MS Gothic" w:hAnsi="MS Gothic" w:eastAsia="MS Gothic" w:cs="MS Gothic"/>
                <w:b/>
                <w:sz w:val="20"/>
                <w:szCs w:val="20"/>
              </w:rPr>
              <w:t>☐</w:t>
            </w:r>
          </w:p>
        </w:tc>
        <w:tc>
          <w:tcPr>
            <w:tcW w:w="607" w:type="dxa"/>
            <w:shd w:val="clear" w:color="auto" w:fill="auto"/>
            <w:vAlign w:val="center"/>
          </w:tcPr>
          <w:p w:rsidR="005A63D1" w:rsidRDefault="00DB5899" w14:paraId="000002B3" w14:textId="77777777">
            <w:pPr>
              <w:pStyle w:val="Normal2"/>
              <w:jc w:val="center"/>
              <w:rPr>
                <w:sz w:val="20"/>
                <w:szCs w:val="20"/>
              </w:rPr>
            </w:pPr>
            <w:r>
              <w:rPr>
                <w:rFonts w:ascii="MS Gothic" w:hAnsi="MS Gothic" w:eastAsia="MS Gothic" w:cs="MS Gothic"/>
                <w:b/>
                <w:sz w:val="20"/>
                <w:szCs w:val="20"/>
              </w:rPr>
              <w:t>☐</w:t>
            </w:r>
          </w:p>
        </w:tc>
      </w:tr>
      <w:tr w:rsidR="005A63D1" w14:paraId="2F7655B3" w14:textId="77777777">
        <w:tc>
          <w:tcPr>
            <w:tcW w:w="7644" w:type="dxa"/>
            <w:shd w:val="clear" w:color="auto" w:fill="auto"/>
          </w:tcPr>
          <w:p w:rsidR="005A63D1" w:rsidRDefault="00DB5899" w14:paraId="000002B4" w14:textId="77777777">
            <w:pPr>
              <w:pStyle w:val="Normal2"/>
              <w:rPr>
                <w:sz w:val="20"/>
                <w:szCs w:val="20"/>
              </w:rPr>
            </w:pPr>
            <w:r>
              <w:rPr>
                <w:sz w:val="20"/>
                <w:szCs w:val="20"/>
              </w:rPr>
              <w:t>Agricultural Droughts and/or dry spells</w:t>
            </w:r>
          </w:p>
        </w:tc>
        <w:tc>
          <w:tcPr>
            <w:tcW w:w="541" w:type="dxa"/>
            <w:shd w:val="clear" w:color="auto" w:fill="auto"/>
            <w:vAlign w:val="center"/>
          </w:tcPr>
          <w:p w:rsidR="005A63D1" w:rsidRDefault="00DB5899" w14:paraId="000002B5"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2B6" w14:textId="77777777">
            <w:pPr>
              <w:pStyle w:val="Normal2"/>
              <w:jc w:val="center"/>
              <w:rPr>
                <w:sz w:val="20"/>
                <w:szCs w:val="20"/>
              </w:rPr>
            </w:pPr>
            <w:sdt>
              <w:sdtPr>
                <w:tag w:val="goog_rdk_0"/>
                <w:id w:val="1510173700"/>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2B7" w14:textId="77777777">
            <w:pPr>
              <w:pStyle w:val="Normal2"/>
              <w:jc w:val="center"/>
              <w:rPr>
                <w:sz w:val="20"/>
                <w:szCs w:val="20"/>
              </w:rPr>
            </w:pPr>
            <w:sdt>
              <w:sdtPr>
                <w:tag w:val="goog_rdk_1"/>
                <w:id w:val="593364652"/>
              </w:sdtPr>
              <w:sdtEndPr/>
              <w:sdtContent>
                <w:r>
                  <w:rPr>
                    <w:rFonts w:ascii="Arial Unicode MS" w:hAnsi="Arial Unicode MS" w:eastAsia="Arial Unicode MS" w:cs="Arial Unicode MS"/>
                    <w:b/>
                    <w:sz w:val="20"/>
                    <w:szCs w:val="20"/>
                  </w:rPr>
                  <w:t>☐</w:t>
                </w:r>
              </w:sdtContent>
            </w:sdt>
          </w:p>
        </w:tc>
      </w:tr>
      <w:tr w:rsidR="005A63D1" w14:paraId="79F0ED95" w14:textId="77777777">
        <w:tc>
          <w:tcPr>
            <w:tcW w:w="7644" w:type="dxa"/>
            <w:shd w:val="clear" w:color="auto" w:fill="auto"/>
          </w:tcPr>
          <w:p w:rsidR="005A63D1" w:rsidRDefault="00DB5899" w14:paraId="000002B8" w14:textId="77777777">
            <w:pPr>
              <w:pStyle w:val="Normal2"/>
              <w:rPr>
                <w:sz w:val="20"/>
                <w:szCs w:val="20"/>
              </w:rPr>
            </w:pPr>
            <w:r>
              <w:rPr>
                <w:sz w:val="20"/>
                <w:szCs w:val="20"/>
              </w:rPr>
              <w:t xml:space="preserve">Storms </w:t>
            </w:r>
            <w:r>
              <w:rPr>
                <w:sz w:val="20"/>
                <w:szCs w:val="20"/>
              </w:rPr>
              <w:t>(Tropical storms, snowstorms, hailstorms, dust storms, etc.)</w:t>
            </w:r>
          </w:p>
        </w:tc>
        <w:tc>
          <w:tcPr>
            <w:tcW w:w="541" w:type="dxa"/>
            <w:shd w:val="clear" w:color="auto" w:fill="auto"/>
            <w:vAlign w:val="center"/>
          </w:tcPr>
          <w:p w:rsidR="005A63D1" w:rsidRDefault="00DB5899" w14:paraId="000002B9"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2BA" w14:textId="77777777">
            <w:pPr>
              <w:pStyle w:val="Normal2"/>
              <w:jc w:val="center"/>
              <w:rPr>
                <w:sz w:val="20"/>
                <w:szCs w:val="20"/>
              </w:rPr>
            </w:pPr>
            <w:sdt>
              <w:sdtPr>
                <w:tag w:val="goog_rdk_2"/>
                <w:id w:val="1859900304"/>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2BB" w14:textId="77777777">
            <w:pPr>
              <w:pStyle w:val="Normal2"/>
              <w:jc w:val="center"/>
              <w:rPr>
                <w:sz w:val="20"/>
                <w:szCs w:val="20"/>
              </w:rPr>
            </w:pPr>
            <w:sdt>
              <w:sdtPr>
                <w:tag w:val="goog_rdk_3"/>
                <w:id w:val="950699123"/>
              </w:sdtPr>
              <w:sdtEndPr/>
              <w:sdtContent>
                <w:r>
                  <w:rPr>
                    <w:rFonts w:ascii="Arial Unicode MS" w:hAnsi="Arial Unicode MS" w:eastAsia="Arial Unicode MS" w:cs="Arial Unicode MS"/>
                    <w:b/>
                    <w:sz w:val="20"/>
                    <w:szCs w:val="20"/>
                  </w:rPr>
                  <w:t>☐</w:t>
                </w:r>
              </w:sdtContent>
            </w:sdt>
          </w:p>
        </w:tc>
      </w:tr>
      <w:tr w:rsidR="005A63D1" w14:paraId="0D2B9584" w14:textId="77777777">
        <w:tc>
          <w:tcPr>
            <w:tcW w:w="7644" w:type="dxa"/>
            <w:shd w:val="clear" w:color="auto" w:fill="auto"/>
          </w:tcPr>
          <w:p w:rsidR="005A63D1" w:rsidRDefault="00DB5899" w14:paraId="000002BC" w14:textId="77777777">
            <w:pPr>
              <w:pStyle w:val="Normal2"/>
              <w:rPr>
                <w:sz w:val="20"/>
                <w:szCs w:val="20"/>
              </w:rPr>
            </w:pPr>
            <w:r>
              <w:rPr>
                <w:sz w:val="20"/>
                <w:szCs w:val="20"/>
              </w:rPr>
              <w:t>Winds (Typhoons, Cyclones, Hurricanes, Tornadoes, Harmattan)</w:t>
            </w:r>
          </w:p>
        </w:tc>
        <w:tc>
          <w:tcPr>
            <w:tcW w:w="541" w:type="dxa"/>
            <w:shd w:val="clear" w:color="auto" w:fill="auto"/>
            <w:vAlign w:val="center"/>
          </w:tcPr>
          <w:p w:rsidR="005A63D1" w:rsidRDefault="00DB5899" w14:paraId="000002BD"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2BE" w14:textId="77777777">
            <w:pPr>
              <w:pStyle w:val="Normal2"/>
              <w:jc w:val="center"/>
              <w:rPr>
                <w:sz w:val="20"/>
                <w:szCs w:val="20"/>
              </w:rPr>
            </w:pPr>
            <w:sdt>
              <w:sdtPr>
                <w:tag w:val="goog_rdk_4"/>
                <w:id w:val="437576055"/>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2BF" w14:textId="77777777">
            <w:pPr>
              <w:pStyle w:val="Normal2"/>
              <w:jc w:val="center"/>
              <w:rPr>
                <w:sz w:val="20"/>
                <w:szCs w:val="20"/>
              </w:rPr>
            </w:pPr>
            <w:sdt>
              <w:sdtPr>
                <w:tag w:val="goog_rdk_5"/>
                <w:id w:val="1037800483"/>
              </w:sdtPr>
              <w:sdtEndPr/>
              <w:sdtContent>
                <w:r>
                  <w:rPr>
                    <w:rFonts w:ascii="Arial Unicode MS" w:hAnsi="Arial Unicode MS" w:eastAsia="Arial Unicode MS" w:cs="Arial Unicode MS"/>
                    <w:b/>
                    <w:sz w:val="20"/>
                    <w:szCs w:val="20"/>
                  </w:rPr>
                  <w:t>☐</w:t>
                </w:r>
              </w:sdtContent>
            </w:sdt>
          </w:p>
        </w:tc>
      </w:tr>
      <w:tr w:rsidR="005A63D1" w14:paraId="7EC5E06E" w14:textId="77777777">
        <w:tc>
          <w:tcPr>
            <w:tcW w:w="7644" w:type="dxa"/>
            <w:shd w:val="clear" w:color="auto" w:fill="auto"/>
          </w:tcPr>
          <w:p w:rsidR="005A63D1" w:rsidRDefault="00DB5899" w14:paraId="000002C0" w14:textId="77777777">
            <w:pPr>
              <w:pStyle w:val="Normal2"/>
              <w:rPr>
                <w:i/>
                <w:color w:val="990000"/>
                <w:sz w:val="20"/>
                <w:szCs w:val="20"/>
              </w:rPr>
            </w:pPr>
            <w:r>
              <w:rPr>
                <w:sz w:val="20"/>
                <w:szCs w:val="20"/>
              </w:rPr>
              <w:t xml:space="preserve">Sea level rise (from global warming and storm surges) </w:t>
            </w:r>
          </w:p>
        </w:tc>
        <w:tc>
          <w:tcPr>
            <w:tcW w:w="541" w:type="dxa"/>
            <w:shd w:val="clear" w:color="auto" w:fill="auto"/>
            <w:vAlign w:val="center"/>
          </w:tcPr>
          <w:p w:rsidR="005A63D1" w:rsidRDefault="00DB5899" w14:paraId="000002C1" w14:textId="77777777">
            <w:pPr>
              <w:pStyle w:val="Normal2"/>
              <w:jc w:val="center"/>
              <w:rPr>
                <w:sz w:val="20"/>
                <w:szCs w:val="20"/>
              </w:rPr>
            </w:pPr>
            <w:sdt>
              <w:sdtPr>
                <w:tag w:val="goog_rdk_6"/>
                <w:id w:val="932349531"/>
              </w:sdtPr>
              <w:sdtEndPr/>
              <w:sdtContent>
                <w:r>
                  <w:rPr>
                    <w:rFonts w:ascii="Arial Unicode MS" w:hAnsi="Arial Unicode MS" w:eastAsia="Arial Unicode MS" w:cs="Arial Unicode MS"/>
                    <w:b/>
                    <w:sz w:val="20"/>
                    <w:szCs w:val="20"/>
                  </w:rPr>
                  <w:t>☐</w:t>
                </w:r>
              </w:sdtContent>
            </w:sdt>
          </w:p>
        </w:tc>
        <w:tc>
          <w:tcPr>
            <w:tcW w:w="558" w:type="dxa"/>
            <w:shd w:val="clear" w:color="auto" w:fill="auto"/>
            <w:vAlign w:val="center"/>
          </w:tcPr>
          <w:p w:rsidR="005A63D1" w:rsidRDefault="00DB5899" w14:paraId="000002C2" w14:textId="77777777">
            <w:pPr>
              <w:pStyle w:val="Normal2"/>
              <w:spacing w:after="0" w:line="276" w:lineRule="auto"/>
              <w:ind w:left="-30" w:firstLine="0"/>
              <w:jc w:val="center"/>
              <w:rPr>
                <w:sz w:val="20"/>
                <w:szCs w:val="20"/>
              </w:rPr>
            </w:pPr>
            <w:r>
              <w:t>☒</w:t>
            </w:r>
          </w:p>
        </w:tc>
        <w:tc>
          <w:tcPr>
            <w:tcW w:w="607" w:type="dxa"/>
            <w:shd w:val="clear" w:color="auto" w:fill="auto"/>
            <w:vAlign w:val="center"/>
          </w:tcPr>
          <w:p w:rsidR="005A63D1" w:rsidRDefault="00DB5899" w14:paraId="000002C3" w14:textId="77777777">
            <w:pPr>
              <w:pStyle w:val="Normal2"/>
              <w:jc w:val="center"/>
              <w:rPr>
                <w:sz w:val="20"/>
                <w:szCs w:val="20"/>
              </w:rPr>
            </w:pPr>
            <w:sdt>
              <w:sdtPr>
                <w:tag w:val="goog_rdk_7"/>
                <w:id w:val="870921919"/>
              </w:sdtPr>
              <w:sdtEndPr/>
              <w:sdtContent>
                <w:r>
                  <w:rPr>
                    <w:rFonts w:ascii="Arial Unicode MS" w:hAnsi="Arial Unicode MS" w:eastAsia="Arial Unicode MS" w:cs="Arial Unicode MS"/>
                    <w:b/>
                    <w:sz w:val="20"/>
                    <w:szCs w:val="20"/>
                  </w:rPr>
                  <w:t>☐</w:t>
                </w:r>
              </w:sdtContent>
            </w:sdt>
          </w:p>
        </w:tc>
      </w:tr>
      <w:tr w:rsidR="005A63D1" w14:paraId="3962E8AA" w14:textId="77777777">
        <w:tc>
          <w:tcPr>
            <w:tcW w:w="9350" w:type="dxa"/>
            <w:gridSpan w:val="4"/>
            <w:shd w:val="clear" w:color="auto" w:fill="8EAADB"/>
          </w:tcPr>
          <w:p w:rsidR="005A63D1" w:rsidRDefault="00DB5899" w14:paraId="000002C4" w14:textId="77777777">
            <w:pPr>
              <w:pStyle w:val="Normal2"/>
              <w:rPr>
                <w:sz w:val="20"/>
                <w:szCs w:val="20"/>
              </w:rPr>
            </w:pPr>
            <w:r>
              <w:rPr>
                <w:sz w:val="20"/>
                <w:szCs w:val="20"/>
              </w:rPr>
              <w:t>Other natural hazards observed in the project area:</w:t>
            </w:r>
          </w:p>
        </w:tc>
      </w:tr>
      <w:tr w:rsidR="005A63D1" w14:paraId="621B1FCF" w14:textId="77777777">
        <w:tc>
          <w:tcPr>
            <w:tcW w:w="7644" w:type="dxa"/>
            <w:shd w:val="clear" w:color="auto" w:fill="auto"/>
          </w:tcPr>
          <w:p w:rsidR="005A63D1" w:rsidRDefault="00DB5899" w14:paraId="000002C8" w14:textId="77777777">
            <w:pPr>
              <w:pStyle w:val="Normal2"/>
              <w:rPr>
                <w:sz w:val="20"/>
                <w:szCs w:val="20"/>
              </w:rPr>
            </w:pPr>
            <w:r>
              <w:rPr>
                <w:sz w:val="20"/>
                <w:szCs w:val="20"/>
              </w:rPr>
              <w:t>Earthquakes</w:t>
            </w:r>
          </w:p>
        </w:tc>
        <w:tc>
          <w:tcPr>
            <w:tcW w:w="541" w:type="dxa"/>
            <w:shd w:val="clear" w:color="auto" w:fill="auto"/>
            <w:vAlign w:val="center"/>
          </w:tcPr>
          <w:p w:rsidR="005A63D1" w:rsidRDefault="00DB5899" w14:paraId="000002C9"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2CA" w14:textId="77777777">
            <w:pPr>
              <w:pStyle w:val="Normal2"/>
              <w:jc w:val="center"/>
              <w:rPr>
                <w:sz w:val="20"/>
                <w:szCs w:val="20"/>
              </w:rPr>
            </w:pPr>
            <w:r>
              <w:rPr>
                <w:rFonts w:ascii="MS Gothic" w:hAnsi="MS Gothic" w:eastAsia="MS Gothic" w:cs="MS Gothic"/>
                <w:b/>
                <w:sz w:val="20"/>
                <w:szCs w:val="20"/>
              </w:rPr>
              <w:t>☐</w:t>
            </w:r>
          </w:p>
        </w:tc>
        <w:tc>
          <w:tcPr>
            <w:tcW w:w="607" w:type="dxa"/>
            <w:shd w:val="clear" w:color="auto" w:fill="auto"/>
            <w:vAlign w:val="center"/>
          </w:tcPr>
          <w:p w:rsidR="005A63D1" w:rsidRDefault="00DB5899" w14:paraId="000002CB" w14:textId="77777777">
            <w:pPr>
              <w:pStyle w:val="Normal2"/>
              <w:jc w:val="center"/>
              <w:rPr>
                <w:sz w:val="20"/>
                <w:szCs w:val="20"/>
              </w:rPr>
            </w:pPr>
            <w:r>
              <w:rPr>
                <w:rFonts w:ascii="MS Gothic" w:hAnsi="MS Gothic" w:eastAsia="MS Gothic" w:cs="MS Gothic"/>
                <w:b/>
                <w:sz w:val="20"/>
                <w:szCs w:val="20"/>
              </w:rPr>
              <w:t>☐</w:t>
            </w:r>
          </w:p>
        </w:tc>
      </w:tr>
      <w:tr w:rsidR="005A63D1" w14:paraId="09AAAE4F" w14:textId="77777777">
        <w:tc>
          <w:tcPr>
            <w:tcW w:w="7644" w:type="dxa"/>
            <w:shd w:val="clear" w:color="auto" w:fill="auto"/>
          </w:tcPr>
          <w:p w:rsidR="005A63D1" w:rsidRDefault="00DB5899" w14:paraId="000002CC" w14:textId="77777777">
            <w:pPr>
              <w:pStyle w:val="Normal2"/>
              <w:rPr>
                <w:sz w:val="20"/>
                <w:szCs w:val="20"/>
              </w:rPr>
            </w:pPr>
            <w:r>
              <w:rPr>
                <w:sz w:val="20"/>
                <w:szCs w:val="20"/>
              </w:rPr>
              <w:t>Tsunamis</w:t>
            </w:r>
          </w:p>
        </w:tc>
        <w:tc>
          <w:tcPr>
            <w:tcW w:w="541" w:type="dxa"/>
            <w:shd w:val="clear" w:color="auto" w:fill="auto"/>
            <w:vAlign w:val="center"/>
          </w:tcPr>
          <w:p w:rsidR="005A63D1" w:rsidRDefault="00DB5899" w14:paraId="000002CD" w14:textId="77777777">
            <w:pPr>
              <w:pStyle w:val="Normal2"/>
              <w:spacing w:after="0" w:line="276" w:lineRule="auto"/>
              <w:ind w:left="-30" w:firstLine="0"/>
              <w:jc w:val="center"/>
              <w:rPr>
                <w:sz w:val="20"/>
                <w:szCs w:val="20"/>
                <w:highlight w:val="green"/>
              </w:rPr>
            </w:pPr>
            <w:r>
              <w:t>☒</w:t>
            </w:r>
          </w:p>
        </w:tc>
        <w:tc>
          <w:tcPr>
            <w:tcW w:w="558" w:type="dxa"/>
            <w:shd w:val="clear" w:color="auto" w:fill="auto"/>
            <w:vAlign w:val="center"/>
          </w:tcPr>
          <w:p w:rsidR="005A63D1" w:rsidRDefault="00DB5899" w14:paraId="000002CE" w14:textId="77777777">
            <w:pPr>
              <w:pStyle w:val="Normal2"/>
              <w:jc w:val="center"/>
              <w:rPr>
                <w:sz w:val="20"/>
                <w:szCs w:val="20"/>
              </w:rPr>
            </w:pPr>
            <w:sdt>
              <w:sdtPr>
                <w:tag w:val="goog_rdk_8"/>
                <w:id w:val="1820745144"/>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2CF" w14:textId="77777777">
            <w:pPr>
              <w:pStyle w:val="Normal2"/>
              <w:jc w:val="center"/>
              <w:rPr>
                <w:sz w:val="20"/>
                <w:szCs w:val="20"/>
              </w:rPr>
            </w:pPr>
            <w:sdt>
              <w:sdtPr>
                <w:tag w:val="goog_rdk_9"/>
                <w:id w:val="780891910"/>
              </w:sdtPr>
              <w:sdtEndPr/>
              <w:sdtContent>
                <w:r>
                  <w:rPr>
                    <w:rFonts w:ascii="Arial Unicode MS" w:hAnsi="Arial Unicode MS" w:eastAsia="Arial Unicode MS" w:cs="Arial Unicode MS"/>
                    <w:b/>
                    <w:sz w:val="20"/>
                    <w:szCs w:val="20"/>
                  </w:rPr>
                  <w:t>☐</w:t>
                </w:r>
              </w:sdtContent>
            </w:sdt>
          </w:p>
        </w:tc>
      </w:tr>
      <w:tr w:rsidR="005A63D1" w14:paraId="5BCD086D" w14:textId="77777777">
        <w:tc>
          <w:tcPr>
            <w:tcW w:w="7644" w:type="dxa"/>
            <w:shd w:val="clear" w:color="auto" w:fill="auto"/>
          </w:tcPr>
          <w:p w:rsidR="005A63D1" w:rsidRDefault="00DB5899" w14:paraId="000002D0" w14:textId="77777777">
            <w:pPr>
              <w:pStyle w:val="Normal2"/>
              <w:rPr>
                <w:sz w:val="20"/>
                <w:szCs w:val="20"/>
              </w:rPr>
            </w:pPr>
            <w:r>
              <w:rPr>
                <w:sz w:val="20"/>
                <w:szCs w:val="20"/>
              </w:rPr>
              <w:t>Volcanic eruptions</w:t>
            </w:r>
          </w:p>
        </w:tc>
        <w:tc>
          <w:tcPr>
            <w:tcW w:w="541" w:type="dxa"/>
            <w:shd w:val="clear" w:color="auto" w:fill="auto"/>
            <w:vAlign w:val="center"/>
          </w:tcPr>
          <w:p w:rsidR="005A63D1" w:rsidRDefault="00DB5899" w14:paraId="000002D1" w14:textId="77777777">
            <w:pPr>
              <w:pStyle w:val="Normal2"/>
              <w:rPr>
                <w:sz w:val="20"/>
                <w:szCs w:val="20"/>
              </w:rPr>
            </w:pPr>
            <w:r>
              <w:t xml:space="preserve"> ☒</w:t>
            </w:r>
          </w:p>
        </w:tc>
        <w:tc>
          <w:tcPr>
            <w:tcW w:w="558" w:type="dxa"/>
            <w:shd w:val="clear" w:color="auto" w:fill="auto"/>
            <w:vAlign w:val="center"/>
          </w:tcPr>
          <w:p w:rsidR="005A63D1" w:rsidRDefault="00DB5899" w14:paraId="000002D2" w14:textId="77777777">
            <w:pPr>
              <w:pStyle w:val="Normal2"/>
              <w:ind w:left="0" w:firstLine="0"/>
              <w:rPr>
                <w:sz w:val="20"/>
                <w:szCs w:val="20"/>
              </w:rPr>
            </w:pPr>
            <w:sdt>
              <w:sdtPr>
                <w:tag w:val="goog_rdk_10"/>
                <w:id w:val="900450145"/>
              </w:sdtPr>
              <w:sdtEndPr/>
              <w:sdtContent>
                <w:r>
                  <w:rPr>
                    <w:rFonts w:ascii="Arial Unicode MS" w:hAnsi="Arial Unicode MS" w:eastAsia="Arial Unicode MS" w:cs="Arial Unicode MS"/>
                    <w:b/>
                    <w:sz w:val="20"/>
                    <w:szCs w:val="20"/>
                  </w:rPr>
                  <w:t xml:space="preserve"> ☐</w:t>
                </w:r>
              </w:sdtContent>
            </w:sdt>
          </w:p>
        </w:tc>
        <w:tc>
          <w:tcPr>
            <w:tcW w:w="607" w:type="dxa"/>
            <w:shd w:val="clear" w:color="auto" w:fill="auto"/>
            <w:vAlign w:val="center"/>
          </w:tcPr>
          <w:p w:rsidR="005A63D1" w:rsidRDefault="00DB5899" w14:paraId="000002D3" w14:textId="77777777">
            <w:pPr>
              <w:pStyle w:val="Normal2"/>
              <w:jc w:val="center"/>
              <w:rPr>
                <w:sz w:val="20"/>
                <w:szCs w:val="20"/>
              </w:rPr>
            </w:pPr>
            <w:sdt>
              <w:sdtPr>
                <w:tag w:val="goog_rdk_11"/>
                <w:id w:val="857984038"/>
              </w:sdtPr>
              <w:sdtEndPr/>
              <w:sdtContent>
                <w:r>
                  <w:rPr>
                    <w:rFonts w:ascii="Arial Unicode MS" w:hAnsi="Arial Unicode MS" w:eastAsia="Arial Unicode MS" w:cs="Arial Unicode MS"/>
                    <w:b/>
                    <w:sz w:val="20"/>
                    <w:szCs w:val="20"/>
                  </w:rPr>
                  <w:t>☐</w:t>
                </w:r>
              </w:sdtContent>
            </w:sdt>
          </w:p>
        </w:tc>
      </w:tr>
      <w:tr w:rsidR="005A63D1" w14:paraId="3FA5C100" w14:textId="77777777">
        <w:tc>
          <w:tcPr>
            <w:tcW w:w="7644" w:type="dxa"/>
            <w:shd w:val="clear" w:color="auto" w:fill="auto"/>
          </w:tcPr>
          <w:p w:rsidR="005A63D1" w:rsidRDefault="00DB5899" w14:paraId="000002D4" w14:textId="77777777">
            <w:pPr>
              <w:pStyle w:val="Normal2"/>
              <w:rPr>
                <w:sz w:val="20"/>
                <w:szCs w:val="20"/>
              </w:rPr>
            </w:pPr>
            <w:r>
              <w:rPr>
                <w:sz w:val="20"/>
                <w:szCs w:val="20"/>
              </w:rPr>
              <w:t>Landslides or avalanches</w:t>
            </w:r>
          </w:p>
        </w:tc>
        <w:tc>
          <w:tcPr>
            <w:tcW w:w="541" w:type="dxa"/>
            <w:shd w:val="clear" w:color="auto" w:fill="auto"/>
            <w:vAlign w:val="center"/>
          </w:tcPr>
          <w:p w:rsidR="005A63D1" w:rsidRDefault="00DB5899" w14:paraId="000002D5" w14:textId="77777777">
            <w:pPr>
              <w:pStyle w:val="Normal2"/>
              <w:jc w:val="center"/>
              <w:rPr>
                <w:sz w:val="20"/>
                <w:szCs w:val="20"/>
              </w:rPr>
            </w:pPr>
            <w:sdt>
              <w:sdtPr>
                <w:tag w:val="goog_rdk_12"/>
                <w:id w:val="508299043"/>
              </w:sdtPr>
              <w:sdtEndPr/>
              <w:sdtContent>
                <w:r>
                  <w:rPr>
                    <w:rFonts w:ascii="Arial Unicode MS" w:hAnsi="Arial Unicode MS" w:eastAsia="Arial Unicode MS" w:cs="Arial Unicode MS"/>
                    <w:b/>
                    <w:sz w:val="20"/>
                    <w:szCs w:val="20"/>
                  </w:rPr>
                  <w:t>☐</w:t>
                </w:r>
              </w:sdtContent>
            </w:sdt>
          </w:p>
        </w:tc>
        <w:tc>
          <w:tcPr>
            <w:tcW w:w="558" w:type="dxa"/>
            <w:shd w:val="clear" w:color="auto" w:fill="auto"/>
            <w:vAlign w:val="center"/>
          </w:tcPr>
          <w:p w:rsidR="005A63D1" w:rsidRDefault="00DB5899" w14:paraId="000002D6" w14:textId="77777777">
            <w:pPr>
              <w:pStyle w:val="Normal2"/>
              <w:jc w:val="center"/>
              <w:rPr>
                <w:sz w:val="20"/>
                <w:szCs w:val="20"/>
              </w:rPr>
            </w:pPr>
            <w:sdt>
              <w:sdtPr>
                <w:tag w:val="goog_rdk_13"/>
                <w:id w:val="800307233"/>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2D7" w14:textId="77777777">
            <w:pPr>
              <w:pStyle w:val="Normal2"/>
              <w:spacing w:after="0" w:line="276" w:lineRule="auto"/>
              <w:ind w:left="-30" w:firstLine="0"/>
              <w:jc w:val="center"/>
              <w:rPr>
                <w:sz w:val="20"/>
                <w:szCs w:val="20"/>
              </w:rPr>
            </w:pPr>
            <w:r>
              <w:t>☒</w:t>
            </w:r>
          </w:p>
        </w:tc>
      </w:tr>
      <w:tr w:rsidR="005A63D1" w14:paraId="5B252B23" w14:textId="77777777">
        <w:tc>
          <w:tcPr>
            <w:tcW w:w="7644" w:type="dxa"/>
            <w:shd w:val="clear" w:color="auto" w:fill="auto"/>
          </w:tcPr>
          <w:p w:rsidR="005A63D1" w:rsidRDefault="00DB5899" w14:paraId="000002D8" w14:textId="77777777">
            <w:pPr>
              <w:pStyle w:val="Normal2"/>
              <w:rPr>
                <w:sz w:val="20"/>
                <w:szCs w:val="20"/>
              </w:rPr>
            </w:pPr>
            <w:r>
              <w:rPr>
                <w:sz w:val="20"/>
                <w:szCs w:val="20"/>
              </w:rPr>
              <w:t>Wildfires</w:t>
            </w:r>
          </w:p>
        </w:tc>
        <w:tc>
          <w:tcPr>
            <w:tcW w:w="541" w:type="dxa"/>
            <w:shd w:val="clear" w:color="auto" w:fill="auto"/>
            <w:vAlign w:val="center"/>
          </w:tcPr>
          <w:p w:rsidR="005A63D1" w:rsidRDefault="00DB5899" w14:paraId="000002D9" w14:textId="77777777">
            <w:pPr>
              <w:pStyle w:val="Normal2"/>
              <w:jc w:val="center"/>
              <w:rPr>
                <w:sz w:val="20"/>
                <w:szCs w:val="20"/>
              </w:rPr>
            </w:pPr>
            <w:sdt>
              <w:sdtPr>
                <w:tag w:val="goog_rdk_14"/>
                <w:id w:val="1151770101"/>
              </w:sdtPr>
              <w:sdtEndPr/>
              <w:sdtContent>
                <w:r>
                  <w:rPr>
                    <w:rFonts w:ascii="Arial Unicode MS" w:hAnsi="Arial Unicode MS" w:eastAsia="Arial Unicode MS" w:cs="Arial Unicode MS"/>
                    <w:b/>
                    <w:sz w:val="20"/>
                    <w:szCs w:val="20"/>
                  </w:rPr>
                  <w:t>☐</w:t>
                </w:r>
              </w:sdtContent>
            </w:sdt>
          </w:p>
        </w:tc>
        <w:tc>
          <w:tcPr>
            <w:tcW w:w="558" w:type="dxa"/>
            <w:shd w:val="clear" w:color="auto" w:fill="auto"/>
            <w:vAlign w:val="center"/>
          </w:tcPr>
          <w:p w:rsidR="005A63D1" w:rsidRDefault="00DB5899" w14:paraId="000002DA" w14:textId="77777777">
            <w:pPr>
              <w:pStyle w:val="Normal2"/>
              <w:jc w:val="center"/>
              <w:rPr>
                <w:sz w:val="20"/>
                <w:szCs w:val="20"/>
              </w:rPr>
            </w:pPr>
            <w:sdt>
              <w:sdtPr>
                <w:tag w:val="goog_rdk_15"/>
                <w:id w:val="1946927400"/>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2DB" w14:textId="77777777">
            <w:pPr>
              <w:pStyle w:val="Normal2"/>
              <w:spacing w:after="0" w:line="276" w:lineRule="auto"/>
              <w:ind w:left="-30" w:firstLine="0"/>
              <w:jc w:val="center"/>
              <w:rPr>
                <w:sz w:val="20"/>
                <w:szCs w:val="20"/>
              </w:rPr>
            </w:pPr>
            <w:r>
              <w:t>☒</w:t>
            </w:r>
          </w:p>
        </w:tc>
      </w:tr>
      <w:tr w:rsidR="005A63D1" w14:paraId="38989148" w14:textId="77777777">
        <w:tc>
          <w:tcPr>
            <w:tcW w:w="7644" w:type="dxa"/>
            <w:tcBorders>
              <w:bottom w:val="single" w:color="D9D9D9" w:sz="4" w:space="0"/>
            </w:tcBorders>
            <w:shd w:val="clear" w:color="auto" w:fill="auto"/>
          </w:tcPr>
          <w:p w:rsidR="005A63D1" w:rsidRDefault="00DB5899" w14:paraId="000002DC" w14:textId="77777777">
            <w:pPr>
              <w:pStyle w:val="Normal2"/>
              <w:rPr>
                <w:sz w:val="20"/>
                <w:szCs w:val="20"/>
              </w:rPr>
            </w:pPr>
            <w:r>
              <w:rPr>
                <w:sz w:val="20"/>
                <w:szCs w:val="20"/>
              </w:rPr>
              <w:t>Salinization</w:t>
            </w:r>
          </w:p>
        </w:tc>
        <w:tc>
          <w:tcPr>
            <w:tcW w:w="541" w:type="dxa"/>
            <w:tcBorders>
              <w:bottom w:val="single" w:color="D9D9D9" w:sz="4" w:space="0"/>
            </w:tcBorders>
            <w:shd w:val="clear" w:color="auto" w:fill="auto"/>
            <w:vAlign w:val="center"/>
          </w:tcPr>
          <w:p w:rsidR="005A63D1" w:rsidRDefault="00DB5899" w14:paraId="000002DD" w14:textId="77777777">
            <w:pPr>
              <w:pStyle w:val="Normal2"/>
              <w:spacing w:after="0" w:line="276" w:lineRule="auto"/>
              <w:ind w:left="-30" w:firstLine="0"/>
              <w:jc w:val="center"/>
              <w:rPr>
                <w:sz w:val="20"/>
                <w:szCs w:val="20"/>
              </w:rPr>
            </w:pPr>
            <w:r>
              <w:t>☒</w:t>
            </w:r>
          </w:p>
        </w:tc>
        <w:tc>
          <w:tcPr>
            <w:tcW w:w="558" w:type="dxa"/>
            <w:tcBorders>
              <w:bottom w:val="single" w:color="D9D9D9" w:sz="4" w:space="0"/>
            </w:tcBorders>
            <w:shd w:val="clear" w:color="auto" w:fill="auto"/>
            <w:vAlign w:val="center"/>
          </w:tcPr>
          <w:p w:rsidR="005A63D1" w:rsidRDefault="00DB5899" w14:paraId="000002DE" w14:textId="77777777">
            <w:pPr>
              <w:pStyle w:val="Normal2"/>
              <w:jc w:val="center"/>
              <w:rPr>
                <w:sz w:val="20"/>
                <w:szCs w:val="20"/>
              </w:rPr>
            </w:pPr>
            <w:sdt>
              <w:sdtPr>
                <w:tag w:val="goog_rdk_16"/>
                <w:id w:val="623382088"/>
              </w:sdtPr>
              <w:sdtEndPr/>
              <w:sdtContent>
                <w:r>
                  <w:rPr>
                    <w:rFonts w:ascii="Arial Unicode MS" w:hAnsi="Arial Unicode MS" w:eastAsia="Arial Unicode MS" w:cs="Arial Unicode MS"/>
                    <w:b/>
                    <w:sz w:val="20"/>
                    <w:szCs w:val="20"/>
                  </w:rPr>
                  <w:t>☐</w:t>
                </w:r>
              </w:sdtContent>
            </w:sdt>
          </w:p>
        </w:tc>
        <w:tc>
          <w:tcPr>
            <w:tcW w:w="607" w:type="dxa"/>
            <w:tcBorders>
              <w:bottom w:val="single" w:color="D9D9D9" w:sz="4" w:space="0"/>
            </w:tcBorders>
            <w:shd w:val="clear" w:color="auto" w:fill="auto"/>
            <w:vAlign w:val="center"/>
          </w:tcPr>
          <w:p w:rsidR="005A63D1" w:rsidRDefault="00DB5899" w14:paraId="000002DF" w14:textId="77777777">
            <w:pPr>
              <w:pStyle w:val="Normal2"/>
              <w:jc w:val="center"/>
              <w:rPr>
                <w:sz w:val="20"/>
                <w:szCs w:val="20"/>
              </w:rPr>
            </w:pPr>
            <w:sdt>
              <w:sdtPr>
                <w:tag w:val="goog_rdk_17"/>
                <w:id w:val="1957305409"/>
              </w:sdtPr>
              <w:sdtEndPr/>
              <w:sdtContent>
                <w:r>
                  <w:rPr>
                    <w:rFonts w:ascii="Arial Unicode MS" w:hAnsi="Arial Unicode MS" w:eastAsia="Arial Unicode MS" w:cs="Arial Unicode MS"/>
                    <w:b/>
                    <w:sz w:val="20"/>
                    <w:szCs w:val="20"/>
                  </w:rPr>
                  <w:t>☐</w:t>
                </w:r>
              </w:sdtContent>
            </w:sdt>
          </w:p>
        </w:tc>
      </w:tr>
      <w:tr w:rsidR="005A63D1" w14:paraId="0BC4AA6A" w14:textId="77777777">
        <w:tc>
          <w:tcPr>
            <w:tcW w:w="7644" w:type="dxa"/>
            <w:tcBorders>
              <w:top w:val="single" w:color="D9D9D9" w:sz="4" w:space="0"/>
              <w:left w:val="single" w:color="D9D9D9" w:sz="4" w:space="0"/>
              <w:bottom w:val="single" w:color="D9D9D9" w:sz="4" w:space="0"/>
              <w:right w:val="single" w:color="D9D9D9" w:sz="4" w:space="0"/>
            </w:tcBorders>
            <w:shd w:val="clear" w:color="auto" w:fill="auto"/>
          </w:tcPr>
          <w:p w:rsidR="005A63D1" w:rsidRDefault="00DB5899" w14:paraId="000002E0" w14:textId="77777777">
            <w:pPr>
              <w:pStyle w:val="Normal2"/>
              <w:rPr>
                <w:sz w:val="20"/>
                <w:szCs w:val="20"/>
              </w:rPr>
            </w:pPr>
            <w:r>
              <w:rPr>
                <w:sz w:val="20"/>
                <w:szCs w:val="20"/>
              </w:rPr>
              <w:t>Ocean acidification</w:t>
            </w:r>
          </w:p>
        </w:tc>
        <w:tc>
          <w:tcPr>
            <w:tcW w:w="541" w:type="dxa"/>
            <w:tcBorders>
              <w:top w:val="single" w:color="D9D9D9" w:sz="4" w:space="0"/>
              <w:left w:val="single" w:color="D9D9D9" w:sz="4" w:space="0"/>
              <w:bottom w:val="single" w:color="D9D9D9" w:sz="4" w:space="0"/>
              <w:right w:val="single" w:color="D9D9D9" w:sz="4" w:space="0"/>
            </w:tcBorders>
            <w:shd w:val="clear" w:color="auto" w:fill="auto"/>
            <w:vAlign w:val="center"/>
          </w:tcPr>
          <w:p w:rsidR="005A63D1" w:rsidRDefault="00DB5899" w14:paraId="000002E1" w14:textId="77777777">
            <w:pPr>
              <w:pStyle w:val="Normal2"/>
              <w:spacing w:after="0" w:line="276" w:lineRule="auto"/>
              <w:ind w:left="-30" w:firstLine="0"/>
              <w:jc w:val="center"/>
              <w:rPr>
                <w:sz w:val="20"/>
                <w:szCs w:val="20"/>
                <w:highlight w:val="green"/>
              </w:rPr>
            </w:pPr>
            <w:r>
              <w:t>☒</w:t>
            </w:r>
          </w:p>
        </w:tc>
        <w:tc>
          <w:tcPr>
            <w:tcW w:w="558" w:type="dxa"/>
            <w:tcBorders>
              <w:top w:val="single" w:color="D9D9D9" w:sz="4" w:space="0"/>
              <w:left w:val="single" w:color="D9D9D9" w:sz="4" w:space="0"/>
              <w:bottom w:val="single" w:color="D9D9D9" w:sz="4" w:space="0"/>
              <w:right w:val="single" w:color="D9D9D9" w:sz="4" w:space="0"/>
            </w:tcBorders>
            <w:shd w:val="clear" w:color="auto" w:fill="auto"/>
            <w:vAlign w:val="center"/>
          </w:tcPr>
          <w:p w:rsidR="005A63D1" w:rsidRDefault="00DB5899" w14:paraId="000002E2" w14:textId="77777777">
            <w:pPr>
              <w:pStyle w:val="Normal2"/>
              <w:jc w:val="center"/>
              <w:rPr>
                <w:sz w:val="20"/>
                <w:szCs w:val="20"/>
              </w:rPr>
            </w:pPr>
            <w:sdt>
              <w:sdtPr>
                <w:tag w:val="goog_rdk_18"/>
                <w:id w:val="1432818368"/>
              </w:sdtPr>
              <w:sdtEndPr/>
              <w:sdtContent>
                <w:r>
                  <w:rPr>
                    <w:rFonts w:ascii="Arial Unicode MS" w:hAnsi="Arial Unicode MS" w:eastAsia="Arial Unicode MS" w:cs="Arial Unicode MS"/>
                    <w:b/>
                    <w:sz w:val="20"/>
                    <w:szCs w:val="20"/>
                  </w:rPr>
                  <w:t>☐</w:t>
                </w:r>
              </w:sdtContent>
            </w:sdt>
          </w:p>
        </w:tc>
        <w:tc>
          <w:tcPr>
            <w:tcW w:w="607" w:type="dxa"/>
            <w:tcBorders>
              <w:top w:val="single" w:color="D9D9D9" w:sz="4" w:space="0"/>
              <w:left w:val="single" w:color="D9D9D9" w:sz="4" w:space="0"/>
              <w:bottom w:val="single" w:color="D9D9D9" w:sz="4" w:space="0"/>
              <w:right w:val="single" w:color="D9D9D9" w:sz="4" w:space="0"/>
            </w:tcBorders>
            <w:shd w:val="clear" w:color="auto" w:fill="auto"/>
            <w:vAlign w:val="center"/>
          </w:tcPr>
          <w:p w:rsidR="005A63D1" w:rsidRDefault="00DB5899" w14:paraId="000002E3" w14:textId="77777777">
            <w:pPr>
              <w:pStyle w:val="Normal2"/>
              <w:jc w:val="center"/>
              <w:rPr>
                <w:sz w:val="20"/>
                <w:szCs w:val="20"/>
              </w:rPr>
            </w:pPr>
            <w:sdt>
              <w:sdtPr>
                <w:tag w:val="goog_rdk_19"/>
                <w:id w:val="1235567756"/>
              </w:sdtPr>
              <w:sdtEndPr/>
              <w:sdtContent>
                <w:r>
                  <w:rPr>
                    <w:rFonts w:ascii="Arial Unicode MS" w:hAnsi="Arial Unicode MS" w:eastAsia="Arial Unicode MS" w:cs="Arial Unicode MS"/>
                    <w:b/>
                    <w:sz w:val="20"/>
                    <w:szCs w:val="20"/>
                  </w:rPr>
                  <w:t>☐</w:t>
                </w:r>
              </w:sdtContent>
            </w:sdt>
          </w:p>
        </w:tc>
      </w:tr>
      <w:tr w:rsidR="005A63D1" w14:paraId="672A6659" w14:textId="77777777">
        <w:trPr>
          <w:trHeight w:val="236"/>
        </w:trPr>
        <w:tc>
          <w:tcPr>
            <w:tcW w:w="7644" w:type="dxa"/>
            <w:tcBorders>
              <w:top w:val="single" w:color="D9D9D9" w:sz="4" w:space="0"/>
              <w:left w:val="single" w:color="FFFFFF" w:sz="4" w:space="0"/>
              <w:bottom w:val="single" w:color="FFFFFF" w:sz="4" w:space="0"/>
              <w:right w:val="single" w:color="FFFFFF" w:sz="4" w:space="0"/>
            </w:tcBorders>
            <w:shd w:val="clear" w:color="auto" w:fill="auto"/>
          </w:tcPr>
          <w:p w:rsidR="005A63D1" w:rsidRDefault="005A63D1" w14:paraId="000002E4" w14:textId="77777777">
            <w:pPr>
              <w:pStyle w:val="Normal2"/>
              <w:spacing w:after="0"/>
              <w:ind w:left="0" w:firstLine="0"/>
              <w:rPr>
                <w:sz w:val="8"/>
                <w:szCs w:val="8"/>
              </w:rPr>
            </w:pPr>
          </w:p>
        </w:tc>
        <w:tc>
          <w:tcPr>
            <w:tcW w:w="541" w:type="dxa"/>
            <w:tcBorders>
              <w:top w:val="single" w:color="D9D9D9" w:sz="4" w:space="0"/>
              <w:left w:val="single" w:color="FFFFFF" w:sz="4" w:space="0"/>
              <w:bottom w:val="single" w:color="FFFFFF" w:sz="4" w:space="0"/>
              <w:right w:val="single" w:color="FFFFFF" w:sz="4" w:space="0"/>
            </w:tcBorders>
            <w:shd w:val="clear" w:color="auto" w:fill="auto"/>
            <w:vAlign w:val="center"/>
          </w:tcPr>
          <w:p w:rsidR="005A63D1" w:rsidRDefault="005A63D1" w14:paraId="000002E5" w14:textId="77777777">
            <w:pPr>
              <w:pStyle w:val="Normal2"/>
              <w:spacing w:after="0" w:line="276" w:lineRule="auto"/>
              <w:ind w:left="-30" w:firstLine="0"/>
              <w:jc w:val="center"/>
            </w:pPr>
          </w:p>
        </w:tc>
        <w:tc>
          <w:tcPr>
            <w:tcW w:w="558" w:type="dxa"/>
            <w:tcBorders>
              <w:top w:val="single" w:color="D9D9D9" w:sz="4" w:space="0"/>
              <w:left w:val="single" w:color="FFFFFF" w:sz="4" w:space="0"/>
              <w:bottom w:val="single" w:color="FFFFFF" w:sz="4" w:space="0"/>
              <w:right w:val="single" w:color="FFFFFF" w:sz="4" w:space="0"/>
            </w:tcBorders>
            <w:shd w:val="clear" w:color="auto" w:fill="auto"/>
            <w:vAlign w:val="center"/>
          </w:tcPr>
          <w:p w:rsidR="005A63D1" w:rsidRDefault="005A63D1" w14:paraId="000002E6" w14:textId="77777777">
            <w:pPr>
              <w:pStyle w:val="Normal2"/>
              <w:jc w:val="center"/>
              <w:rPr>
                <w:rFonts w:ascii="Quattrocento Sans" w:hAnsi="Quattrocento Sans" w:eastAsia="Quattrocento Sans" w:cs="Quattrocento Sans"/>
                <w:b/>
                <w:sz w:val="20"/>
                <w:szCs w:val="20"/>
              </w:rPr>
            </w:pPr>
          </w:p>
        </w:tc>
        <w:tc>
          <w:tcPr>
            <w:tcW w:w="607" w:type="dxa"/>
            <w:tcBorders>
              <w:top w:val="single" w:color="D9D9D9" w:sz="4" w:space="0"/>
              <w:left w:val="single" w:color="FFFFFF" w:sz="4" w:space="0"/>
              <w:bottom w:val="single" w:color="FFFFFF" w:sz="4" w:space="0"/>
              <w:right w:val="single" w:color="FFFFFF" w:sz="4" w:space="0"/>
            </w:tcBorders>
            <w:shd w:val="clear" w:color="auto" w:fill="auto"/>
            <w:vAlign w:val="center"/>
          </w:tcPr>
          <w:p w:rsidR="005A63D1" w:rsidRDefault="005A63D1" w14:paraId="000002E7" w14:textId="77777777">
            <w:pPr>
              <w:pStyle w:val="Normal2"/>
              <w:jc w:val="center"/>
              <w:rPr>
                <w:rFonts w:ascii="Quattrocento Sans" w:hAnsi="Quattrocento Sans" w:eastAsia="Quattrocento Sans" w:cs="Quattrocento Sans"/>
                <w:b/>
                <w:sz w:val="20"/>
                <w:szCs w:val="20"/>
              </w:rPr>
            </w:pPr>
          </w:p>
        </w:tc>
      </w:tr>
      <w:tr w:rsidR="005A63D1" w14:paraId="4C938783" w14:textId="77777777">
        <w:tc>
          <w:tcPr>
            <w:tcW w:w="7644" w:type="dxa"/>
            <w:tcBorders>
              <w:top w:val="single" w:color="FFFFFF" w:sz="4" w:space="0"/>
            </w:tcBorders>
            <w:shd w:val="clear" w:color="auto" w:fill="002060"/>
          </w:tcPr>
          <w:p w:rsidR="005A63D1" w:rsidRDefault="00DB5899" w14:paraId="000002E8" w14:textId="77777777">
            <w:pPr>
              <w:pStyle w:val="Normal2"/>
              <w:rPr>
                <w:color w:val="FFFFFF"/>
                <w:sz w:val="20"/>
                <w:szCs w:val="20"/>
              </w:rPr>
            </w:pPr>
            <w:r>
              <w:rPr>
                <w:color w:val="FFFFFF"/>
                <w:sz w:val="20"/>
                <w:szCs w:val="20"/>
              </w:rPr>
              <w:t>Projected Hazards Guiding Questions</w:t>
            </w:r>
          </w:p>
        </w:tc>
        <w:tc>
          <w:tcPr>
            <w:tcW w:w="541" w:type="dxa"/>
            <w:tcBorders>
              <w:top w:val="single" w:color="FFFFFF" w:sz="4" w:space="0"/>
            </w:tcBorders>
            <w:shd w:val="clear" w:color="auto" w:fill="002060"/>
            <w:vAlign w:val="center"/>
          </w:tcPr>
          <w:p w:rsidR="005A63D1" w:rsidRDefault="00DB5899" w14:paraId="000002E9" w14:textId="77777777">
            <w:pPr>
              <w:pStyle w:val="Normal2"/>
              <w:jc w:val="center"/>
              <w:rPr>
                <w:b/>
                <w:color w:val="FFFFFF"/>
                <w:sz w:val="20"/>
                <w:szCs w:val="20"/>
              </w:rPr>
            </w:pPr>
            <w:r>
              <w:rPr>
                <w:b/>
                <w:color w:val="FFFFFF"/>
                <w:sz w:val="20"/>
                <w:szCs w:val="20"/>
              </w:rPr>
              <w:t>Yes</w:t>
            </w:r>
          </w:p>
        </w:tc>
        <w:tc>
          <w:tcPr>
            <w:tcW w:w="558" w:type="dxa"/>
            <w:tcBorders>
              <w:top w:val="single" w:color="FFFFFF" w:sz="4" w:space="0"/>
            </w:tcBorders>
            <w:shd w:val="clear" w:color="auto" w:fill="002060"/>
            <w:vAlign w:val="center"/>
          </w:tcPr>
          <w:p w:rsidR="005A63D1" w:rsidRDefault="00DB5899" w14:paraId="000002EA" w14:textId="77777777">
            <w:pPr>
              <w:pStyle w:val="Normal2"/>
              <w:jc w:val="center"/>
              <w:rPr>
                <w:b/>
                <w:color w:val="FFFFFF"/>
                <w:sz w:val="20"/>
                <w:szCs w:val="20"/>
              </w:rPr>
            </w:pPr>
            <w:r>
              <w:rPr>
                <w:b/>
                <w:color w:val="FFFFFF"/>
                <w:sz w:val="20"/>
                <w:szCs w:val="20"/>
              </w:rPr>
              <w:t>No</w:t>
            </w:r>
          </w:p>
        </w:tc>
        <w:tc>
          <w:tcPr>
            <w:tcW w:w="607" w:type="dxa"/>
            <w:tcBorders>
              <w:top w:val="single" w:color="FFFFFF" w:sz="4" w:space="0"/>
            </w:tcBorders>
            <w:shd w:val="clear" w:color="auto" w:fill="002060"/>
            <w:vAlign w:val="center"/>
          </w:tcPr>
          <w:p w:rsidR="005A63D1" w:rsidRDefault="00DB5899" w14:paraId="000002EB" w14:textId="77777777">
            <w:pPr>
              <w:pStyle w:val="Normal2"/>
              <w:jc w:val="center"/>
              <w:rPr>
                <w:b/>
                <w:color w:val="FFFFFF"/>
                <w:sz w:val="20"/>
                <w:szCs w:val="20"/>
              </w:rPr>
            </w:pPr>
            <w:r>
              <w:rPr>
                <w:b/>
                <w:color w:val="FFFFFF"/>
                <w:sz w:val="20"/>
                <w:szCs w:val="20"/>
              </w:rPr>
              <w:t>N/A</w:t>
            </w:r>
          </w:p>
        </w:tc>
      </w:tr>
      <w:tr w:rsidR="005A63D1" w14:paraId="07E8397D" w14:textId="77777777">
        <w:tc>
          <w:tcPr>
            <w:tcW w:w="9350" w:type="dxa"/>
            <w:gridSpan w:val="4"/>
            <w:shd w:val="clear" w:color="auto" w:fill="8EAADB"/>
            <w:vAlign w:val="center"/>
          </w:tcPr>
          <w:p w:rsidR="005A63D1" w:rsidRDefault="00DB5899" w14:paraId="000002EC" w14:textId="77777777">
            <w:pPr>
              <w:pStyle w:val="Normal2"/>
              <w:rPr>
                <w:sz w:val="20"/>
                <w:szCs w:val="20"/>
              </w:rPr>
            </w:pPr>
            <w:r>
              <w:rPr>
                <w:sz w:val="20"/>
                <w:szCs w:val="20"/>
              </w:rPr>
              <w:t>Do future climate scenarios foresee an incremental increase of potential hazards and climate change compared to the baseline that may affect the project over its lifetime?</w:t>
            </w:r>
          </w:p>
        </w:tc>
      </w:tr>
      <w:tr w:rsidR="005A63D1" w14:paraId="7C0FA1B8" w14:textId="77777777">
        <w:tc>
          <w:tcPr>
            <w:tcW w:w="7644" w:type="dxa"/>
            <w:shd w:val="clear" w:color="auto" w:fill="auto"/>
          </w:tcPr>
          <w:p w:rsidR="005A63D1" w:rsidRDefault="00DB5899" w14:paraId="000002F0" w14:textId="77777777">
            <w:pPr>
              <w:pStyle w:val="Normal2"/>
              <w:rPr>
                <w:sz w:val="20"/>
                <w:szCs w:val="20"/>
              </w:rPr>
            </w:pPr>
            <w:r>
              <w:rPr>
                <w:sz w:val="20"/>
                <w:szCs w:val="20"/>
              </w:rPr>
              <w:t>Extreme temperature</w:t>
            </w:r>
          </w:p>
        </w:tc>
        <w:tc>
          <w:tcPr>
            <w:tcW w:w="541" w:type="dxa"/>
            <w:shd w:val="clear" w:color="auto" w:fill="auto"/>
            <w:vAlign w:val="center"/>
          </w:tcPr>
          <w:p w:rsidR="005A63D1" w:rsidRDefault="00DB5899" w14:paraId="000002F1"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2F2" w14:textId="77777777">
            <w:pPr>
              <w:pStyle w:val="Normal2"/>
              <w:jc w:val="center"/>
              <w:rPr>
                <w:sz w:val="20"/>
                <w:szCs w:val="20"/>
              </w:rPr>
            </w:pPr>
            <w:r>
              <w:rPr>
                <w:rFonts w:ascii="MS Gothic" w:hAnsi="MS Gothic" w:eastAsia="MS Gothic" w:cs="MS Gothic"/>
                <w:b/>
                <w:sz w:val="20"/>
                <w:szCs w:val="20"/>
              </w:rPr>
              <w:t>☐</w:t>
            </w:r>
          </w:p>
        </w:tc>
        <w:tc>
          <w:tcPr>
            <w:tcW w:w="607" w:type="dxa"/>
            <w:shd w:val="clear" w:color="auto" w:fill="auto"/>
            <w:vAlign w:val="center"/>
          </w:tcPr>
          <w:p w:rsidR="005A63D1" w:rsidRDefault="00DB5899" w14:paraId="000002F3" w14:textId="77777777">
            <w:pPr>
              <w:pStyle w:val="Normal2"/>
              <w:jc w:val="center"/>
              <w:rPr>
                <w:sz w:val="20"/>
                <w:szCs w:val="20"/>
              </w:rPr>
            </w:pPr>
            <w:sdt>
              <w:sdtPr>
                <w:tag w:val="goog_rdk_20"/>
                <w:id w:val="671318668"/>
              </w:sdtPr>
              <w:sdtEndPr/>
              <w:sdtContent>
                <w:r>
                  <w:rPr>
                    <w:rFonts w:ascii="Arial Unicode MS" w:hAnsi="Arial Unicode MS" w:eastAsia="Arial Unicode MS" w:cs="Arial Unicode MS"/>
                    <w:b/>
                    <w:sz w:val="20"/>
                    <w:szCs w:val="20"/>
                  </w:rPr>
                  <w:t>☐</w:t>
                </w:r>
              </w:sdtContent>
            </w:sdt>
          </w:p>
        </w:tc>
      </w:tr>
      <w:tr w:rsidR="005A63D1" w14:paraId="08A00147" w14:textId="77777777">
        <w:tc>
          <w:tcPr>
            <w:tcW w:w="7644" w:type="dxa"/>
            <w:shd w:val="clear" w:color="auto" w:fill="auto"/>
          </w:tcPr>
          <w:p w:rsidR="005A63D1" w:rsidRDefault="00DB5899" w14:paraId="000002F4" w14:textId="77777777">
            <w:pPr>
              <w:pStyle w:val="Normal2"/>
              <w:rPr>
                <w:sz w:val="20"/>
                <w:szCs w:val="20"/>
              </w:rPr>
            </w:pPr>
            <w:r>
              <w:rPr>
                <w:sz w:val="20"/>
                <w:szCs w:val="20"/>
              </w:rPr>
              <w:t>Extreme precipitation and flooding</w:t>
            </w:r>
          </w:p>
        </w:tc>
        <w:tc>
          <w:tcPr>
            <w:tcW w:w="541" w:type="dxa"/>
            <w:shd w:val="clear" w:color="auto" w:fill="auto"/>
            <w:vAlign w:val="center"/>
          </w:tcPr>
          <w:p w:rsidR="005A63D1" w:rsidRDefault="00DB5899" w14:paraId="000002F5"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2F6" w14:textId="77777777">
            <w:pPr>
              <w:pStyle w:val="Normal2"/>
              <w:jc w:val="center"/>
              <w:rPr>
                <w:sz w:val="20"/>
                <w:szCs w:val="20"/>
              </w:rPr>
            </w:pPr>
            <w:r>
              <w:rPr>
                <w:rFonts w:ascii="MS Gothic" w:hAnsi="MS Gothic" w:eastAsia="MS Gothic" w:cs="MS Gothic"/>
                <w:b/>
                <w:sz w:val="20"/>
                <w:szCs w:val="20"/>
              </w:rPr>
              <w:t>☐</w:t>
            </w:r>
          </w:p>
        </w:tc>
        <w:tc>
          <w:tcPr>
            <w:tcW w:w="607" w:type="dxa"/>
            <w:shd w:val="clear" w:color="auto" w:fill="auto"/>
            <w:vAlign w:val="center"/>
          </w:tcPr>
          <w:p w:rsidR="005A63D1" w:rsidRDefault="00DB5899" w14:paraId="000002F7" w14:textId="77777777">
            <w:pPr>
              <w:pStyle w:val="Normal2"/>
              <w:jc w:val="center"/>
              <w:rPr>
                <w:sz w:val="20"/>
                <w:szCs w:val="20"/>
              </w:rPr>
            </w:pPr>
            <w:r>
              <w:rPr>
                <w:rFonts w:ascii="MS Gothic" w:hAnsi="MS Gothic" w:eastAsia="MS Gothic" w:cs="MS Gothic"/>
                <w:b/>
                <w:sz w:val="20"/>
                <w:szCs w:val="20"/>
              </w:rPr>
              <w:t>☐</w:t>
            </w:r>
          </w:p>
        </w:tc>
      </w:tr>
      <w:tr w:rsidR="005A63D1" w14:paraId="11EA4689" w14:textId="77777777">
        <w:tc>
          <w:tcPr>
            <w:tcW w:w="7644" w:type="dxa"/>
            <w:shd w:val="clear" w:color="auto" w:fill="auto"/>
          </w:tcPr>
          <w:p w:rsidR="005A63D1" w:rsidRDefault="00DB5899" w14:paraId="000002F8" w14:textId="77777777">
            <w:pPr>
              <w:pStyle w:val="Normal2"/>
              <w:rPr>
                <w:sz w:val="20"/>
                <w:szCs w:val="20"/>
              </w:rPr>
            </w:pPr>
            <w:r>
              <w:rPr>
                <w:sz w:val="20"/>
                <w:szCs w:val="20"/>
              </w:rPr>
              <w:t>Agricultural Droughts and/or dry spells</w:t>
            </w:r>
            <w:r>
              <w:rPr>
                <w:sz w:val="20"/>
                <w:szCs w:val="20"/>
                <w:vertAlign w:val="superscript"/>
              </w:rPr>
              <w:footnoteReference w:id="16"/>
            </w:r>
          </w:p>
        </w:tc>
        <w:tc>
          <w:tcPr>
            <w:tcW w:w="541" w:type="dxa"/>
            <w:shd w:val="clear" w:color="auto" w:fill="auto"/>
            <w:vAlign w:val="center"/>
          </w:tcPr>
          <w:p w:rsidR="005A63D1" w:rsidRDefault="00DB5899" w14:paraId="000002F9" w14:textId="77777777">
            <w:pPr>
              <w:pStyle w:val="Normal2"/>
              <w:jc w:val="center"/>
              <w:rPr>
                <w:sz w:val="20"/>
                <w:szCs w:val="20"/>
              </w:rPr>
            </w:pPr>
            <w:r>
              <w:rPr>
                <w:rFonts w:ascii="MS Gothic" w:hAnsi="MS Gothic" w:eastAsia="MS Gothic" w:cs="MS Gothic"/>
                <w:b/>
                <w:sz w:val="20"/>
                <w:szCs w:val="20"/>
              </w:rPr>
              <w:t>☐</w:t>
            </w:r>
          </w:p>
        </w:tc>
        <w:tc>
          <w:tcPr>
            <w:tcW w:w="558" w:type="dxa"/>
            <w:shd w:val="clear" w:color="auto" w:fill="auto"/>
            <w:vAlign w:val="center"/>
          </w:tcPr>
          <w:p w:rsidR="005A63D1" w:rsidRDefault="00DB5899" w14:paraId="000002FA" w14:textId="77777777">
            <w:pPr>
              <w:pStyle w:val="Normal2"/>
              <w:spacing w:after="0" w:line="276" w:lineRule="auto"/>
              <w:ind w:left="-30" w:firstLine="0"/>
              <w:jc w:val="center"/>
              <w:rPr>
                <w:sz w:val="20"/>
                <w:szCs w:val="20"/>
              </w:rPr>
            </w:pPr>
            <w:r>
              <w:t>☒</w:t>
            </w:r>
          </w:p>
        </w:tc>
        <w:tc>
          <w:tcPr>
            <w:tcW w:w="607" w:type="dxa"/>
            <w:shd w:val="clear" w:color="auto" w:fill="auto"/>
            <w:vAlign w:val="center"/>
          </w:tcPr>
          <w:p w:rsidR="005A63D1" w:rsidRDefault="00DB5899" w14:paraId="000002FB" w14:textId="77777777">
            <w:pPr>
              <w:pStyle w:val="Normal2"/>
              <w:jc w:val="center"/>
              <w:rPr>
                <w:sz w:val="20"/>
                <w:szCs w:val="20"/>
              </w:rPr>
            </w:pPr>
            <w:r>
              <w:rPr>
                <w:rFonts w:ascii="MS Gothic" w:hAnsi="MS Gothic" w:eastAsia="MS Gothic" w:cs="MS Gothic"/>
                <w:b/>
                <w:sz w:val="20"/>
                <w:szCs w:val="20"/>
              </w:rPr>
              <w:t>☐</w:t>
            </w:r>
          </w:p>
        </w:tc>
      </w:tr>
      <w:tr w:rsidR="005A63D1" w14:paraId="5FD51912" w14:textId="77777777">
        <w:tc>
          <w:tcPr>
            <w:tcW w:w="7644" w:type="dxa"/>
            <w:shd w:val="clear" w:color="auto" w:fill="auto"/>
          </w:tcPr>
          <w:p w:rsidR="005A63D1" w:rsidRDefault="00DB5899" w14:paraId="000002FC" w14:textId="77777777">
            <w:pPr>
              <w:pStyle w:val="Normal2"/>
              <w:rPr>
                <w:sz w:val="20"/>
                <w:szCs w:val="20"/>
              </w:rPr>
            </w:pPr>
            <w:r>
              <w:rPr>
                <w:sz w:val="20"/>
                <w:szCs w:val="20"/>
              </w:rPr>
              <w:t>Change in temperature</w:t>
            </w:r>
          </w:p>
        </w:tc>
        <w:tc>
          <w:tcPr>
            <w:tcW w:w="541" w:type="dxa"/>
            <w:shd w:val="clear" w:color="auto" w:fill="auto"/>
            <w:vAlign w:val="center"/>
          </w:tcPr>
          <w:p w:rsidR="005A63D1" w:rsidRDefault="00DB5899" w14:paraId="000002FD"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2FE" w14:textId="77777777">
            <w:pPr>
              <w:pStyle w:val="Normal2"/>
              <w:jc w:val="center"/>
              <w:rPr>
                <w:sz w:val="20"/>
                <w:szCs w:val="20"/>
              </w:rPr>
            </w:pPr>
            <w:sdt>
              <w:sdtPr>
                <w:tag w:val="goog_rdk_21"/>
                <w:id w:val="747713076"/>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2FF" w14:textId="77777777">
            <w:pPr>
              <w:pStyle w:val="Normal2"/>
              <w:jc w:val="center"/>
              <w:rPr>
                <w:sz w:val="20"/>
                <w:szCs w:val="20"/>
              </w:rPr>
            </w:pPr>
            <w:sdt>
              <w:sdtPr>
                <w:tag w:val="goog_rdk_22"/>
                <w:id w:val="1806016621"/>
              </w:sdtPr>
              <w:sdtEndPr/>
              <w:sdtContent>
                <w:r>
                  <w:rPr>
                    <w:rFonts w:ascii="Arial Unicode MS" w:hAnsi="Arial Unicode MS" w:eastAsia="Arial Unicode MS" w:cs="Arial Unicode MS"/>
                    <w:b/>
                    <w:sz w:val="20"/>
                    <w:szCs w:val="20"/>
                  </w:rPr>
                  <w:t>☐</w:t>
                </w:r>
              </w:sdtContent>
            </w:sdt>
          </w:p>
        </w:tc>
      </w:tr>
      <w:tr w:rsidR="005A63D1" w14:paraId="701D3C3B" w14:textId="77777777">
        <w:tc>
          <w:tcPr>
            <w:tcW w:w="7644" w:type="dxa"/>
            <w:shd w:val="clear" w:color="auto" w:fill="auto"/>
          </w:tcPr>
          <w:p w:rsidR="005A63D1" w:rsidRDefault="00DB5899" w14:paraId="00000300" w14:textId="77777777">
            <w:pPr>
              <w:pStyle w:val="Normal2"/>
              <w:rPr>
                <w:sz w:val="20"/>
                <w:szCs w:val="20"/>
              </w:rPr>
            </w:pPr>
            <w:r>
              <w:rPr>
                <w:sz w:val="20"/>
                <w:szCs w:val="20"/>
              </w:rPr>
              <w:t>Change in rainfall</w:t>
            </w:r>
          </w:p>
        </w:tc>
        <w:tc>
          <w:tcPr>
            <w:tcW w:w="541" w:type="dxa"/>
            <w:shd w:val="clear" w:color="auto" w:fill="auto"/>
            <w:vAlign w:val="center"/>
          </w:tcPr>
          <w:p w:rsidR="005A63D1" w:rsidRDefault="00DB5899" w14:paraId="00000301"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302" w14:textId="77777777">
            <w:pPr>
              <w:pStyle w:val="Normal2"/>
              <w:jc w:val="center"/>
              <w:rPr>
                <w:sz w:val="20"/>
                <w:szCs w:val="20"/>
              </w:rPr>
            </w:pPr>
            <w:sdt>
              <w:sdtPr>
                <w:tag w:val="goog_rdk_23"/>
                <w:id w:val="1543624576"/>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303" w14:textId="77777777">
            <w:pPr>
              <w:pStyle w:val="Normal2"/>
              <w:jc w:val="center"/>
              <w:rPr>
                <w:sz w:val="20"/>
                <w:szCs w:val="20"/>
              </w:rPr>
            </w:pPr>
            <w:r>
              <w:rPr>
                <w:rFonts w:ascii="MS Gothic" w:hAnsi="MS Gothic" w:eastAsia="MS Gothic" w:cs="MS Gothic"/>
                <w:b/>
                <w:sz w:val="20"/>
                <w:szCs w:val="20"/>
              </w:rPr>
              <w:t>☐</w:t>
            </w:r>
          </w:p>
        </w:tc>
      </w:tr>
      <w:tr w:rsidR="005A63D1" w14:paraId="5FAFB295" w14:textId="77777777">
        <w:trPr>
          <w:trHeight w:val="350"/>
        </w:trPr>
        <w:tc>
          <w:tcPr>
            <w:tcW w:w="7644" w:type="dxa"/>
            <w:shd w:val="clear" w:color="auto" w:fill="385623"/>
            <w:vAlign w:val="center"/>
          </w:tcPr>
          <w:p w:rsidR="005A63D1" w:rsidRDefault="00DB5899" w14:paraId="00000304" w14:textId="77777777">
            <w:pPr>
              <w:pStyle w:val="Normal2"/>
              <w:rPr>
                <w:color w:val="FFFFFF"/>
                <w:sz w:val="20"/>
                <w:szCs w:val="20"/>
              </w:rPr>
            </w:pPr>
            <w:r>
              <w:rPr>
                <w:color w:val="FFFFFF"/>
                <w:sz w:val="20"/>
                <w:szCs w:val="20"/>
              </w:rPr>
              <w:t>Exposure Guiding Questions</w:t>
            </w:r>
          </w:p>
        </w:tc>
        <w:tc>
          <w:tcPr>
            <w:tcW w:w="541" w:type="dxa"/>
            <w:shd w:val="clear" w:color="auto" w:fill="385623"/>
            <w:vAlign w:val="center"/>
          </w:tcPr>
          <w:p w:rsidR="005A63D1" w:rsidRDefault="00DB5899" w14:paraId="00000305" w14:textId="77777777">
            <w:pPr>
              <w:pStyle w:val="Normal2"/>
              <w:jc w:val="center"/>
              <w:rPr>
                <w:b/>
                <w:color w:val="FFFFFF"/>
                <w:sz w:val="20"/>
                <w:szCs w:val="20"/>
              </w:rPr>
            </w:pPr>
            <w:r>
              <w:rPr>
                <w:b/>
                <w:color w:val="FFFFFF"/>
                <w:sz w:val="20"/>
                <w:szCs w:val="20"/>
              </w:rPr>
              <w:t>Yes</w:t>
            </w:r>
          </w:p>
        </w:tc>
        <w:tc>
          <w:tcPr>
            <w:tcW w:w="558" w:type="dxa"/>
            <w:shd w:val="clear" w:color="auto" w:fill="385623"/>
            <w:vAlign w:val="center"/>
          </w:tcPr>
          <w:p w:rsidR="005A63D1" w:rsidRDefault="00DB5899" w14:paraId="00000306" w14:textId="77777777">
            <w:pPr>
              <w:pStyle w:val="Normal2"/>
              <w:jc w:val="center"/>
              <w:rPr>
                <w:b/>
                <w:color w:val="FFFFFF"/>
                <w:sz w:val="20"/>
                <w:szCs w:val="20"/>
              </w:rPr>
            </w:pPr>
            <w:r>
              <w:rPr>
                <w:b/>
                <w:color w:val="FFFFFF"/>
                <w:sz w:val="20"/>
                <w:szCs w:val="20"/>
              </w:rPr>
              <w:t>No</w:t>
            </w:r>
          </w:p>
        </w:tc>
        <w:tc>
          <w:tcPr>
            <w:tcW w:w="607" w:type="dxa"/>
            <w:shd w:val="clear" w:color="auto" w:fill="385623"/>
            <w:vAlign w:val="center"/>
          </w:tcPr>
          <w:p w:rsidR="005A63D1" w:rsidRDefault="00DB5899" w14:paraId="00000307" w14:textId="77777777">
            <w:pPr>
              <w:pStyle w:val="Normal2"/>
              <w:jc w:val="center"/>
              <w:rPr>
                <w:sz w:val="20"/>
                <w:szCs w:val="20"/>
              </w:rPr>
            </w:pPr>
            <w:r>
              <w:rPr>
                <w:b/>
                <w:color w:val="FFFFFF"/>
                <w:sz w:val="20"/>
                <w:szCs w:val="20"/>
              </w:rPr>
              <w:t>N/A</w:t>
            </w:r>
          </w:p>
        </w:tc>
      </w:tr>
      <w:tr w:rsidR="005A63D1" w14:paraId="1050CC82" w14:textId="77777777">
        <w:tc>
          <w:tcPr>
            <w:tcW w:w="9350" w:type="dxa"/>
            <w:gridSpan w:val="4"/>
            <w:shd w:val="clear" w:color="auto" w:fill="C5E0B3"/>
            <w:vAlign w:val="center"/>
          </w:tcPr>
          <w:p w:rsidR="005A63D1" w:rsidRDefault="00DB5899" w14:paraId="00000308" w14:textId="77777777">
            <w:pPr>
              <w:pStyle w:val="Normal2"/>
              <w:rPr>
                <w:sz w:val="20"/>
                <w:szCs w:val="20"/>
              </w:rPr>
            </w:pPr>
            <w:r>
              <w:rPr>
                <w:sz w:val="20"/>
                <w:szCs w:val="20"/>
              </w:rPr>
              <w:t>Is the project located in high exposure areas?</w:t>
            </w:r>
          </w:p>
        </w:tc>
      </w:tr>
      <w:tr w:rsidR="005A63D1" w14:paraId="4FD27489" w14:textId="77777777">
        <w:tc>
          <w:tcPr>
            <w:tcW w:w="7644" w:type="dxa"/>
            <w:shd w:val="clear" w:color="auto" w:fill="auto"/>
            <w:vAlign w:val="center"/>
          </w:tcPr>
          <w:p w:rsidR="005A63D1" w:rsidRDefault="00DB5899" w14:paraId="0000030C" w14:textId="77777777">
            <w:pPr>
              <w:pStyle w:val="Normal2"/>
              <w:rPr>
                <w:sz w:val="20"/>
                <w:szCs w:val="20"/>
              </w:rPr>
            </w:pPr>
            <w:r>
              <w:rPr>
                <w:sz w:val="20"/>
                <w:szCs w:val="20"/>
              </w:rPr>
              <w:t>Low-lying areas (valleys or coastal zones)</w:t>
            </w:r>
          </w:p>
        </w:tc>
        <w:tc>
          <w:tcPr>
            <w:tcW w:w="541" w:type="dxa"/>
            <w:shd w:val="clear" w:color="auto" w:fill="auto"/>
            <w:vAlign w:val="center"/>
          </w:tcPr>
          <w:p w:rsidR="005A63D1" w:rsidRDefault="00DB5899" w14:paraId="0000030D"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30E" w14:textId="77777777">
            <w:pPr>
              <w:pStyle w:val="Normal2"/>
              <w:jc w:val="center"/>
              <w:rPr>
                <w:sz w:val="20"/>
                <w:szCs w:val="20"/>
              </w:rPr>
            </w:pPr>
            <w:sdt>
              <w:sdtPr>
                <w:tag w:val="goog_rdk_24"/>
                <w:id w:val="1584798325"/>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30F" w14:textId="77777777">
            <w:pPr>
              <w:pStyle w:val="Normal2"/>
              <w:jc w:val="center"/>
              <w:rPr>
                <w:sz w:val="20"/>
                <w:szCs w:val="20"/>
              </w:rPr>
            </w:pPr>
            <w:sdt>
              <w:sdtPr>
                <w:tag w:val="goog_rdk_25"/>
                <w:id w:val="866907611"/>
              </w:sdtPr>
              <w:sdtEndPr/>
              <w:sdtContent>
                <w:r>
                  <w:rPr>
                    <w:rFonts w:ascii="Arial Unicode MS" w:hAnsi="Arial Unicode MS" w:eastAsia="Arial Unicode MS" w:cs="Arial Unicode MS"/>
                    <w:b/>
                    <w:sz w:val="20"/>
                    <w:szCs w:val="20"/>
                  </w:rPr>
                  <w:t>☐</w:t>
                </w:r>
              </w:sdtContent>
            </w:sdt>
          </w:p>
        </w:tc>
      </w:tr>
      <w:tr w:rsidR="005A63D1" w14:paraId="6E26158B" w14:textId="77777777">
        <w:tc>
          <w:tcPr>
            <w:tcW w:w="7644" w:type="dxa"/>
            <w:shd w:val="clear" w:color="auto" w:fill="auto"/>
            <w:vAlign w:val="center"/>
          </w:tcPr>
          <w:p w:rsidR="005A63D1" w:rsidRDefault="00DB5899" w14:paraId="00000310" w14:textId="77777777">
            <w:pPr>
              <w:pStyle w:val="Normal2"/>
              <w:rPr>
                <w:sz w:val="20"/>
                <w:szCs w:val="20"/>
              </w:rPr>
            </w:pPr>
            <w:r>
              <w:rPr>
                <w:sz w:val="20"/>
                <w:szCs w:val="20"/>
              </w:rPr>
              <w:t>Arid and semi-arid zones</w:t>
            </w:r>
          </w:p>
        </w:tc>
        <w:tc>
          <w:tcPr>
            <w:tcW w:w="541" w:type="dxa"/>
            <w:shd w:val="clear" w:color="auto" w:fill="auto"/>
            <w:vAlign w:val="center"/>
          </w:tcPr>
          <w:p w:rsidR="005A63D1" w:rsidRDefault="00DB5899" w14:paraId="00000311" w14:textId="77777777">
            <w:pPr>
              <w:pStyle w:val="Normal2"/>
              <w:jc w:val="center"/>
              <w:rPr>
                <w:sz w:val="20"/>
                <w:szCs w:val="20"/>
              </w:rPr>
            </w:pPr>
            <w:sdt>
              <w:sdtPr>
                <w:tag w:val="goog_rdk_26"/>
                <w:id w:val="1394036430"/>
              </w:sdtPr>
              <w:sdtEndPr/>
              <w:sdtContent>
                <w:r>
                  <w:rPr>
                    <w:rFonts w:ascii="Arial Unicode MS" w:hAnsi="Arial Unicode MS" w:eastAsia="Arial Unicode MS" w:cs="Arial Unicode MS"/>
                    <w:b/>
                    <w:sz w:val="20"/>
                    <w:szCs w:val="20"/>
                  </w:rPr>
                  <w:t>☐</w:t>
                </w:r>
              </w:sdtContent>
            </w:sdt>
          </w:p>
        </w:tc>
        <w:tc>
          <w:tcPr>
            <w:tcW w:w="558" w:type="dxa"/>
            <w:shd w:val="clear" w:color="auto" w:fill="auto"/>
            <w:vAlign w:val="center"/>
          </w:tcPr>
          <w:p w:rsidR="005A63D1" w:rsidRDefault="00DB5899" w14:paraId="00000312" w14:textId="77777777">
            <w:pPr>
              <w:pStyle w:val="Normal2"/>
              <w:spacing w:after="0" w:line="276" w:lineRule="auto"/>
              <w:ind w:left="-30" w:firstLine="0"/>
              <w:jc w:val="center"/>
              <w:rPr>
                <w:sz w:val="20"/>
                <w:szCs w:val="20"/>
              </w:rPr>
            </w:pPr>
            <w:r>
              <w:t>☒</w:t>
            </w:r>
          </w:p>
        </w:tc>
        <w:tc>
          <w:tcPr>
            <w:tcW w:w="607" w:type="dxa"/>
            <w:shd w:val="clear" w:color="auto" w:fill="auto"/>
            <w:vAlign w:val="center"/>
          </w:tcPr>
          <w:p w:rsidR="005A63D1" w:rsidRDefault="00DB5899" w14:paraId="00000313" w14:textId="77777777">
            <w:pPr>
              <w:pStyle w:val="Normal2"/>
              <w:jc w:val="center"/>
              <w:rPr>
                <w:sz w:val="20"/>
                <w:szCs w:val="20"/>
              </w:rPr>
            </w:pPr>
            <w:sdt>
              <w:sdtPr>
                <w:tag w:val="goog_rdk_27"/>
                <w:id w:val="1901902743"/>
              </w:sdtPr>
              <w:sdtEndPr/>
              <w:sdtContent>
                <w:r>
                  <w:rPr>
                    <w:rFonts w:ascii="Arial Unicode MS" w:hAnsi="Arial Unicode MS" w:eastAsia="Arial Unicode MS" w:cs="Arial Unicode MS"/>
                    <w:b/>
                    <w:sz w:val="20"/>
                    <w:szCs w:val="20"/>
                  </w:rPr>
                  <w:t>☐</w:t>
                </w:r>
              </w:sdtContent>
            </w:sdt>
          </w:p>
        </w:tc>
      </w:tr>
      <w:tr w:rsidR="005A63D1" w14:paraId="4EBCB016" w14:textId="77777777">
        <w:tc>
          <w:tcPr>
            <w:tcW w:w="7644" w:type="dxa"/>
            <w:shd w:val="clear" w:color="auto" w:fill="auto"/>
            <w:vAlign w:val="center"/>
          </w:tcPr>
          <w:p w:rsidR="005A63D1" w:rsidRDefault="00DB5899" w14:paraId="00000314" w14:textId="77777777">
            <w:pPr>
              <w:pStyle w:val="Normal2"/>
              <w:rPr>
                <w:sz w:val="20"/>
                <w:szCs w:val="20"/>
              </w:rPr>
            </w:pPr>
            <w:r>
              <w:rPr>
                <w:sz w:val="20"/>
                <w:szCs w:val="20"/>
              </w:rPr>
              <w:t>Mountains zones and permafrost areas</w:t>
            </w:r>
          </w:p>
        </w:tc>
        <w:tc>
          <w:tcPr>
            <w:tcW w:w="541" w:type="dxa"/>
            <w:shd w:val="clear" w:color="auto" w:fill="auto"/>
            <w:vAlign w:val="center"/>
          </w:tcPr>
          <w:p w:rsidR="005A63D1" w:rsidRDefault="00DB5899" w14:paraId="00000315" w14:textId="77777777">
            <w:pPr>
              <w:pStyle w:val="Normal2"/>
              <w:jc w:val="center"/>
              <w:rPr>
                <w:sz w:val="20"/>
                <w:szCs w:val="20"/>
              </w:rPr>
            </w:pPr>
            <w:sdt>
              <w:sdtPr>
                <w:tag w:val="goog_rdk_28"/>
                <w:id w:val="1107517372"/>
              </w:sdtPr>
              <w:sdtEndPr/>
              <w:sdtContent>
                <w:r>
                  <w:rPr>
                    <w:rFonts w:ascii="Arial Unicode MS" w:hAnsi="Arial Unicode MS" w:eastAsia="Arial Unicode MS" w:cs="Arial Unicode MS"/>
                    <w:b/>
                    <w:sz w:val="20"/>
                    <w:szCs w:val="20"/>
                  </w:rPr>
                  <w:t>☐</w:t>
                </w:r>
              </w:sdtContent>
            </w:sdt>
          </w:p>
        </w:tc>
        <w:tc>
          <w:tcPr>
            <w:tcW w:w="558" w:type="dxa"/>
            <w:shd w:val="clear" w:color="auto" w:fill="auto"/>
            <w:vAlign w:val="center"/>
          </w:tcPr>
          <w:p w:rsidR="005A63D1" w:rsidRDefault="00DB5899" w14:paraId="00000316" w14:textId="77777777">
            <w:pPr>
              <w:pStyle w:val="Normal2"/>
              <w:spacing w:after="0" w:line="276" w:lineRule="auto"/>
              <w:ind w:left="-30" w:firstLine="0"/>
              <w:jc w:val="center"/>
              <w:rPr>
                <w:sz w:val="20"/>
                <w:szCs w:val="20"/>
              </w:rPr>
            </w:pPr>
            <w:r>
              <w:t>☒</w:t>
            </w:r>
          </w:p>
        </w:tc>
        <w:tc>
          <w:tcPr>
            <w:tcW w:w="607" w:type="dxa"/>
            <w:shd w:val="clear" w:color="auto" w:fill="auto"/>
            <w:vAlign w:val="center"/>
          </w:tcPr>
          <w:p w:rsidR="005A63D1" w:rsidRDefault="00DB5899" w14:paraId="00000317" w14:textId="77777777">
            <w:pPr>
              <w:pStyle w:val="Normal2"/>
              <w:jc w:val="center"/>
              <w:rPr>
                <w:sz w:val="20"/>
                <w:szCs w:val="20"/>
              </w:rPr>
            </w:pPr>
            <w:sdt>
              <w:sdtPr>
                <w:tag w:val="goog_rdk_29"/>
                <w:id w:val="342683351"/>
              </w:sdtPr>
              <w:sdtEndPr/>
              <w:sdtContent>
                <w:r>
                  <w:rPr>
                    <w:rFonts w:ascii="Arial Unicode MS" w:hAnsi="Arial Unicode MS" w:eastAsia="Arial Unicode MS" w:cs="Arial Unicode MS"/>
                    <w:b/>
                    <w:sz w:val="20"/>
                    <w:szCs w:val="20"/>
                  </w:rPr>
                  <w:t>☐</w:t>
                </w:r>
              </w:sdtContent>
            </w:sdt>
          </w:p>
        </w:tc>
      </w:tr>
      <w:tr w:rsidR="005A63D1" w14:paraId="2A7D34D9" w14:textId="77777777">
        <w:tc>
          <w:tcPr>
            <w:tcW w:w="9350" w:type="dxa"/>
            <w:gridSpan w:val="4"/>
            <w:shd w:val="clear" w:color="auto" w:fill="C5E0B3"/>
            <w:vAlign w:val="center"/>
          </w:tcPr>
          <w:p w:rsidR="005A63D1" w:rsidRDefault="00DB5899" w14:paraId="00000318" w14:textId="77777777">
            <w:pPr>
              <w:pStyle w:val="Normal2"/>
              <w:rPr>
                <w:sz w:val="20"/>
                <w:szCs w:val="20"/>
              </w:rPr>
            </w:pPr>
            <w:r>
              <w:rPr>
                <w:sz w:val="20"/>
                <w:szCs w:val="20"/>
              </w:rPr>
              <w:t>Are the agricultural systems (crops, livestock, fisheries, forests) targeted by the project affected by climate related hazards?</w:t>
            </w:r>
          </w:p>
        </w:tc>
      </w:tr>
      <w:tr w:rsidR="005A63D1" w14:paraId="3F840545" w14:textId="77777777">
        <w:tc>
          <w:tcPr>
            <w:tcW w:w="7644" w:type="dxa"/>
            <w:shd w:val="clear" w:color="auto" w:fill="auto"/>
            <w:vAlign w:val="center"/>
          </w:tcPr>
          <w:p w:rsidR="005A63D1" w:rsidRDefault="00DB5899" w14:paraId="0000031C" w14:textId="77777777">
            <w:pPr>
              <w:pStyle w:val="Normal2"/>
              <w:rPr>
                <w:sz w:val="20"/>
                <w:szCs w:val="20"/>
              </w:rPr>
            </w:pPr>
            <w:r>
              <w:rPr>
                <w:sz w:val="20"/>
                <w:szCs w:val="20"/>
              </w:rPr>
              <w:t>Is crop productivity affected by rainfall variability, changes in temperature or pests and diseases?</w:t>
            </w:r>
            <w:r>
              <w:rPr>
                <w:sz w:val="20"/>
                <w:szCs w:val="20"/>
                <w:vertAlign w:val="superscript"/>
              </w:rPr>
              <w:footnoteReference w:id="17"/>
            </w:r>
          </w:p>
        </w:tc>
        <w:tc>
          <w:tcPr>
            <w:tcW w:w="541" w:type="dxa"/>
            <w:shd w:val="clear" w:color="auto" w:fill="auto"/>
            <w:vAlign w:val="center"/>
          </w:tcPr>
          <w:p w:rsidR="005A63D1" w:rsidRDefault="00DB5899" w14:paraId="0000031D" w14:textId="77777777">
            <w:pPr>
              <w:pStyle w:val="Normal2"/>
              <w:jc w:val="center"/>
              <w:rPr>
                <w:sz w:val="20"/>
                <w:szCs w:val="20"/>
              </w:rPr>
            </w:pPr>
            <w:r>
              <w:rPr>
                <w:rFonts w:ascii="MS Gothic" w:hAnsi="MS Gothic" w:eastAsia="MS Gothic" w:cs="MS Gothic"/>
                <w:b/>
                <w:sz w:val="20"/>
                <w:szCs w:val="20"/>
              </w:rPr>
              <w:t>☐</w:t>
            </w:r>
          </w:p>
        </w:tc>
        <w:tc>
          <w:tcPr>
            <w:tcW w:w="558" w:type="dxa"/>
            <w:shd w:val="clear" w:color="auto" w:fill="auto"/>
            <w:vAlign w:val="center"/>
          </w:tcPr>
          <w:p w:rsidR="005A63D1" w:rsidRDefault="00DB5899" w14:paraId="0000031E" w14:textId="77777777">
            <w:pPr>
              <w:pStyle w:val="Normal2"/>
              <w:spacing w:after="0" w:line="276" w:lineRule="auto"/>
              <w:ind w:left="-30" w:firstLine="0"/>
              <w:jc w:val="center"/>
              <w:rPr>
                <w:sz w:val="20"/>
                <w:szCs w:val="20"/>
              </w:rPr>
            </w:pPr>
            <w:r>
              <w:t>☒</w:t>
            </w:r>
          </w:p>
        </w:tc>
        <w:tc>
          <w:tcPr>
            <w:tcW w:w="607" w:type="dxa"/>
            <w:shd w:val="clear" w:color="auto" w:fill="auto"/>
            <w:vAlign w:val="center"/>
          </w:tcPr>
          <w:p w:rsidR="005A63D1" w:rsidRDefault="00DB5899" w14:paraId="0000031F" w14:textId="77777777">
            <w:pPr>
              <w:pStyle w:val="Normal2"/>
              <w:jc w:val="center"/>
              <w:rPr>
                <w:sz w:val="20"/>
                <w:szCs w:val="20"/>
              </w:rPr>
            </w:pPr>
            <w:r>
              <w:rPr>
                <w:rFonts w:ascii="MS Gothic" w:hAnsi="MS Gothic" w:eastAsia="MS Gothic" w:cs="MS Gothic"/>
                <w:b/>
                <w:sz w:val="20"/>
                <w:szCs w:val="20"/>
              </w:rPr>
              <w:t>☐</w:t>
            </w:r>
          </w:p>
        </w:tc>
      </w:tr>
      <w:tr w:rsidR="005A63D1" w14:paraId="77F17ACB" w14:textId="77777777">
        <w:tc>
          <w:tcPr>
            <w:tcW w:w="7644" w:type="dxa"/>
            <w:shd w:val="clear" w:color="auto" w:fill="auto"/>
            <w:vAlign w:val="center"/>
          </w:tcPr>
          <w:p w:rsidR="005A63D1" w:rsidRDefault="00DB5899" w14:paraId="00000320" w14:textId="77777777">
            <w:pPr>
              <w:pStyle w:val="Normal2"/>
              <w:rPr>
                <w:sz w:val="20"/>
                <w:szCs w:val="20"/>
              </w:rPr>
            </w:pPr>
            <w:r>
              <w:rPr>
                <w:sz w:val="20"/>
                <w:szCs w:val="20"/>
              </w:rPr>
              <w:t>Is livestock productivity affected by rainfall variability, changes in temperature or parasites and diseases?</w:t>
            </w:r>
            <w:r>
              <w:rPr>
                <w:sz w:val="20"/>
                <w:szCs w:val="20"/>
                <w:vertAlign w:val="superscript"/>
              </w:rPr>
              <w:footnoteReference w:id="18"/>
            </w:r>
          </w:p>
        </w:tc>
        <w:tc>
          <w:tcPr>
            <w:tcW w:w="541" w:type="dxa"/>
            <w:shd w:val="clear" w:color="auto" w:fill="auto"/>
            <w:vAlign w:val="center"/>
          </w:tcPr>
          <w:p w:rsidR="005A63D1" w:rsidRDefault="00DB5899" w14:paraId="00000321" w14:textId="77777777">
            <w:pPr>
              <w:pStyle w:val="Normal2"/>
              <w:jc w:val="center"/>
              <w:rPr>
                <w:sz w:val="20"/>
                <w:szCs w:val="20"/>
              </w:rPr>
            </w:pPr>
            <w:r>
              <w:rPr>
                <w:rFonts w:ascii="MS Gothic" w:hAnsi="MS Gothic" w:eastAsia="MS Gothic" w:cs="MS Gothic"/>
                <w:b/>
                <w:sz w:val="20"/>
                <w:szCs w:val="20"/>
              </w:rPr>
              <w:t>☐</w:t>
            </w:r>
          </w:p>
        </w:tc>
        <w:tc>
          <w:tcPr>
            <w:tcW w:w="558" w:type="dxa"/>
            <w:shd w:val="clear" w:color="auto" w:fill="auto"/>
            <w:vAlign w:val="center"/>
          </w:tcPr>
          <w:p w:rsidR="005A63D1" w:rsidRDefault="00DB5899" w14:paraId="00000322" w14:textId="77777777">
            <w:pPr>
              <w:pStyle w:val="Normal2"/>
              <w:spacing w:after="0" w:line="276" w:lineRule="auto"/>
              <w:ind w:left="-30" w:firstLine="0"/>
              <w:jc w:val="center"/>
              <w:rPr>
                <w:sz w:val="20"/>
                <w:szCs w:val="20"/>
              </w:rPr>
            </w:pPr>
            <w:r>
              <w:t>☒</w:t>
            </w:r>
          </w:p>
        </w:tc>
        <w:tc>
          <w:tcPr>
            <w:tcW w:w="607" w:type="dxa"/>
            <w:shd w:val="clear" w:color="auto" w:fill="auto"/>
            <w:vAlign w:val="center"/>
          </w:tcPr>
          <w:p w:rsidR="005A63D1" w:rsidRDefault="00DB5899" w14:paraId="00000323" w14:textId="77777777">
            <w:pPr>
              <w:pStyle w:val="Normal2"/>
              <w:jc w:val="center"/>
              <w:rPr>
                <w:sz w:val="20"/>
                <w:szCs w:val="20"/>
              </w:rPr>
            </w:pPr>
            <w:r>
              <w:rPr>
                <w:rFonts w:ascii="MS Gothic" w:hAnsi="MS Gothic" w:eastAsia="MS Gothic" w:cs="MS Gothic"/>
                <w:b/>
                <w:sz w:val="20"/>
                <w:szCs w:val="20"/>
              </w:rPr>
              <w:t>☐</w:t>
            </w:r>
          </w:p>
        </w:tc>
      </w:tr>
      <w:tr w:rsidR="005A63D1" w14:paraId="48E420C8" w14:textId="77777777">
        <w:tc>
          <w:tcPr>
            <w:tcW w:w="7644" w:type="dxa"/>
            <w:shd w:val="clear" w:color="auto" w:fill="auto"/>
            <w:vAlign w:val="center"/>
          </w:tcPr>
          <w:p w:rsidR="005A63D1" w:rsidRDefault="00DB5899" w14:paraId="00000324" w14:textId="77777777">
            <w:pPr>
              <w:pStyle w:val="Normal2"/>
              <w:rPr>
                <w:sz w:val="20"/>
                <w:szCs w:val="20"/>
              </w:rPr>
            </w:pPr>
            <w:r>
              <w:rPr>
                <w:sz w:val="20"/>
                <w:szCs w:val="20"/>
              </w:rPr>
              <w:t>Is fisheries productivity affected by ocean acidification, changes in sea temperature or variation of water salinity?</w:t>
            </w:r>
          </w:p>
        </w:tc>
        <w:tc>
          <w:tcPr>
            <w:tcW w:w="541" w:type="dxa"/>
            <w:shd w:val="clear" w:color="auto" w:fill="auto"/>
            <w:vAlign w:val="center"/>
          </w:tcPr>
          <w:p w:rsidR="005A63D1" w:rsidRDefault="00DB5899" w14:paraId="00000325" w14:textId="77777777">
            <w:pPr>
              <w:pStyle w:val="Normal2"/>
              <w:spacing w:after="0" w:line="276" w:lineRule="auto"/>
              <w:ind w:left="-30" w:firstLine="0"/>
              <w:jc w:val="center"/>
              <w:rPr>
                <w:sz w:val="20"/>
                <w:szCs w:val="20"/>
                <w:highlight w:val="green"/>
              </w:rPr>
            </w:pPr>
            <w:r>
              <w:t>☒</w:t>
            </w:r>
          </w:p>
        </w:tc>
        <w:tc>
          <w:tcPr>
            <w:tcW w:w="558" w:type="dxa"/>
            <w:shd w:val="clear" w:color="auto" w:fill="auto"/>
            <w:vAlign w:val="center"/>
          </w:tcPr>
          <w:p w:rsidR="005A63D1" w:rsidRDefault="00DB5899" w14:paraId="00000326" w14:textId="77777777">
            <w:pPr>
              <w:pStyle w:val="Normal2"/>
              <w:jc w:val="center"/>
              <w:rPr>
                <w:sz w:val="20"/>
                <w:szCs w:val="20"/>
              </w:rPr>
            </w:pPr>
            <w:r>
              <w:rPr>
                <w:rFonts w:ascii="MS Gothic" w:hAnsi="MS Gothic" w:eastAsia="MS Gothic" w:cs="MS Gothic"/>
                <w:b/>
                <w:sz w:val="20"/>
                <w:szCs w:val="20"/>
              </w:rPr>
              <w:t>☐</w:t>
            </w:r>
          </w:p>
        </w:tc>
        <w:tc>
          <w:tcPr>
            <w:tcW w:w="607" w:type="dxa"/>
            <w:shd w:val="clear" w:color="auto" w:fill="auto"/>
            <w:vAlign w:val="center"/>
          </w:tcPr>
          <w:p w:rsidR="005A63D1" w:rsidRDefault="00DB5899" w14:paraId="00000327" w14:textId="77777777">
            <w:pPr>
              <w:pStyle w:val="Normal2"/>
              <w:jc w:val="center"/>
              <w:rPr>
                <w:sz w:val="20"/>
                <w:szCs w:val="20"/>
              </w:rPr>
            </w:pPr>
            <w:r>
              <w:rPr>
                <w:rFonts w:ascii="MS Gothic" w:hAnsi="MS Gothic" w:eastAsia="MS Gothic" w:cs="MS Gothic"/>
                <w:b/>
                <w:sz w:val="20"/>
                <w:szCs w:val="20"/>
              </w:rPr>
              <w:t>☐</w:t>
            </w:r>
          </w:p>
        </w:tc>
      </w:tr>
      <w:tr w:rsidR="005A63D1" w14:paraId="4C052953" w14:textId="77777777">
        <w:tc>
          <w:tcPr>
            <w:tcW w:w="7644" w:type="dxa"/>
            <w:shd w:val="clear" w:color="auto" w:fill="auto"/>
            <w:vAlign w:val="center"/>
          </w:tcPr>
          <w:p w:rsidR="005A63D1" w:rsidRDefault="00DB5899" w14:paraId="00000328" w14:textId="77777777">
            <w:pPr>
              <w:pStyle w:val="Normal2"/>
              <w:rPr>
                <w:sz w:val="20"/>
                <w:szCs w:val="20"/>
              </w:rPr>
            </w:pPr>
            <w:r>
              <w:rPr>
                <w:sz w:val="20"/>
                <w:szCs w:val="20"/>
              </w:rPr>
              <w:t>Is forest productivity affected by wildfires, diseases, rainfall variability or changes in temperature?</w:t>
            </w:r>
          </w:p>
        </w:tc>
        <w:tc>
          <w:tcPr>
            <w:tcW w:w="541" w:type="dxa"/>
            <w:shd w:val="clear" w:color="auto" w:fill="auto"/>
            <w:vAlign w:val="center"/>
          </w:tcPr>
          <w:p w:rsidR="005A63D1" w:rsidRDefault="00DB5899" w14:paraId="00000329"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32A" w14:textId="77777777">
            <w:pPr>
              <w:pStyle w:val="Normal2"/>
              <w:jc w:val="center"/>
              <w:rPr>
                <w:sz w:val="20"/>
                <w:szCs w:val="20"/>
              </w:rPr>
            </w:pPr>
            <w:sdt>
              <w:sdtPr>
                <w:tag w:val="goog_rdk_30"/>
                <w:id w:val="545743142"/>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32B" w14:textId="77777777">
            <w:pPr>
              <w:pStyle w:val="Normal2"/>
              <w:jc w:val="center"/>
              <w:rPr>
                <w:sz w:val="20"/>
                <w:szCs w:val="20"/>
              </w:rPr>
            </w:pPr>
            <w:r>
              <w:rPr>
                <w:rFonts w:ascii="MS Gothic" w:hAnsi="MS Gothic" w:eastAsia="MS Gothic" w:cs="MS Gothic"/>
                <w:b/>
                <w:sz w:val="20"/>
                <w:szCs w:val="20"/>
              </w:rPr>
              <w:t>☐</w:t>
            </w:r>
          </w:p>
        </w:tc>
      </w:tr>
      <w:tr w:rsidR="005A63D1" w14:paraId="4E3637B7" w14:textId="77777777">
        <w:tc>
          <w:tcPr>
            <w:tcW w:w="7644" w:type="dxa"/>
            <w:shd w:val="clear" w:color="auto" w:fill="auto"/>
            <w:vAlign w:val="center"/>
          </w:tcPr>
          <w:p w:rsidR="005A63D1" w:rsidRDefault="00DB5899" w14:paraId="0000032C" w14:textId="77777777">
            <w:pPr>
              <w:pStyle w:val="Normal2"/>
              <w:rPr>
                <w:sz w:val="20"/>
                <w:szCs w:val="20"/>
              </w:rPr>
            </w:pPr>
            <w:r>
              <w:rPr>
                <w:sz w:val="20"/>
                <w:szCs w:val="20"/>
              </w:rPr>
              <w:t>Is any stage of the agricultural value chain (production, storage, processing and marketing) affected by climate related hazards?</w:t>
            </w:r>
          </w:p>
        </w:tc>
        <w:tc>
          <w:tcPr>
            <w:tcW w:w="541" w:type="dxa"/>
            <w:shd w:val="clear" w:color="auto" w:fill="auto"/>
            <w:vAlign w:val="center"/>
          </w:tcPr>
          <w:p w:rsidR="005A63D1" w:rsidRDefault="00DB5899" w14:paraId="0000032D"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32E" w14:textId="77777777">
            <w:pPr>
              <w:pStyle w:val="Normal2"/>
              <w:jc w:val="center"/>
              <w:rPr>
                <w:sz w:val="20"/>
                <w:szCs w:val="20"/>
              </w:rPr>
            </w:pPr>
            <w:sdt>
              <w:sdtPr>
                <w:tag w:val="goog_rdk_31"/>
                <w:id w:val="1922266404"/>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32F" w14:textId="77777777">
            <w:pPr>
              <w:pStyle w:val="Normal2"/>
              <w:jc w:val="center"/>
              <w:rPr>
                <w:sz w:val="20"/>
                <w:szCs w:val="20"/>
              </w:rPr>
            </w:pPr>
            <w:r>
              <w:rPr>
                <w:rFonts w:ascii="MS Gothic" w:hAnsi="MS Gothic" w:eastAsia="MS Gothic" w:cs="MS Gothic"/>
                <w:b/>
                <w:sz w:val="20"/>
                <w:szCs w:val="20"/>
              </w:rPr>
              <w:t>☐</w:t>
            </w:r>
          </w:p>
        </w:tc>
      </w:tr>
      <w:tr w:rsidR="005A63D1" w14:paraId="78582D51" w14:textId="77777777">
        <w:tc>
          <w:tcPr>
            <w:tcW w:w="7644" w:type="dxa"/>
            <w:shd w:val="clear" w:color="auto" w:fill="843C0B"/>
            <w:vAlign w:val="center"/>
          </w:tcPr>
          <w:p w:rsidR="005A63D1" w:rsidRDefault="00DB5899" w14:paraId="00000330" w14:textId="77777777">
            <w:pPr>
              <w:pStyle w:val="Normal2"/>
              <w:rPr>
                <w:color w:val="FFFFFF"/>
                <w:sz w:val="20"/>
                <w:szCs w:val="20"/>
              </w:rPr>
            </w:pPr>
            <w:r>
              <w:rPr>
                <w:color w:val="FFFFFF"/>
                <w:sz w:val="20"/>
                <w:szCs w:val="20"/>
              </w:rPr>
              <w:t>Vulnerability Guiding Questions</w:t>
            </w:r>
          </w:p>
        </w:tc>
        <w:tc>
          <w:tcPr>
            <w:tcW w:w="541" w:type="dxa"/>
            <w:shd w:val="clear" w:color="auto" w:fill="843C0B"/>
            <w:vAlign w:val="center"/>
          </w:tcPr>
          <w:p w:rsidR="005A63D1" w:rsidRDefault="00DB5899" w14:paraId="00000331" w14:textId="77777777">
            <w:pPr>
              <w:pStyle w:val="Normal2"/>
              <w:jc w:val="center"/>
              <w:rPr>
                <w:b/>
                <w:color w:val="FFFFFF"/>
                <w:sz w:val="20"/>
                <w:szCs w:val="20"/>
              </w:rPr>
            </w:pPr>
            <w:r>
              <w:rPr>
                <w:b/>
                <w:color w:val="FFFFFF"/>
                <w:sz w:val="20"/>
                <w:szCs w:val="20"/>
              </w:rPr>
              <w:t>Yes</w:t>
            </w:r>
          </w:p>
        </w:tc>
        <w:tc>
          <w:tcPr>
            <w:tcW w:w="558" w:type="dxa"/>
            <w:shd w:val="clear" w:color="auto" w:fill="843C0B"/>
            <w:vAlign w:val="center"/>
          </w:tcPr>
          <w:p w:rsidR="005A63D1" w:rsidRDefault="00DB5899" w14:paraId="00000332" w14:textId="77777777">
            <w:pPr>
              <w:pStyle w:val="Normal2"/>
              <w:jc w:val="center"/>
              <w:rPr>
                <w:b/>
                <w:color w:val="FFFFFF"/>
                <w:sz w:val="20"/>
                <w:szCs w:val="20"/>
              </w:rPr>
            </w:pPr>
            <w:r>
              <w:rPr>
                <w:b/>
                <w:color w:val="FFFFFF"/>
                <w:sz w:val="20"/>
                <w:szCs w:val="20"/>
              </w:rPr>
              <w:t>No</w:t>
            </w:r>
          </w:p>
        </w:tc>
        <w:tc>
          <w:tcPr>
            <w:tcW w:w="607" w:type="dxa"/>
            <w:shd w:val="clear" w:color="auto" w:fill="843C0B"/>
            <w:vAlign w:val="center"/>
          </w:tcPr>
          <w:p w:rsidR="005A63D1" w:rsidRDefault="00DB5899" w14:paraId="00000333" w14:textId="77777777">
            <w:pPr>
              <w:pStyle w:val="Normal2"/>
              <w:jc w:val="center"/>
              <w:rPr>
                <w:b/>
                <w:color w:val="FFFFFF"/>
                <w:sz w:val="20"/>
                <w:szCs w:val="20"/>
              </w:rPr>
            </w:pPr>
            <w:r>
              <w:rPr>
                <w:b/>
                <w:color w:val="FFFFFF"/>
                <w:sz w:val="20"/>
                <w:szCs w:val="20"/>
              </w:rPr>
              <w:t>TBD</w:t>
            </w:r>
          </w:p>
        </w:tc>
      </w:tr>
      <w:tr w:rsidR="005A63D1" w14:paraId="61F6E59F" w14:textId="77777777">
        <w:trPr>
          <w:trHeight w:val="229"/>
        </w:trPr>
        <w:tc>
          <w:tcPr>
            <w:tcW w:w="7644" w:type="dxa"/>
            <w:shd w:val="clear" w:color="auto" w:fill="FFFFFF"/>
            <w:vAlign w:val="center"/>
          </w:tcPr>
          <w:p w:rsidR="005A63D1" w:rsidRDefault="00DB5899" w14:paraId="00000334" w14:textId="77777777">
            <w:pPr>
              <w:pStyle w:val="Normal2"/>
              <w:rPr>
                <w:sz w:val="20"/>
                <w:szCs w:val="20"/>
              </w:rPr>
            </w:pPr>
            <w:r>
              <w:rPr>
                <w:sz w:val="20"/>
                <w:szCs w:val="20"/>
              </w:rPr>
              <w:t>Is the target population in the project area living below the poverty line?</w:t>
            </w:r>
            <w:r>
              <w:rPr>
                <w:sz w:val="20"/>
                <w:szCs w:val="20"/>
                <w:vertAlign w:val="superscript"/>
              </w:rPr>
              <w:footnoteReference w:id="19"/>
            </w:r>
          </w:p>
        </w:tc>
        <w:tc>
          <w:tcPr>
            <w:tcW w:w="541" w:type="dxa"/>
            <w:shd w:val="clear" w:color="auto" w:fill="FFFFFF"/>
            <w:vAlign w:val="center"/>
          </w:tcPr>
          <w:p w:rsidR="005A63D1" w:rsidRDefault="00DB5899" w14:paraId="00000335" w14:textId="77777777">
            <w:pPr>
              <w:pStyle w:val="Normal2"/>
              <w:jc w:val="center"/>
              <w:rPr>
                <w:sz w:val="20"/>
                <w:szCs w:val="20"/>
              </w:rPr>
            </w:pPr>
            <w:sdt>
              <w:sdtPr>
                <w:tag w:val="goog_rdk_32"/>
                <w:id w:val="1904440640"/>
              </w:sdtPr>
              <w:sdtEndPr/>
              <w:sdtContent>
                <w:r>
                  <w:rPr>
                    <w:rFonts w:ascii="Arial Unicode MS" w:hAnsi="Arial Unicode MS" w:eastAsia="Arial Unicode MS" w:cs="Arial Unicode MS"/>
                    <w:b/>
                    <w:sz w:val="20"/>
                    <w:szCs w:val="20"/>
                  </w:rPr>
                  <w:t>☐</w:t>
                </w:r>
              </w:sdtContent>
            </w:sdt>
          </w:p>
        </w:tc>
        <w:tc>
          <w:tcPr>
            <w:tcW w:w="558" w:type="dxa"/>
            <w:shd w:val="clear" w:color="auto" w:fill="FFFFFF"/>
            <w:vAlign w:val="center"/>
          </w:tcPr>
          <w:p w:rsidR="005A63D1" w:rsidRDefault="00DB5899" w14:paraId="00000336" w14:textId="77777777">
            <w:pPr>
              <w:pStyle w:val="Normal2"/>
              <w:spacing w:after="0" w:line="276" w:lineRule="auto"/>
              <w:ind w:left="-30" w:firstLine="0"/>
              <w:jc w:val="center"/>
              <w:rPr>
                <w:sz w:val="20"/>
                <w:szCs w:val="20"/>
              </w:rPr>
            </w:pPr>
            <w:r>
              <w:t>☒</w:t>
            </w:r>
          </w:p>
        </w:tc>
        <w:tc>
          <w:tcPr>
            <w:tcW w:w="607" w:type="dxa"/>
            <w:shd w:val="clear" w:color="auto" w:fill="FFFFFF"/>
            <w:vAlign w:val="center"/>
          </w:tcPr>
          <w:p w:rsidR="005A63D1" w:rsidRDefault="00DB5899" w14:paraId="00000337" w14:textId="77777777">
            <w:pPr>
              <w:pStyle w:val="Normal2"/>
              <w:jc w:val="center"/>
              <w:rPr>
                <w:sz w:val="20"/>
                <w:szCs w:val="20"/>
              </w:rPr>
            </w:pPr>
            <w:sdt>
              <w:sdtPr>
                <w:tag w:val="goog_rdk_33"/>
                <w:id w:val="1338842569"/>
              </w:sdtPr>
              <w:sdtEndPr/>
              <w:sdtContent>
                <w:r>
                  <w:rPr>
                    <w:rFonts w:ascii="Arial Unicode MS" w:hAnsi="Arial Unicode MS" w:eastAsia="Arial Unicode MS" w:cs="Arial Unicode MS"/>
                    <w:b/>
                    <w:sz w:val="20"/>
                    <w:szCs w:val="20"/>
                  </w:rPr>
                  <w:t>☐</w:t>
                </w:r>
              </w:sdtContent>
            </w:sdt>
          </w:p>
        </w:tc>
      </w:tr>
      <w:tr w:rsidR="005A63D1" w14:paraId="0F2592B2" w14:textId="77777777">
        <w:tc>
          <w:tcPr>
            <w:tcW w:w="7644" w:type="dxa"/>
            <w:shd w:val="clear" w:color="auto" w:fill="FFFFFF"/>
            <w:vAlign w:val="center"/>
          </w:tcPr>
          <w:p w:rsidR="005A63D1" w:rsidRDefault="00DB5899" w14:paraId="00000338" w14:textId="77777777">
            <w:pPr>
              <w:pStyle w:val="Normal2"/>
              <w:rPr>
                <w:sz w:val="20"/>
                <w:szCs w:val="20"/>
              </w:rPr>
            </w:pPr>
            <w:r>
              <w:rPr>
                <w:sz w:val="20"/>
                <w:szCs w:val="20"/>
              </w:rPr>
              <w:t>Are the livelihoods of the target population sensitive to climate change?</w:t>
            </w:r>
          </w:p>
        </w:tc>
        <w:tc>
          <w:tcPr>
            <w:tcW w:w="541" w:type="dxa"/>
            <w:shd w:val="clear" w:color="auto" w:fill="FFFFFF"/>
            <w:vAlign w:val="center"/>
          </w:tcPr>
          <w:p w:rsidR="005A63D1" w:rsidRDefault="00DB5899" w14:paraId="00000339" w14:textId="77777777">
            <w:pPr>
              <w:pStyle w:val="Normal2"/>
              <w:spacing w:after="0" w:line="276" w:lineRule="auto"/>
              <w:ind w:left="-30" w:firstLine="0"/>
              <w:jc w:val="center"/>
              <w:rPr>
                <w:sz w:val="20"/>
                <w:szCs w:val="20"/>
              </w:rPr>
            </w:pPr>
            <w:r>
              <w:t>☒</w:t>
            </w:r>
          </w:p>
        </w:tc>
        <w:tc>
          <w:tcPr>
            <w:tcW w:w="558" w:type="dxa"/>
            <w:shd w:val="clear" w:color="auto" w:fill="FFFFFF"/>
            <w:vAlign w:val="center"/>
          </w:tcPr>
          <w:p w:rsidR="005A63D1" w:rsidRDefault="00DB5899" w14:paraId="0000033A" w14:textId="77777777">
            <w:pPr>
              <w:pStyle w:val="Normal2"/>
              <w:jc w:val="center"/>
              <w:rPr>
                <w:sz w:val="20"/>
                <w:szCs w:val="20"/>
              </w:rPr>
            </w:pPr>
            <w:sdt>
              <w:sdtPr>
                <w:tag w:val="goog_rdk_34"/>
                <w:id w:val="563761579"/>
              </w:sdtPr>
              <w:sdtEndPr/>
              <w:sdtContent>
                <w:r>
                  <w:rPr>
                    <w:rFonts w:ascii="Arial Unicode MS" w:hAnsi="Arial Unicode MS" w:eastAsia="Arial Unicode MS" w:cs="Arial Unicode MS"/>
                    <w:b/>
                    <w:sz w:val="20"/>
                    <w:szCs w:val="20"/>
                  </w:rPr>
                  <w:t>☐</w:t>
                </w:r>
              </w:sdtContent>
            </w:sdt>
          </w:p>
        </w:tc>
        <w:tc>
          <w:tcPr>
            <w:tcW w:w="607" w:type="dxa"/>
            <w:shd w:val="clear" w:color="auto" w:fill="FFFFFF"/>
            <w:vAlign w:val="center"/>
          </w:tcPr>
          <w:p w:rsidR="005A63D1" w:rsidRDefault="00DB5899" w14:paraId="0000033B" w14:textId="77777777">
            <w:pPr>
              <w:pStyle w:val="Normal2"/>
              <w:jc w:val="center"/>
              <w:rPr>
                <w:sz w:val="20"/>
                <w:szCs w:val="20"/>
              </w:rPr>
            </w:pPr>
            <w:sdt>
              <w:sdtPr>
                <w:tag w:val="goog_rdk_35"/>
                <w:id w:val="1860269887"/>
              </w:sdtPr>
              <w:sdtEndPr/>
              <w:sdtContent>
                <w:r>
                  <w:rPr>
                    <w:rFonts w:ascii="Arial Unicode MS" w:hAnsi="Arial Unicode MS" w:eastAsia="Arial Unicode MS" w:cs="Arial Unicode MS"/>
                    <w:b/>
                    <w:sz w:val="20"/>
                    <w:szCs w:val="20"/>
                  </w:rPr>
                  <w:t>☐</w:t>
                </w:r>
              </w:sdtContent>
            </w:sdt>
          </w:p>
        </w:tc>
      </w:tr>
      <w:tr w:rsidR="005A63D1" w14:paraId="3BC4C78F" w14:textId="77777777">
        <w:tc>
          <w:tcPr>
            <w:tcW w:w="7644" w:type="dxa"/>
            <w:shd w:val="clear" w:color="auto" w:fill="FFFFFF"/>
            <w:vAlign w:val="center"/>
          </w:tcPr>
          <w:p w:rsidR="005A63D1" w:rsidRDefault="00DB5899" w14:paraId="0000033C" w14:textId="77777777">
            <w:pPr>
              <w:pStyle w:val="Normal2"/>
              <w:rPr>
                <w:sz w:val="20"/>
                <w:szCs w:val="20"/>
              </w:rPr>
            </w:pPr>
            <w:r>
              <w:rPr>
                <w:sz w:val="20"/>
                <w:szCs w:val="20"/>
              </w:rPr>
              <w:t xml:space="preserve">Is the target population income exclusively from agriculture? </w:t>
            </w:r>
          </w:p>
        </w:tc>
        <w:tc>
          <w:tcPr>
            <w:tcW w:w="541" w:type="dxa"/>
            <w:shd w:val="clear" w:color="auto" w:fill="FFFFFF"/>
            <w:vAlign w:val="center"/>
          </w:tcPr>
          <w:p w:rsidR="005A63D1" w:rsidRDefault="00DB5899" w14:paraId="0000033D" w14:textId="77777777">
            <w:pPr>
              <w:pStyle w:val="Normal2"/>
              <w:jc w:val="center"/>
              <w:rPr>
                <w:sz w:val="20"/>
                <w:szCs w:val="20"/>
              </w:rPr>
            </w:pPr>
            <w:sdt>
              <w:sdtPr>
                <w:tag w:val="goog_rdk_36"/>
                <w:id w:val="1655650458"/>
              </w:sdtPr>
              <w:sdtEndPr/>
              <w:sdtContent>
                <w:r>
                  <w:rPr>
                    <w:rFonts w:ascii="Arial Unicode MS" w:hAnsi="Arial Unicode MS" w:eastAsia="Arial Unicode MS" w:cs="Arial Unicode MS"/>
                    <w:b/>
                    <w:sz w:val="20"/>
                    <w:szCs w:val="20"/>
                  </w:rPr>
                  <w:t>☐</w:t>
                </w:r>
              </w:sdtContent>
            </w:sdt>
          </w:p>
        </w:tc>
        <w:tc>
          <w:tcPr>
            <w:tcW w:w="558" w:type="dxa"/>
            <w:shd w:val="clear" w:color="auto" w:fill="FFFFFF"/>
            <w:vAlign w:val="center"/>
          </w:tcPr>
          <w:p w:rsidR="005A63D1" w:rsidRDefault="00DB5899" w14:paraId="0000033E" w14:textId="77777777">
            <w:pPr>
              <w:pStyle w:val="Normal2"/>
              <w:spacing w:after="0" w:line="276" w:lineRule="auto"/>
              <w:ind w:left="-30" w:firstLine="0"/>
              <w:jc w:val="center"/>
              <w:rPr>
                <w:sz w:val="20"/>
                <w:szCs w:val="20"/>
                <w:highlight w:val="green"/>
              </w:rPr>
            </w:pPr>
            <w:r>
              <w:t>☒</w:t>
            </w:r>
          </w:p>
        </w:tc>
        <w:tc>
          <w:tcPr>
            <w:tcW w:w="607" w:type="dxa"/>
            <w:shd w:val="clear" w:color="auto" w:fill="FFFFFF"/>
            <w:vAlign w:val="center"/>
          </w:tcPr>
          <w:p w:rsidR="005A63D1" w:rsidRDefault="00DB5899" w14:paraId="0000033F" w14:textId="77777777">
            <w:pPr>
              <w:pStyle w:val="Normal2"/>
              <w:jc w:val="center"/>
              <w:rPr>
                <w:sz w:val="20"/>
                <w:szCs w:val="20"/>
              </w:rPr>
            </w:pPr>
            <w:sdt>
              <w:sdtPr>
                <w:tag w:val="goog_rdk_37"/>
                <w:id w:val="1806548165"/>
              </w:sdtPr>
              <w:sdtEndPr/>
              <w:sdtContent>
                <w:r>
                  <w:rPr>
                    <w:rFonts w:ascii="Arial Unicode MS" w:hAnsi="Arial Unicode MS" w:eastAsia="Arial Unicode MS" w:cs="Arial Unicode MS"/>
                    <w:b/>
                    <w:sz w:val="20"/>
                    <w:szCs w:val="20"/>
                  </w:rPr>
                  <w:t>☐</w:t>
                </w:r>
              </w:sdtContent>
            </w:sdt>
          </w:p>
        </w:tc>
      </w:tr>
      <w:tr w:rsidR="005A63D1" w14:paraId="1FC348B7" w14:textId="77777777">
        <w:tc>
          <w:tcPr>
            <w:tcW w:w="7644" w:type="dxa"/>
            <w:shd w:val="clear" w:color="auto" w:fill="FFFFFF"/>
            <w:vAlign w:val="center"/>
          </w:tcPr>
          <w:p w:rsidR="005A63D1" w:rsidRDefault="00DB5899" w14:paraId="00000340" w14:textId="77777777">
            <w:pPr>
              <w:pStyle w:val="Normal2"/>
              <w:rPr>
                <w:sz w:val="20"/>
                <w:szCs w:val="20"/>
              </w:rPr>
            </w:pPr>
            <w:r>
              <w:rPr>
                <w:sz w:val="20"/>
                <w:szCs w:val="20"/>
              </w:rPr>
              <w:t>Is the population migrating due to food insecurity as a consequence of climate change?</w:t>
            </w:r>
          </w:p>
        </w:tc>
        <w:tc>
          <w:tcPr>
            <w:tcW w:w="541" w:type="dxa"/>
            <w:shd w:val="clear" w:color="auto" w:fill="FFFFFF"/>
            <w:vAlign w:val="center"/>
          </w:tcPr>
          <w:p w:rsidR="005A63D1" w:rsidRDefault="00DB5899" w14:paraId="00000341" w14:textId="77777777">
            <w:pPr>
              <w:pStyle w:val="Normal2"/>
              <w:jc w:val="center"/>
              <w:rPr>
                <w:sz w:val="20"/>
                <w:szCs w:val="20"/>
              </w:rPr>
            </w:pPr>
            <w:sdt>
              <w:sdtPr>
                <w:tag w:val="goog_rdk_38"/>
                <w:id w:val="1264252812"/>
              </w:sdtPr>
              <w:sdtEndPr/>
              <w:sdtContent>
                <w:r>
                  <w:rPr>
                    <w:rFonts w:ascii="Arial Unicode MS" w:hAnsi="Arial Unicode MS" w:eastAsia="Arial Unicode MS" w:cs="Arial Unicode MS"/>
                    <w:b/>
                    <w:sz w:val="20"/>
                    <w:szCs w:val="20"/>
                  </w:rPr>
                  <w:t>☐</w:t>
                </w:r>
              </w:sdtContent>
            </w:sdt>
          </w:p>
        </w:tc>
        <w:tc>
          <w:tcPr>
            <w:tcW w:w="558" w:type="dxa"/>
            <w:shd w:val="clear" w:color="auto" w:fill="FFFFFF"/>
            <w:vAlign w:val="center"/>
          </w:tcPr>
          <w:p w:rsidR="005A63D1" w:rsidRDefault="00DB5899" w14:paraId="00000342" w14:textId="77777777">
            <w:pPr>
              <w:pStyle w:val="Normal2"/>
              <w:spacing w:after="0" w:line="276" w:lineRule="auto"/>
              <w:ind w:left="-30" w:firstLine="0"/>
              <w:jc w:val="center"/>
              <w:rPr>
                <w:sz w:val="20"/>
                <w:szCs w:val="20"/>
                <w:highlight w:val="green"/>
              </w:rPr>
            </w:pPr>
            <w:r>
              <w:t>☒</w:t>
            </w:r>
          </w:p>
        </w:tc>
        <w:tc>
          <w:tcPr>
            <w:tcW w:w="607" w:type="dxa"/>
            <w:shd w:val="clear" w:color="auto" w:fill="FFFFFF"/>
            <w:vAlign w:val="center"/>
          </w:tcPr>
          <w:p w:rsidR="005A63D1" w:rsidRDefault="00DB5899" w14:paraId="00000343" w14:textId="77777777">
            <w:pPr>
              <w:pStyle w:val="Normal2"/>
              <w:jc w:val="center"/>
              <w:rPr>
                <w:sz w:val="20"/>
                <w:szCs w:val="20"/>
              </w:rPr>
            </w:pPr>
            <w:sdt>
              <w:sdtPr>
                <w:tag w:val="goog_rdk_39"/>
                <w:id w:val="2055934541"/>
              </w:sdtPr>
              <w:sdtEndPr/>
              <w:sdtContent>
                <w:r>
                  <w:rPr>
                    <w:rFonts w:ascii="Arial Unicode MS" w:hAnsi="Arial Unicode MS" w:eastAsia="Arial Unicode MS" w:cs="Arial Unicode MS"/>
                    <w:b/>
                    <w:sz w:val="20"/>
                    <w:szCs w:val="20"/>
                  </w:rPr>
                  <w:t>☐</w:t>
                </w:r>
              </w:sdtContent>
            </w:sdt>
          </w:p>
        </w:tc>
      </w:tr>
      <w:tr w:rsidR="005A63D1" w14:paraId="6E9FBB62" w14:textId="77777777">
        <w:tc>
          <w:tcPr>
            <w:tcW w:w="7644" w:type="dxa"/>
            <w:shd w:val="clear" w:color="auto" w:fill="FFFFFF"/>
            <w:vAlign w:val="center"/>
          </w:tcPr>
          <w:p w:rsidR="005A63D1" w:rsidRDefault="00DB5899" w14:paraId="00000344" w14:textId="77777777">
            <w:pPr>
              <w:pStyle w:val="Normal2"/>
              <w:rPr>
                <w:sz w:val="20"/>
                <w:szCs w:val="20"/>
              </w:rPr>
            </w:pPr>
            <w:r>
              <w:rPr>
                <w:sz w:val="20"/>
                <w:szCs w:val="20"/>
              </w:rPr>
              <w:t>Is the project targeting sensitive groups (indigenous people or other marginalized groups) that are likely to be affected by climate change?</w:t>
            </w:r>
            <w:r>
              <w:rPr>
                <w:sz w:val="20"/>
                <w:szCs w:val="20"/>
                <w:vertAlign w:val="superscript"/>
              </w:rPr>
              <w:footnoteReference w:id="20"/>
            </w:r>
          </w:p>
        </w:tc>
        <w:tc>
          <w:tcPr>
            <w:tcW w:w="541" w:type="dxa"/>
            <w:shd w:val="clear" w:color="auto" w:fill="FFFFFF"/>
            <w:vAlign w:val="center"/>
          </w:tcPr>
          <w:p w:rsidR="005A63D1" w:rsidRDefault="00DB5899" w14:paraId="00000345" w14:textId="77777777">
            <w:pPr>
              <w:pStyle w:val="Normal2"/>
              <w:jc w:val="center"/>
              <w:rPr>
                <w:sz w:val="20"/>
                <w:szCs w:val="20"/>
              </w:rPr>
            </w:pPr>
            <w:sdt>
              <w:sdtPr>
                <w:tag w:val="goog_rdk_40"/>
                <w:id w:val="886281438"/>
              </w:sdtPr>
              <w:sdtEndPr/>
              <w:sdtContent>
                <w:r>
                  <w:rPr>
                    <w:rFonts w:ascii="Arial Unicode MS" w:hAnsi="Arial Unicode MS" w:eastAsia="Arial Unicode MS" w:cs="Arial Unicode MS"/>
                    <w:b/>
                    <w:sz w:val="20"/>
                    <w:szCs w:val="20"/>
                  </w:rPr>
                  <w:t>☐</w:t>
                </w:r>
              </w:sdtContent>
            </w:sdt>
          </w:p>
        </w:tc>
        <w:tc>
          <w:tcPr>
            <w:tcW w:w="558" w:type="dxa"/>
            <w:shd w:val="clear" w:color="auto" w:fill="FFFFFF"/>
            <w:vAlign w:val="center"/>
          </w:tcPr>
          <w:p w:rsidR="005A63D1" w:rsidRDefault="00DB5899" w14:paraId="00000346" w14:textId="77777777">
            <w:pPr>
              <w:pStyle w:val="Normal2"/>
              <w:jc w:val="center"/>
              <w:rPr>
                <w:sz w:val="20"/>
                <w:szCs w:val="20"/>
              </w:rPr>
            </w:pPr>
            <w:sdt>
              <w:sdtPr>
                <w:tag w:val="goog_rdk_41"/>
                <w:id w:val="1291577014"/>
              </w:sdtPr>
              <w:sdtEndPr/>
              <w:sdtContent>
                <w:r>
                  <w:rPr>
                    <w:rFonts w:ascii="Arial Unicode MS" w:hAnsi="Arial Unicode MS" w:eastAsia="Arial Unicode MS" w:cs="Arial Unicode MS"/>
                    <w:b/>
                    <w:sz w:val="20"/>
                    <w:szCs w:val="20"/>
                  </w:rPr>
                  <w:t>☐</w:t>
                </w:r>
              </w:sdtContent>
            </w:sdt>
          </w:p>
        </w:tc>
        <w:tc>
          <w:tcPr>
            <w:tcW w:w="607" w:type="dxa"/>
            <w:shd w:val="clear" w:color="auto" w:fill="FFFFFF"/>
            <w:vAlign w:val="center"/>
          </w:tcPr>
          <w:p w:rsidR="005A63D1" w:rsidRDefault="00DB5899" w14:paraId="00000347" w14:textId="77777777">
            <w:pPr>
              <w:pStyle w:val="Normal2"/>
              <w:spacing w:after="0" w:line="276" w:lineRule="auto"/>
              <w:ind w:left="-30" w:firstLine="0"/>
              <w:jc w:val="center"/>
              <w:rPr>
                <w:sz w:val="20"/>
                <w:szCs w:val="20"/>
              </w:rPr>
            </w:pPr>
            <w:r>
              <w:t>☒</w:t>
            </w:r>
          </w:p>
        </w:tc>
      </w:tr>
      <w:tr w:rsidR="005A63D1" w14:paraId="46923B75" w14:textId="77777777">
        <w:tc>
          <w:tcPr>
            <w:tcW w:w="7644" w:type="dxa"/>
            <w:shd w:val="clear" w:color="auto" w:fill="FFFFFF"/>
            <w:vAlign w:val="center"/>
          </w:tcPr>
          <w:p w:rsidR="005A63D1" w:rsidRDefault="00DB5899" w14:paraId="00000348" w14:textId="77777777">
            <w:pPr>
              <w:pStyle w:val="Normal2"/>
              <w:rPr>
                <w:sz w:val="20"/>
                <w:szCs w:val="20"/>
              </w:rPr>
            </w:pPr>
            <w:r>
              <w:rPr>
                <w:sz w:val="20"/>
                <w:szCs w:val="20"/>
              </w:rPr>
              <w:t>Is climate change affecting certain groups more than others in the project area?</w:t>
            </w:r>
          </w:p>
        </w:tc>
        <w:tc>
          <w:tcPr>
            <w:tcW w:w="541" w:type="dxa"/>
            <w:shd w:val="clear" w:color="auto" w:fill="FFFFFF"/>
            <w:vAlign w:val="center"/>
          </w:tcPr>
          <w:p w:rsidR="005A63D1" w:rsidRDefault="00DB5899" w14:paraId="00000349" w14:textId="77777777">
            <w:pPr>
              <w:pStyle w:val="Normal2"/>
              <w:spacing w:after="0" w:line="276" w:lineRule="auto"/>
              <w:ind w:left="-30" w:firstLine="0"/>
              <w:jc w:val="center"/>
              <w:rPr>
                <w:sz w:val="20"/>
                <w:szCs w:val="20"/>
              </w:rPr>
            </w:pPr>
            <w:r>
              <w:t>☒</w:t>
            </w:r>
          </w:p>
        </w:tc>
        <w:tc>
          <w:tcPr>
            <w:tcW w:w="558" w:type="dxa"/>
            <w:shd w:val="clear" w:color="auto" w:fill="FFFFFF"/>
            <w:vAlign w:val="center"/>
          </w:tcPr>
          <w:p w:rsidR="005A63D1" w:rsidRDefault="00DB5899" w14:paraId="0000034A" w14:textId="77777777">
            <w:pPr>
              <w:pStyle w:val="Normal2"/>
              <w:jc w:val="center"/>
              <w:rPr>
                <w:sz w:val="20"/>
                <w:szCs w:val="20"/>
              </w:rPr>
            </w:pPr>
            <w:r>
              <w:rPr>
                <w:rFonts w:ascii="MS Gothic" w:hAnsi="MS Gothic" w:eastAsia="MS Gothic" w:cs="MS Gothic"/>
                <w:b/>
                <w:sz w:val="20"/>
                <w:szCs w:val="20"/>
              </w:rPr>
              <w:t>☐</w:t>
            </w:r>
          </w:p>
        </w:tc>
        <w:tc>
          <w:tcPr>
            <w:tcW w:w="607" w:type="dxa"/>
            <w:shd w:val="clear" w:color="auto" w:fill="FFFFFF"/>
            <w:vAlign w:val="center"/>
          </w:tcPr>
          <w:p w:rsidR="005A63D1" w:rsidRDefault="00DB5899" w14:paraId="0000034B" w14:textId="77777777">
            <w:pPr>
              <w:pStyle w:val="Normal2"/>
              <w:jc w:val="center"/>
              <w:rPr>
                <w:sz w:val="20"/>
                <w:szCs w:val="20"/>
              </w:rPr>
            </w:pPr>
            <w:r>
              <w:rPr>
                <w:rFonts w:ascii="MS Gothic" w:hAnsi="MS Gothic" w:eastAsia="MS Gothic" w:cs="MS Gothic"/>
                <w:b/>
                <w:sz w:val="20"/>
                <w:szCs w:val="20"/>
              </w:rPr>
              <w:t>☐</w:t>
            </w:r>
          </w:p>
        </w:tc>
      </w:tr>
      <w:tr w:rsidR="005A63D1" w14:paraId="4E905771" w14:textId="77777777">
        <w:tc>
          <w:tcPr>
            <w:tcW w:w="7644" w:type="dxa"/>
            <w:shd w:val="clear" w:color="auto" w:fill="C00000"/>
            <w:vAlign w:val="center"/>
          </w:tcPr>
          <w:p w:rsidR="005A63D1" w:rsidRDefault="00DB5899" w14:paraId="0000034C" w14:textId="77777777">
            <w:pPr>
              <w:pStyle w:val="Normal2"/>
              <w:rPr>
                <w:color w:val="FFFFFF"/>
                <w:sz w:val="20"/>
                <w:szCs w:val="20"/>
              </w:rPr>
            </w:pPr>
            <w:r>
              <w:rPr>
                <w:color w:val="FFFFFF"/>
                <w:sz w:val="20"/>
                <w:szCs w:val="20"/>
              </w:rPr>
              <w:t>Adaptive Capacity Guiding Questions:</w:t>
            </w:r>
          </w:p>
        </w:tc>
        <w:tc>
          <w:tcPr>
            <w:tcW w:w="541" w:type="dxa"/>
            <w:shd w:val="clear" w:color="auto" w:fill="C00000"/>
            <w:vAlign w:val="center"/>
          </w:tcPr>
          <w:p w:rsidR="005A63D1" w:rsidRDefault="00DB5899" w14:paraId="0000034D" w14:textId="77777777">
            <w:pPr>
              <w:pStyle w:val="Normal2"/>
              <w:jc w:val="center"/>
              <w:rPr>
                <w:b/>
                <w:color w:val="FFFFFF"/>
                <w:sz w:val="20"/>
                <w:szCs w:val="20"/>
              </w:rPr>
            </w:pPr>
            <w:r>
              <w:rPr>
                <w:b/>
                <w:color w:val="FFFFFF"/>
                <w:sz w:val="20"/>
                <w:szCs w:val="20"/>
              </w:rPr>
              <w:t>Yes</w:t>
            </w:r>
          </w:p>
        </w:tc>
        <w:tc>
          <w:tcPr>
            <w:tcW w:w="558" w:type="dxa"/>
            <w:shd w:val="clear" w:color="auto" w:fill="C00000"/>
            <w:vAlign w:val="center"/>
          </w:tcPr>
          <w:p w:rsidR="005A63D1" w:rsidRDefault="00DB5899" w14:paraId="0000034E" w14:textId="77777777">
            <w:pPr>
              <w:pStyle w:val="Normal2"/>
              <w:jc w:val="center"/>
              <w:rPr>
                <w:b/>
                <w:color w:val="FFFFFF"/>
                <w:sz w:val="20"/>
                <w:szCs w:val="20"/>
              </w:rPr>
            </w:pPr>
            <w:r>
              <w:rPr>
                <w:b/>
                <w:color w:val="FFFFFF"/>
                <w:sz w:val="20"/>
                <w:szCs w:val="20"/>
              </w:rPr>
              <w:t>No</w:t>
            </w:r>
          </w:p>
        </w:tc>
        <w:tc>
          <w:tcPr>
            <w:tcW w:w="607" w:type="dxa"/>
            <w:shd w:val="clear" w:color="auto" w:fill="C00000"/>
            <w:vAlign w:val="center"/>
          </w:tcPr>
          <w:p w:rsidR="005A63D1" w:rsidRDefault="00DB5899" w14:paraId="0000034F" w14:textId="77777777">
            <w:pPr>
              <w:pStyle w:val="Normal2"/>
              <w:jc w:val="center"/>
              <w:rPr>
                <w:b/>
                <w:color w:val="FFFFFF"/>
                <w:sz w:val="20"/>
                <w:szCs w:val="20"/>
              </w:rPr>
            </w:pPr>
            <w:r>
              <w:rPr>
                <w:b/>
                <w:color w:val="FFFFFF"/>
                <w:sz w:val="20"/>
                <w:szCs w:val="20"/>
              </w:rPr>
              <w:t>TBD</w:t>
            </w:r>
          </w:p>
        </w:tc>
      </w:tr>
      <w:tr w:rsidR="005A63D1" w14:paraId="0F916D95" w14:textId="77777777">
        <w:tc>
          <w:tcPr>
            <w:tcW w:w="7644" w:type="dxa"/>
            <w:shd w:val="clear" w:color="auto" w:fill="auto"/>
            <w:vAlign w:val="center"/>
          </w:tcPr>
          <w:p w:rsidR="005A63D1" w:rsidRDefault="00DB5899" w14:paraId="00000350" w14:textId="77777777">
            <w:pPr>
              <w:pStyle w:val="Normal2"/>
              <w:rPr>
                <w:sz w:val="20"/>
                <w:szCs w:val="20"/>
              </w:rPr>
            </w:pPr>
            <w:r>
              <w:rPr>
                <w:sz w:val="20"/>
                <w:szCs w:val="20"/>
              </w:rPr>
              <w:t>Does the target population have access to climate information?</w:t>
            </w:r>
          </w:p>
        </w:tc>
        <w:tc>
          <w:tcPr>
            <w:tcW w:w="541" w:type="dxa"/>
            <w:shd w:val="clear" w:color="auto" w:fill="auto"/>
            <w:vAlign w:val="center"/>
          </w:tcPr>
          <w:p w:rsidR="005A63D1" w:rsidRDefault="00DB5899" w14:paraId="00000351" w14:textId="77777777">
            <w:pPr>
              <w:pStyle w:val="Normal2"/>
              <w:jc w:val="center"/>
              <w:rPr>
                <w:sz w:val="20"/>
                <w:szCs w:val="20"/>
              </w:rPr>
            </w:pPr>
            <w:sdt>
              <w:sdtPr>
                <w:tag w:val="goog_rdk_42"/>
                <w:id w:val="1210923709"/>
              </w:sdtPr>
              <w:sdtEndPr/>
              <w:sdtContent>
                <w:r>
                  <w:rPr>
                    <w:rFonts w:ascii="Arial Unicode MS" w:hAnsi="Arial Unicode MS" w:eastAsia="Arial Unicode MS" w:cs="Arial Unicode MS"/>
                    <w:b/>
                    <w:sz w:val="20"/>
                    <w:szCs w:val="20"/>
                  </w:rPr>
                  <w:t>☐</w:t>
                </w:r>
              </w:sdtContent>
            </w:sdt>
          </w:p>
        </w:tc>
        <w:tc>
          <w:tcPr>
            <w:tcW w:w="558" w:type="dxa"/>
            <w:shd w:val="clear" w:color="auto" w:fill="auto"/>
            <w:vAlign w:val="center"/>
          </w:tcPr>
          <w:p w:rsidR="005A63D1" w:rsidRDefault="00DB5899" w14:paraId="00000352" w14:textId="77777777">
            <w:pPr>
              <w:pStyle w:val="Normal2"/>
              <w:jc w:val="center"/>
              <w:rPr>
                <w:sz w:val="20"/>
                <w:szCs w:val="20"/>
              </w:rPr>
            </w:pPr>
            <w:sdt>
              <w:sdtPr>
                <w:tag w:val="goog_rdk_43"/>
                <w:id w:val="569654419"/>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353" w14:textId="77777777">
            <w:pPr>
              <w:pStyle w:val="Normal2"/>
              <w:spacing w:after="0" w:line="276" w:lineRule="auto"/>
              <w:ind w:left="-30" w:firstLine="0"/>
              <w:jc w:val="center"/>
              <w:rPr>
                <w:sz w:val="20"/>
                <w:szCs w:val="20"/>
                <w:highlight w:val="green"/>
              </w:rPr>
            </w:pPr>
            <w:r>
              <w:t>☒</w:t>
            </w:r>
          </w:p>
        </w:tc>
      </w:tr>
      <w:tr w:rsidR="005A63D1" w14:paraId="7BF9542D" w14:textId="77777777">
        <w:tc>
          <w:tcPr>
            <w:tcW w:w="7644" w:type="dxa"/>
            <w:shd w:val="clear" w:color="auto" w:fill="auto"/>
            <w:vAlign w:val="center"/>
          </w:tcPr>
          <w:p w:rsidR="005A63D1" w:rsidRDefault="00DB5899" w14:paraId="00000354" w14:textId="77777777">
            <w:pPr>
              <w:pStyle w:val="Normal2"/>
              <w:rPr>
                <w:sz w:val="20"/>
                <w:szCs w:val="20"/>
              </w:rPr>
            </w:pPr>
            <w:r>
              <w:rPr>
                <w:sz w:val="20"/>
                <w:szCs w:val="20"/>
              </w:rPr>
              <w:t>Are there any early warning systems in the project area to anticipate and respond to climate-related events and disasters or climate-driven pests and diseases?</w:t>
            </w:r>
          </w:p>
        </w:tc>
        <w:tc>
          <w:tcPr>
            <w:tcW w:w="541" w:type="dxa"/>
            <w:shd w:val="clear" w:color="auto" w:fill="auto"/>
            <w:vAlign w:val="center"/>
          </w:tcPr>
          <w:p w:rsidR="005A63D1" w:rsidRDefault="00DB5899" w14:paraId="00000355" w14:textId="77777777">
            <w:pPr>
              <w:pStyle w:val="Normal2"/>
              <w:jc w:val="center"/>
              <w:rPr>
                <w:sz w:val="20"/>
                <w:szCs w:val="20"/>
              </w:rPr>
            </w:pPr>
            <w:sdt>
              <w:sdtPr>
                <w:tag w:val="goog_rdk_44"/>
                <w:id w:val="102970121"/>
              </w:sdtPr>
              <w:sdtEndPr/>
              <w:sdtContent>
                <w:r>
                  <w:rPr>
                    <w:rFonts w:ascii="Arial Unicode MS" w:hAnsi="Arial Unicode MS" w:eastAsia="Arial Unicode MS" w:cs="Arial Unicode MS"/>
                    <w:b/>
                    <w:sz w:val="20"/>
                    <w:szCs w:val="20"/>
                  </w:rPr>
                  <w:t>☐</w:t>
                </w:r>
              </w:sdtContent>
            </w:sdt>
          </w:p>
        </w:tc>
        <w:tc>
          <w:tcPr>
            <w:tcW w:w="558" w:type="dxa"/>
            <w:shd w:val="clear" w:color="auto" w:fill="auto"/>
            <w:vAlign w:val="center"/>
          </w:tcPr>
          <w:p w:rsidR="005A63D1" w:rsidRDefault="00DB5899" w14:paraId="00000356" w14:textId="77777777">
            <w:pPr>
              <w:pStyle w:val="Normal2"/>
              <w:jc w:val="center"/>
              <w:rPr>
                <w:sz w:val="20"/>
                <w:szCs w:val="20"/>
              </w:rPr>
            </w:pPr>
            <w:sdt>
              <w:sdtPr>
                <w:tag w:val="goog_rdk_45"/>
                <w:id w:val="2007504627"/>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357" w14:textId="77777777">
            <w:pPr>
              <w:pStyle w:val="Normal2"/>
              <w:spacing w:after="0" w:line="276" w:lineRule="auto"/>
              <w:ind w:left="-30" w:firstLine="0"/>
              <w:jc w:val="center"/>
              <w:rPr>
                <w:sz w:val="20"/>
                <w:szCs w:val="20"/>
              </w:rPr>
            </w:pPr>
            <w:r>
              <w:t>☒</w:t>
            </w:r>
          </w:p>
        </w:tc>
      </w:tr>
      <w:tr w:rsidR="005A63D1" w14:paraId="1B4A8C9F" w14:textId="77777777">
        <w:tc>
          <w:tcPr>
            <w:tcW w:w="7644" w:type="dxa"/>
            <w:shd w:val="clear" w:color="auto" w:fill="auto"/>
            <w:vAlign w:val="center"/>
          </w:tcPr>
          <w:p w:rsidR="005A63D1" w:rsidRDefault="00DB5899" w14:paraId="00000358" w14:textId="77777777">
            <w:pPr>
              <w:pStyle w:val="Normal2"/>
              <w:rPr>
                <w:sz w:val="20"/>
                <w:szCs w:val="20"/>
              </w:rPr>
            </w:pPr>
            <w:r>
              <w:rPr>
                <w:sz w:val="20"/>
                <w:szCs w:val="20"/>
              </w:rPr>
              <w:t>Does the government or other institutions support the target population/communities with the necessary social and economic resources to prepare for or respond to climate-related events?</w:t>
            </w:r>
          </w:p>
        </w:tc>
        <w:tc>
          <w:tcPr>
            <w:tcW w:w="541" w:type="dxa"/>
            <w:shd w:val="clear" w:color="auto" w:fill="auto"/>
            <w:vAlign w:val="center"/>
          </w:tcPr>
          <w:p w:rsidR="005A63D1" w:rsidRDefault="00DB5899" w14:paraId="00000359" w14:textId="77777777">
            <w:pPr>
              <w:pStyle w:val="Normal2"/>
              <w:jc w:val="center"/>
              <w:rPr>
                <w:sz w:val="20"/>
                <w:szCs w:val="20"/>
              </w:rPr>
            </w:pPr>
            <w:sdt>
              <w:sdtPr>
                <w:tag w:val="goog_rdk_46"/>
                <w:id w:val="1984804539"/>
              </w:sdtPr>
              <w:sdtEndPr/>
              <w:sdtContent>
                <w:r>
                  <w:rPr>
                    <w:rFonts w:ascii="Arial Unicode MS" w:hAnsi="Arial Unicode MS" w:eastAsia="Arial Unicode MS" w:cs="Arial Unicode MS"/>
                    <w:b/>
                    <w:sz w:val="20"/>
                    <w:szCs w:val="20"/>
                  </w:rPr>
                  <w:t>☐</w:t>
                </w:r>
              </w:sdtContent>
            </w:sdt>
          </w:p>
        </w:tc>
        <w:tc>
          <w:tcPr>
            <w:tcW w:w="558" w:type="dxa"/>
            <w:shd w:val="clear" w:color="auto" w:fill="auto"/>
            <w:vAlign w:val="center"/>
          </w:tcPr>
          <w:p w:rsidR="005A63D1" w:rsidRDefault="00DB5899" w14:paraId="0000035A" w14:textId="77777777">
            <w:pPr>
              <w:pStyle w:val="Normal2"/>
              <w:jc w:val="center"/>
              <w:rPr>
                <w:sz w:val="20"/>
                <w:szCs w:val="20"/>
              </w:rPr>
            </w:pPr>
            <w:sdt>
              <w:sdtPr>
                <w:tag w:val="goog_rdk_47"/>
                <w:id w:val="80728531"/>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35B" w14:textId="77777777">
            <w:pPr>
              <w:pStyle w:val="Normal2"/>
              <w:spacing w:after="0" w:line="276" w:lineRule="auto"/>
              <w:ind w:left="-30" w:firstLine="0"/>
              <w:jc w:val="center"/>
              <w:rPr>
                <w:sz w:val="20"/>
                <w:szCs w:val="20"/>
              </w:rPr>
            </w:pPr>
            <w:r>
              <w:t>☒</w:t>
            </w:r>
          </w:p>
        </w:tc>
      </w:tr>
      <w:tr w:rsidR="005A63D1" w14:paraId="5D3F63B0" w14:textId="77777777">
        <w:tc>
          <w:tcPr>
            <w:tcW w:w="7644" w:type="dxa"/>
            <w:shd w:val="clear" w:color="auto" w:fill="auto"/>
            <w:vAlign w:val="center"/>
          </w:tcPr>
          <w:p w:rsidR="005A63D1" w:rsidRDefault="00DB5899" w14:paraId="0000035C" w14:textId="77777777">
            <w:pPr>
              <w:pStyle w:val="Normal2"/>
              <w:rPr>
                <w:sz w:val="20"/>
                <w:szCs w:val="20"/>
                <w:highlight w:val="yellow"/>
              </w:rPr>
            </w:pPr>
            <w:r>
              <w:rPr>
                <w:sz w:val="20"/>
                <w:szCs w:val="20"/>
              </w:rPr>
              <w:t>Is the target population carrying out self-adaptation?</w:t>
            </w:r>
          </w:p>
        </w:tc>
        <w:tc>
          <w:tcPr>
            <w:tcW w:w="541" w:type="dxa"/>
            <w:shd w:val="clear" w:color="auto" w:fill="auto"/>
            <w:vAlign w:val="center"/>
          </w:tcPr>
          <w:p w:rsidR="005A63D1" w:rsidRDefault="00DB5899" w14:paraId="0000035D" w14:textId="77777777">
            <w:pPr>
              <w:pStyle w:val="Normal2"/>
              <w:jc w:val="center"/>
              <w:rPr>
                <w:sz w:val="20"/>
                <w:szCs w:val="20"/>
              </w:rPr>
            </w:pPr>
            <w:sdt>
              <w:sdtPr>
                <w:tag w:val="goog_rdk_48"/>
                <w:id w:val="1067106267"/>
              </w:sdtPr>
              <w:sdtEndPr/>
              <w:sdtContent>
                <w:r>
                  <w:rPr>
                    <w:rFonts w:ascii="Arial Unicode MS" w:hAnsi="Arial Unicode MS" w:eastAsia="Arial Unicode MS" w:cs="Arial Unicode MS"/>
                    <w:b/>
                    <w:sz w:val="20"/>
                    <w:szCs w:val="20"/>
                  </w:rPr>
                  <w:t>☐</w:t>
                </w:r>
              </w:sdtContent>
            </w:sdt>
          </w:p>
        </w:tc>
        <w:tc>
          <w:tcPr>
            <w:tcW w:w="558" w:type="dxa"/>
            <w:shd w:val="clear" w:color="auto" w:fill="auto"/>
            <w:vAlign w:val="center"/>
          </w:tcPr>
          <w:p w:rsidR="005A63D1" w:rsidRDefault="00DB5899" w14:paraId="0000035E" w14:textId="77777777">
            <w:pPr>
              <w:pStyle w:val="Normal2"/>
              <w:jc w:val="center"/>
              <w:rPr>
                <w:sz w:val="20"/>
                <w:szCs w:val="20"/>
              </w:rPr>
            </w:pPr>
            <w:sdt>
              <w:sdtPr>
                <w:tag w:val="goog_rdk_49"/>
                <w:id w:val="1175085294"/>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35F" w14:textId="77777777">
            <w:pPr>
              <w:pStyle w:val="Normal2"/>
              <w:spacing w:after="0" w:line="276" w:lineRule="auto"/>
              <w:ind w:left="-30" w:firstLine="0"/>
              <w:jc w:val="center"/>
              <w:rPr>
                <w:sz w:val="20"/>
                <w:szCs w:val="20"/>
              </w:rPr>
            </w:pPr>
            <w:r>
              <w:t>☒</w:t>
            </w:r>
          </w:p>
        </w:tc>
      </w:tr>
      <w:tr w:rsidR="005A63D1" w14:paraId="0775524E" w14:textId="77777777">
        <w:tc>
          <w:tcPr>
            <w:tcW w:w="7644" w:type="dxa"/>
            <w:shd w:val="clear" w:color="auto" w:fill="auto"/>
            <w:vAlign w:val="center"/>
          </w:tcPr>
          <w:p w:rsidR="005A63D1" w:rsidRDefault="00DB5899" w14:paraId="00000360" w14:textId="77777777">
            <w:pPr>
              <w:pStyle w:val="Normal2"/>
              <w:rPr>
                <w:sz w:val="20"/>
                <w:szCs w:val="20"/>
              </w:rPr>
            </w:pPr>
            <w:r>
              <w:rPr>
                <w:sz w:val="20"/>
                <w:szCs w:val="20"/>
              </w:rPr>
              <w:t>Do policies exist that make financial credit, loans and agricultural insurance available?</w:t>
            </w:r>
          </w:p>
        </w:tc>
        <w:tc>
          <w:tcPr>
            <w:tcW w:w="541" w:type="dxa"/>
            <w:shd w:val="clear" w:color="auto" w:fill="auto"/>
            <w:vAlign w:val="center"/>
          </w:tcPr>
          <w:p w:rsidR="005A63D1" w:rsidRDefault="00DB5899" w14:paraId="00000361" w14:textId="77777777">
            <w:pPr>
              <w:pStyle w:val="Normal2"/>
              <w:jc w:val="center"/>
              <w:rPr>
                <w:sz w:val="20"/>
                <w:szCs w:val="20"/>
              </w:rPr>
            </w:pPr>
            <w:sdt>
              <w:sdtPr>
                <w:tag w:val="goog_rdk_50"/>
                <w:id w:val="366338491"/>
              </w:sdtPr>
              <w:sdtEndPr/>
              <w:sdtContent>
                <w:r>
                  <w:rPr>
                    <w:rFonts w:ascii="Arial Unicode MS" w:hAnsi="Arial Unicode MS" w:eastAsia="Arial Unicode MS" w:cs="Arial Unicode MS"/>
                    <w:b/>
                    <w:sz w:val="20"/>
                    <w:szCs w:val="20"/>
                  </w:rPr>
                  <w:t>☐</w:t>
                </w:r>
              </w:sdtContent>
            </w:sdt>
          </w:p>
        </w:tc>
        <w:tc>
          <w:tcPr>
            <w:tcW w:w="558" w:type="dxa"/>
            <w:shd w:val="clear" w:color="auto" w:fill="auto"/>
            <w:vAlign w:val="center"/>
          </w:tcPr>
          <w:p w:rsidR="005A63D1" w:rsidRDefault="00DB5899" w14:paraId="00000362" w14:textId="77777777">
            <w:pPr>
              <w:pStyle w:val="Normal2"/>
              <w:spacing w:after="0" w:line="276" w:lineRule="auto"/>
              <w:ind w:left="-30" w:firstLine="0"/>
              <w:jc w:val="center"/>
              <w:rPr>
                <w:sz w:val="20"/>
                <w:szCs w:val="20"/>
              </w:rPr>
            </w:pPr>
            <w:r>
              <w:t>☒</w:t>
            </w:r>
          </w:p>
        </w:tc>
        <w:tc>
          <w:tcPr>
            <w:tcW w:w="607" w:type="dxa"/>
            <w:shd w:val="clear" w:color="auto" w:fill="auto"/>
            <w:vAlign w:val="center"/>
          </w:tcPr>
          <w:p w:rsidR="005A63D1" w:rsidRDefault="00DB5899" w14:paraId="00000363" w14:textId="77777777">
            <w:pPr>
              <w:pStyle w:val="Normal2"/>
              <w:jc w:val="center"/>
              <w:rPr>
                <w:sz w:val="20"/>
                <w:szCs w:val="20"/>
              </w:rPr>
            </w:pPr>
            <w:sdt>
              <w:sdtPr>
                <w:tag w:val="goog_rdk_51"/>
                <w:id w:val="573881993"/>
              </w:sdtPr>
              <w:sdtEndPr/>
              <w:sdtContent>
                <w:r>
                  <w:rPr>
                    <w:rFonts w:ascii="Arial Unicode MS" w:hAnsi="Arial Unicode MS" w:eastAsia="Arial Unicode MS" w:cs="Arial Unicode MS"/>
                    <w:b/>
                    <w:sz w:val="20"/>
                    <w:szCs w:val="20"/>
                  </w:rPr>
                  <w:t>☐</w:t>
                </w:r>
              </w:sdtContent>
            </w:sdt>
          </w:p>
        </w:tc>
      </w:tr>
      <w:tr w:rsidR="005A63D1" w14:paraId="4BC5E83D" w14:textId="77777777">
        <w:tc>
          <w:tcPr>
            <w:tcW w:w="7644" w:type="dxa"/>
            <w:shd w:val="clear" w:color="auto" w:fill="BF8F00"/>
          </w:tcPr>
          <w:p w:rsidR="005A63D1" w:rsidRDefault="00DB5899" w14:paraId="00000364" w14:textId="77777777">
            <w:pPr>
              <w:pStyle w:val="Normal2"/>
              <w:rPr>
                <w:color w:val="FFFFFF"/>
                <w:sz w:val="20"/>
                <w:szCs w:val="20"/>
              </w:rPr>
            </w:pPr>
            <w:r>
              <w:rPr>
                <w:color w:val="FFFFFF"/>
                <w:sz w:val="20"/>
                <w:szCs w:val="20"/>
              </w:rPr>
              <w:t>Project Modulation of Risks Guiding Questions:</w:t>
            </w:r>
          </w:p>
        </w:tc>
        <w:tc>
          <w:tcPr>
            <w:tcW w:w="541" w:type="dxa"/>
            <w:shd w:val="clear" w:color="auto" w:fill="BF8F00"/>
            <w:vAlign w:val="center"/>
          </w:tcPr>
          <w:p w:rsidR="005A63D1" w:rsidRDefault="00DB5899" w14:paraId="00000365" w14:textId="77777777">
            <w:pPr>
              <w:pStyle w:val="Normal2"/>
              <w:jc w:val="center"/>
              <w:rPr>
                <w:b/>
                <w:color w:val="FFFFFF"/>
                <w:sz w:val="20"/>
                <w:szCs w:val="20"/>
              </w:rPr>
            </w:pPr>
            <w:r>
              <w:rPr>
                <w:b/>
                <w:color w:val="FFFFFF"/>
                <w:sz w:val="20"/>
                <w:szCs w:val="20"/>
              </w:rPr>
              <w:t>Yes</w:t>
            </w:r>
          </w:p>
        </w:tc>
        <w:tc>
          <w:tcPr>
            <w:tcW w:w="558" w:type="dxa"/>
            <w:shd w:val="clear" w:color="auto" w:fill="BF8F00"/>
            <w:vAlign w:val="center"/>
          </w:tcPr>
          <w:p w:rsidR="005A63D1" w:rsidRDefault="00DB5899" w14:paraId="00000366" w14:textId="77777777">
            <w:pPr>
              <w:pStyle w:val="Normal2"/>
              <w:jc w:val="center"/>
              <w:rPr>
                <w:b/>
                <w:color w:val="FFFFFF"/>
                <w:sz w:val="20"/>
                <w:szCs w:val="20"/>
              </w:rPr>
            </w:pPr>
            <w:r>
              <w:rPr>
                <w:b/>
                <w:color w:val="FFFFFF"/>
                <w:sz w:val="20"/>
                <w:szCs w:val="20"/>
              </w:rPr>
              <w:t>No</w:t>
            </w:r>
          </w:p>
        </w:tc>
        <w:tc>
          <w:tcPr>
            <w:tcW w:w="607" w:type="dxa"/>
            <w:shd w:val="clear" w:color="auto" w:fill="BF8F00"/>
            <w:vAlign w:val="center"/>
          </w:tcPr>
          <w:p w:rsidR="005A63D1" w:rsidRDefault="00DB5899" w14:paraId="00000367" w14:textId="77777777">
            <w:pPr>
              <w:pStyle w:val="Normal2"/>
              <w:jc w:val="center"/>
              <w:rPr>
                <w:b/>
                <w:color w:val="FFFFFF"/>
                <w:sz w:val="20"/>
                <w:szCs w:val="20"/>
              </w:rPr>
            </w:pPr>
            <w:r>
              <w:rPr>
                <w:b/>
                <w:color w:val="FFFFFF"/>
                <w:sz w:val="20"/>
                <w:szCs w:val="20"/>
              </w:rPr>
              <w:t>TBD</w:t>
            </w:r>
          </w:p>
        </w:tc>
      </w:tr>
      <w:tr w:rsidR="005A63D1" w14:paraId="59E4D899" w14:textId="77777777">
        <w:tc>
          <w:tcPr>
            <w:tcW w:w="8743" w:type="dxa"/>
            <w:gridSpan w:val="3"/>
            <w:shd w:val="clear" w:color="auto" w:fill="FFD965"/>
          </w:tcPr>
          <w:p w:rsidR="005A63D1" w:rsidRDefault="00DB5899" w14:paraId="00000368" w14:textId="77777777">
            <w:pPr>
              <w:pStyle w:val="Normal2"/>
              <w:numPr>
                <w:ilvl w:val="0"/>
                <w:numId w:val="12"/>
              </w:numPr>
              <w:pBdr>
                <w:top w:val="nil"/>
                <w:left w:val="nil"/>
                <w:bottom w:val="nil"/>
                <w:right w:val="nil"/>
                <w:between w:val="nil"/>
              </w:pBdr>
              <w:spacing w:after="0"/>
              <w:rPr>
                <w:sz w:val="20"/>
                <w:szCs w:val="20"/>
              </w:rPr>
            </w:pPr>
            <w:r>
              <w:rPr>
                <w:sz w:val="20"/>
                <w:szCs w:val="20"/>
              </w:rPr>
              <w:t>Policies and planning</w:t>
            </w:r>
          </w:p>
        </w:tc>
        <w:tc>
          <w:tcPr>
            <w:tcW w:w="607" w:type="dxa"/>
            <w:shd w:val="clear" w:color="auto" w:fill="FFD965"/>
          </w:tcPr>
          <w:p w:rsidR="005A63D1" w:rsidRDefault="005A63D1" w14:paraId="0000036B" w14:textId="77777777">
            <w:pPr>
              <w:pStyle w:val="Normal2"/>
              <w:pBdr>
                <w:top w:val="nil"/>
                <w:left w:val="nil"/>
                <w:bottom w:val="nil"/>
                <w:right w:val="nil"/>
                <w:between w:val="nil"/>
              </w:pBdr>
              <w:rPr>
                <w:sz w:val="20"/>
                <w:szCs w:val="20"/>
              </w:rPr>
            </w:pPr>
          </w:p>
        </w:tc>
      </w:tr>
      <w:tr w:rsidR="005A63D1" w14:paraId="034D0292" w14:textId="77777777">
        <w:trPr>
          <w:trHeight w:val="287"/>
        </w:trPr>
        <w:tc>
          <w:tcPr>
            <w:tcW w:w="7644" w:type="dxa"/>
            <w:shd w:val="clear" w:color="auto" w:fill="auto"/>
          </w:tcPr>
          <w:p w:rsidR="005A63D1" w:rsidRDefault="00DB5899" w14:paraId="0000036C" w14:textId="77777777">
            <w:pPr>
              <w:pStyle w:val="Normal2"/>
              <w:rPr>
                <w:sz w:val="20"/>
                <w:szCs w:val="20"/>
              </w:rPr>
            </w:pPr>
            <w:r>
              <w:rPr>
                <w:sz w:val="20"/>
                <w:szCs w:val="20"/>
              </w:rPr>
              <w:t>Does the project support the integration of climate into national policies and planning?</w:t>
            </w:r>
          </w:p>
        </w:tc>
        <w:tc>
          <w:tcPr>
            <w:tcW w:w="541" w:type="dxa"/>
            <w:shd w:val="clear" w:color="auto" w:fill="auto"/>
            <w:vAlign w:val="center"/>
          </w:tcPr>
          <w:p w:rsidR="005A63D1" w:rsidRDefault="00DB5899" w14:paraId="0000036D" w14:textId="77777777">
            <w:pPr>
              <w:pStyle w:val="Normal2"/>
              <w:spacing w:after="0" w:line="276" w:lineRule="auto"/>
              <w:ind w:left="-30" w:firstLine="0"/>
              <w:jc w:val="center"/>
              <w:rPr>
                <w:sz w:val="20"/>
                <w:szCs w:val="20"/>
                <w:highlight w:val="green"/>
              </w:rPr>
            </w:pPr>
            <w:r>
              <w:t>☒</w:t>
            </w:r>
          </w:p>
        </w:tc>
        <w:tc>
          <w:tcPr>
            <w:tcW w:w="558" w:type="dxa"/>
            <w:shd w:val="clear" w:color="auto" w:fill="auto"/>
            <w:vAlign w:val="center"/>
          </w:tcPr>
          <w:p w:rsidR="005A63D1" w:rsidRDefault="00DB5899" w14:paraId="0000036E" w14:textId="77777777">
            <w:pPr>
              <w:pStyle w:val="Normal2"/>
              <w:jc w:val="center"/>
              <w:rPr>
                <w:sz w:val="20"/>
                <w:szCs w:val="20"/>
              </w:rPr>
            </w:pPr>
            <w:r>
              <w:rPr>
                <w:rFonts w:ascii="MS Gothic" w:hAnsi="MS Gothic" w:eastAsia="MS Gothic" w:cs="MS Gothic"/>
                <w:b/>
                <w:sz w:val="20"/>
                <w:szCs w:val="20"/>
              </w:rPr>
              <w:t>☐</w:t>
            </w:r>
          </w:p>
        </w:tc>
        <w:tc>
          <w:tcPr>
            <w:tcW w:w="607" w:type="dxa"/>
            <w:shd w:val="clear" w:color="auto" w:fill="auto"/>
            <w:vAlign w:val="center"/>
          </w:tcPr>
          <w:p w:rsidR="005A63D1" w:rsidRDefault="00DB5899" w14:paraId="0000036F" w14:textId="77777777">
            <w:pPr>
              <w:pStyle w:val="Normal2"/>
              <w:jc w:val="center"/>
              <w:rPr>
                <w:sz w:val="20"/>
                <w:szCs w:val="20"/>
              </w:rPr>
            </w:pPr>
            <w:r>
              <w:rPr>
                <w:rFonts w:ascii="MS Gothic" w:hAnsi="MS Gothic" w:eastAsia="MS Gothic" w:cs="MS Gothic"/>
                <w:b/>
                <w:sz w:val="20"/>
                <w:szCs w:val="20"/>
              </w:rPr>
              <w:t>☐</w:t>
            </w:r>
          </w:p>
        </w:tc>
      </w:tr>
      <w:tr w:rsidR="005A63D1" w14:paraId="6764D88C" w14:textId="77777777">
        <w:tc>
          <w:tcPr>
            <w:tcW w:w="7644" w:type="dxa"/>
            <w:shd w:val="clear" w:color="auto" w:fill="auto"/>
          </w:tcPr>
          <w:p w:rsidR="005A63D1" w:rsidRDefault="00DB5899" w14:paraId="00000370" w14:textId="77777777">
            <w:pPr>
              <w:pStyle w:val="Normal2"/>
              <w:rPr>
                <w:sz w:val="20"/>
                <w:szCs w:val="20"/>
              </w:rPr>
            </w:pPr>
            <w:r>
              <w:rPr>
                <w:sz w:val="20"/>
                <w:szCs w:val="20"/>
              </w:rPr>
              <w:t>Does the project support the increased use of climate data and information in national long term and strategic planning?</w:t>
            </w:r>
          </w:p>
        </w:tc>
        <w:tc>
          <w:tcPr>
            <w:tcW w:w="541" w:type="dxa"/>
            <w:shd w:val="clear" w:color="auto" w:fill="auto"/>
            <w:vAlign w:val="center"/>
          </w:tcPr>
          <w:p w:rsidR="005A63D1" w:rsidRDefault="00DB5899" w14:paraId="00000371" w14:textId="77777777">
            <w:pPr>
              <w:pStyle w:val="Normal2"/>
              <w:spacing w:after="0" w:line="276" w:lineRule="auto"/>
              <w:ind w:left="-30" w:firstLine="0"/>
              <w:jc w:val="center"/>
              <w:rPr>
                <w:sz w:val="20"/>
                <w:szCs w:val="20"/>
                <w:highlight w:val="green"/>
              </w:rPr>
            </w:pPr>
            <w:r>
              <w:t>☒</w:t>
            </w:r>
          </w:p>
        </w:tc>
        <w:tc>
          <w:tcPr>
            <w:tcW w:w="558" w:type="dxa"/>
            <w:shd w:val="clear" w:color="auto" w:fill="auto"/>
            <w:vAlign w:val="center"/>
          </w:tcPr>
          <w:p w:rsidR="005A63D1" w:rsidRDefault="00DB5899" w14:paraId="00000372" w14:textId="77777777">
            <w:pPr>
              <w:pStyle w:val="Normal2"/>
              <w:jc w:val="center"/>
              <w:rPr>
                <w:sz w:val="20"/>
                <w:szCs w:val="20"/>
              </w:rPr>
            </w:pPr>
            <w:sdt>
              <w:sdtPr>
                <w:tag w:val="goog_rdk_52"/>
                <w:id w:val="924291988"/>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373" w14:textId="77777777">
            <w:pPr>
              <w:pStyle w:val="Normal2"/>
              <w:jc w:val="center"/>
              <w:rPr>
                <w:sz w:val="20"/>
                <w:szCs w:val="20"/>
              </w:rPr>
            </w:pPr>
            <w:sdt>
              <w:sdtPr>
                <w:tag w:val="goog_rdk_53"/>
                <w:id w:val="513772062"/>
              </w:sdtPr>
              <w:sdtEndPr/>
              <w:sdtContent>
                <w:r>
                  <w:rPr>
                    <w:rFonts w:ascii="Arial Unicode MS" w:hAnsi="Arial Unicode MS" w:eastAsia="Arial Unicode MS" w:cs="Arial Unicode MS"/>
                    <w:b/>
                    <w:sz w:val="20"/>
                    <w:szCs w:val="20"/>
                  </w:rPr>
                  <w:t>☐</w:t>
                </w:r>
              </w:sdtContent>
            </w:sdt>
          </w:p>
        </w:tc>
      </w:tr>
      <w:tr w:rsidR="005A63D1" w14:paraId="76B22F0B" w14:textId="77777777">
        <w:tc>
          <w:tcPr>
            <w:tcW w:w="8743" w:type="dxa"/>
            <w:gridSpan w:val="3"/>
            <w:shd w:val="clear" w:color="auto" w:fill="FFD965"/>
          </w:tcPr>
          <w:p w:rsidR="005A63D1" w:rsidRDefault="00DB5899" w14:paraId="00000374" w14:textId="77777777">
            <w:pPr>
              <w:pStyle w:val="Normal2"/>
              <w:numPr>
                <w:ilvl w:val="0"/>
                <w:numId w:val="12"/>
              </w:numPr>
              <w:pBdr>
                <w:top w:val="nil"/>
                <w:left w:val="nil"/>
                <w:bottom w:val="nil"/>
                <w:right w:val="nil"/>
                <w:between w:val="nil"/>
              </w:pBdr>
              <w:spacing w:after="0"/>
              <w:rPr>
                <w:sz w:val="20"/>
                <w:szCs w:val="20"/>
              </w:rPr>
            </w:pPr>
            <w:r>
              <w:rPr>
                <w:sz w:val="20"/>
                <w:szCs w:val="20"/>
              </w:rPr>
              <w:t>Capacity building, training and outreach</w:t>
            </w:r>
          </w:p>
        </w:tc>
        <w:tc>
          <w:tcPr>
            <w:tcW w:w="607" w:type="dxa"/>
            <w:shd w:val="clear" w:color="auto" w:fill="FFD965"/>
          </w:tcPr>
          <w:p w:rsidR="005A63D1" w:rsidRDefault="005A63D1" w14:paraId="00000377" w14:textId="77777777">
            <w:pPr>
              <w:pStyle w:val="Normal2"/>
              <w:pBdr>
                <w:top w:val="nil"/>
                <w:left w:val="nil"/>
                <w:bottom w:val="nil"/>
                <w:right w:val="nil"/>
                <w:between w:val="nil"/>
              </w:pBdr>
              <w:rPr>
                <w:sz w:val="20"/>
                <w:szCs w:val="20"/>
              </w:rPr>
            </w:pPr>
          </w:p>
        </w:tc>
      </w:tr>
      <w:tr w:rsidR="005A63D1" w14:paraId="32A1667D" w14:textId="77777777">
        <w:tc>
          <w:tcPr>
            <w:tcW w:w="7644" w:type="dxa"/>
            <w:shd w:val="clear" w:color="auto" w:fill="auto"/>
          </w:tcPr>
          <w:p w:rsidR="005A63D1" w:rsidRDefault="00DB5899" w14:paraId="00000378" w14:textId="77777777">
            <w:pPr>
              <w:pStyle w:val="Normal2"/>
              <w:rPr>
                <w:sz w:val="20"/>
                <w:szCs w:val="20"/>
              </w:rPr>
            </w:pPr>
            <w:r>
              <w:rPr>
                <w:sz w:val="20"/>
                <w:szCs w:val="20"/>
              </w:rPr>
              <w:t>Would the project invest in institutional development and capacity-building for national institutions involved in climate related activities?</w:t>
            </w:r>
          </w:p>
        </w:tc>
        <w:tc>
          <w:tcPr>
            <w:tcW w:w="541" w:type="dxa"/>
            <w:shd w:val="clear" w:color="auto" w:fill="auto"/>
            <w:vAlign w:val="center"/>
          </w:tcPr>
          <w:p w:rsidR="005A63D1" w:rsidRDefault="00DB5899" w14:paraId="00000379"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37A" w14:textId="77777777">
            <w:pPr>
              <w:pStyle w:val="Normal2"/>
              <w:jc w:val="center"/>
              <w:rPr>
                <w:sz w:val="20"/>
                <w:szCs w:val="20"/>
              </w:rPr>
            </w:pPr>
            <w:sdt>
              <w:sdtPr>
                <w:tag w:val="goog_rdk_54"/>
                <w:id w:val="657582703"/>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37B" w14:textId="77777777">
            <w:pPr>
              <w:pStyle w:val="Normal2"/>
              <w:jc w:val="center"/>
              <w:rPr>
                <w:sz w:val="20"/>
                <w:szCs w:val="20"/>
              </w:rPr>
            </w:pPr>
            <w:r>
              <w:rPr>
                <w:rFonts w:ascii="MS Gothic" w:hAnsi="MS Gothic" w:eastAsia="MS Gothic" w:cs="MS Gothic"/>
                <w:b/>
                <w:sz w:val="20"/>
                <w:szCs w:val="20"/>
              </w:rPr>
              <w:t>☐</w:t>
            </w:r>
          </w:p>
        </w:tc>
      </w:tr>
      <w:tr w:rsidR="005A63D1" w14:paraId="4CAAE1C4" w14:textId="77777777">
        <w:tc>
          <w:tcPr>
            <w:tcW w:w="7644" w:type="dxa"/>
            <w:shd w:val="clear" w:color="auto" w:fill="auto"/>
          </w:tcPr>
          <w:p w:rsidR="005A63D1" w:rsidRDefault="00DB5899" w14:paraId="0000037C" w14:textId="77777777">
            <w:pPr>
              <w:pStyle w:val="Normal2"/>
              <w:rPr>
                <w:sz w:val="20"/>
                <w:szCs w:val="20"/>
              </w:rPr>
            </w:pPr>
            <w:r>
              <w:rPr>
                <w:sz w:val="20"/>
                <w:szCs w:val="20"/>
              </w:rPr>
              <w:t>Would the project invest in increased information and dissemination of climate-related information to target groups?</w:t>
            </w:r>
          </w:p>
        </w:tc>
        <w:tc>
          <w:tcPr>
            <w:tcW w:w="541" w:type="dxa"/>
            <w:shd w:val="clear" w:color="auto" w:fill="auto"/>
            <w:vAlign w:val="center"/>
          </w:tcPr>
          <w:p w:rsidR="005A63D1" w:rsidRDefault="00DB5899" w14:paraId="0000037D"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37E" w14:textId="77777777">
            <w:pPr>
              <w:pStyle w:val="Normal2"/>
              <w:jc w:val="center"/>
              <w:rPr>
                <w:sz w:val="20"/>
                <w:szCs w:val="20"/>
              </w:rPr>
            </w:pPr>
            <w:r>
              <w:rPr>
                <w:rFonts w:ascii="MS Gothic" w:hAnsi="MS Gothic" w:eastAsia="MS Gothic" w:cs="MS Gothic"/>
                <w:b/>
                <w:sz w:val="20"/>
                <w:szCs w:val="20"/>
              </w:rPr>
              <w:t>☐</w:t>
            </w:r>
          </w:p>
        </w:tc>
        <w:tc>
          <w:tcPr>
            <w:tcW w:w="607" w:type="dxa"/>
            <w:shd w:val="clear" w:color="auto" w:fill="auto"/>
            <w:vAlign w:val="center"/>
          </w:tcPr>
          <w:p w:rsidR="005A63D1" w:rsidRDefault="00DB5899" w14:paraId="0000037F" w14:textId="77777777">
            <w:pPr>
              <w:pStyle w:val="Normal2"/>
              <w:jc w:val="center"/>
              <w:rPr>
                <w:sz w:val="20"/>
                <w:szCs w:val="20"/>
              </w:rPr>
            </w:pPr>
            <w:r>
              <w:rPr>
                <w:rFonts w:ascii="MS Gothic" w:hAnsi="MS Gothic" w:eastAsia="MS Gothic" w:cs="MS Gothic"/>
                <w:b/>
                <w:sz w:val="20"/>
                <w:szCs w:val="20"/>
              </w:rPr>
              <w:t>☐</w:t>
            </w:r>
          </w:p>
        </w:tc>
      </w:tr>
      <w:tr w:rsidR="005A63D1" w14:paraId="0FD8DB6E" w14:textId="77777777">
        <w:trPr>
          <w:trHeight w:val="350"/>
        </w:trPr>
        <w:tc>
          <w:tcPr>
            <w:tcW w:w="7644" w:type="dxa"/>
            <w:shd w:val="clear" w:color="auto" w:fill="auto"/>
          </w:tcPr>
          <w:p w:rsidR="005A63D1" w:rsidRDefault="00DB5899" w14:paraId="00000380" w14:textId="77777777">
            <w:pPr>
              <w:pStyle w:val="Normal2"/>
              <w:rPr>
                <w:sz w:val="20"/>
                <w:szCs w:val="20"/>
              </w:rPr>
            </w:pPr>
            <w:r>
              <w:rPr>
                <w:sz w:val="20"/>
                <w:szCs w:val="20"/>
              </w:rPr>
              <w:t>Does the project have opportunities to strengthen rural and indigenous climate risk management capabilities?</w:t>
            </w:r>
          </w:p>
        </w:tc>
        <w:tc>
          <w:tcPr>
            <w:tcW w:w="541" w:type="dxa"/>
            <w:shd w:val="clear" w:color="auto" w:fill="auto"/>
            <w:vAlign w:val="center"/>
          </w:tcPr>
          <w:p w:rsidR="005A63D1" w:rsidRDefault="00DB5899" w14:paraId="00000381"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382" w14:textId="77777777">
            <w:pPr>
              <w:pStyle w:val="Normal2"/>
              <w:jc w:val="center"/>
              <w:rPr>
                <w:sz w:val="20"/>
                <w:szCs w:val="20"/>
              </w:rPr>
            </w:pPr>
            <w:sdt>
              <w:sdtPr>
                <w:tag w:val="goog_rdk_55"/>
                <w:id w:val="762460624"/>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383" w14:textId="77777777">
            <w:pPr>
              <w:pStyle w:val="Normal2"/>
              <w:jc w:val="center"/>
              <w:rPr>
                <w:sz w:val="20"/>
                <w:szCs w:val="20"/>
              </w:rPr>
            </w:pPr>
            <w:sdt>
              <w:sdtPr>
                <w:tag w:val="goog_rdk_56"/>
                <w:id w:val="934831678"/>
              </w:sdtPr>
              <w:sdtEndPr/>
              <w:sdtContent>
                <w:r>
                  <w:rPr>
                    <w:rFonts w:ascii="Arial Unicode MS" w:hAnsi="Arial Unicode MS" w:eastAsia="Arial Unicode MS" w:cs="Arial Unicode MS"/>
                    <w:b/>
                    <w:sz w:val="20"/>
                    <w:szCs w:val="20"/>
                  </w:rPr>
                  <w:t>☐</w:t>
                </w:r>
              </w:sdtContent>
            </w:sdt>
          </w:p>
        </w:tc>
      </w:tr>
      <w:tr w:rsidR="005A63D1" w14:paraId="770E2FEB" w14:textId="77777777">
        <w:tc>
          <w:tcPr>
            <w:tcW w:w="7644" w:type="dxa"/>
            <w:shd w:val="clear" w:color="auto" w:fill="auto"/>
          </w:tcPr>
          <w:p w:rsidR="005A63D1" w:rsidRDefault="00DB5899" w14:paraId="00000384" w14:textId="77777777">
            <w:pPr>
              <w:pStyle w:val="Normal2"/>
              <w:rPr>
                <w:sz w:val="20"/>
                <w:szCs w:val="20"/>
              </w:rPr>
            </w:pPr>
            <w:r>
              <w:rPr>
                <w:sz w:val="20"/>
                <w:szCs w:val="20"/>
              </w:rPr>
              <w:t>Does the project support the capacity of target groups to utilize and apply climate services at the farm level?</w:t>
            </w:r>
          </w:p>
        </w:tc>
        <w:tc>
          <w:tcPr>
            <w:tcW w:w="541" w:type="dxa"/>
            <w:shd w:val="clear" w:color="auto" w:fill="auto"/>
            <w:vAlign w:val="center"/>
          </w:tcPr>
          <w:p w:rsidR="005A63D1" w:rsidRDefault="00DB5899" w14:paraId="00000385" w14:textId="77777777">
            <w:pPr>
              <w:pStyle w:val="Normal2"/>
              <w:jc w:val="center"/>
              <w:rPr>
                <w:sz w:val="20"/>
                <w:szCs w:val="20"/>
              </w:rPr>
            </w:pPr>
            <w:r>
              <w:rPr>
                <w:rFonts w:ascii="MS Gothic" w:hAnsi="MS Gothic" w:eastAsia="MS Gothic" w:cs="MS Gothic"/>
                <w:b/>
                <w:sz w:val="20"/>
                <w:szCs w:val="20"/>
              </w:rPr>
              <w:t>☐</w:t>
            </w:r>
          </w:p>
        </w:tc>
        <w:tc>
          <w:tcPr>
            <w:tcW w:w="558" w:type="dxa"/>
            <w:shd w:val="clear" w:color="auto" w:fill="auto"/>
            <w:vAlign w:val="center"/>
          </w:tcPr>
          <w:p w:rsidR="005A63D1" w:rsidRDefault="00DB5899" w14:paraId="00000386" w14:textId="77777777">
            <w:pPr>
              <w:pStyle w:val="Normal2"/>
              <w:spacing w:after="0" w:line="276" w:lineRule="auto"/>
              <w:ind w:left="-30" w:firstLine="0"/>
              <w:jc w:val="center"/>
              <w:rPr>
                <w:sz w:val="20"/>
                <w:szCs w:val="20"/>
              </w:rPr>
            </w:pPr>
            <w:r>
              <w:t>☒</w:t>
            </w:r>
          </w:p>
        </w:tc>
        <w:tc>
          <w:tcPr>
            <w:tcW w:w="607" w:type="dxa"/>
            <w:shd w:val="clear" w:color="auto" w:fill="auto"/>
            <w:vAlign w:val="center"/>
          </w:tcPr>
          <w:p w:rsidR="005A63D1" w:rsidRDefault="00DB5899" w14:paraId="00000387" w14:textId="77777777">
            <w:pPr>
              <w:pStyle w:val="Normal2"/>
              <w:jc w:val="center"/>
              <w:rPr>
                <w:sz w:val="20"/>
                <w:szCs w:val="20"/>
              </w:rPr>
            </w:pPr>
            <w:r>
              <w:rPr>
                <w:rFonts w:ascii="MS Gothic" w:hAnsi="MS Gothic" w:eastAsia="MS Gothic" w:cs="MS Gothic"/>
                <w:b/>
                <w:sz w:val="20"/>
                <w:szCs w:val="20"/>
              </w:rPr>
              <w:t>☐</w:t>
            </w:r>
          </w:p>
        </w:tc>
      </w:tr>
      <w:tr w:rsidR="005A63D1" w14:paraId="3D81CB68" w14:textId="77777777">
        <w:tc>
          <w:tcPr>
            <w:tcW w:w="8743" w:type="dxa"/>
            <w:gridSpan w:val="3"/>
            <w:shd w:val="clear" w:color="auto" w:fill="FFD965"/>
          </w:tcPr>
          <w:p w:rsidR="005A63D1" w:rsidRDefault="00DB5899" w14:paraId="00000388" w14:textId="77777777">
            <w:pPr>
              <w:pStyle w:val="Normal2"/>
              <w:numPr>
                <w:ilvl w:val="0"/>
                <w:numId w:val="12"/>
              </w:numPr>
              <w:pBdr>
                <w:top w:val="nil"/>
                <w:left w:val="nil"/>
                <w:bottom w:val="nil"/>
                <w:right w:val="nil"/>
                <w:between w:val="nil"/>
              </w:pBdr>
              <w:spacing w:after="0"/>
              <w:rPr>
                <w:sz w:val="20"/>
                <w:szCs w:val="20"/>
              </w:rPr>
            </w:pPr>
            <w:r>
              <w:rPr>
                <w:sz w:val="20"/>
                <w:szCs w:val="20"/>
              </w:rPr>
              <w:t>Data gathering, monitoring and information management</w:t>
            </w:r>
          </w:p>
        </w:tc>
        <w:tc>
          <w:tcPr>
            <w:tcW w:w="607" w:type="dxa"/>
            <w:shd w:val="clear" w:color="auto" w:fill="FFD965"/>
          </w:tcPr>
          <w:p w:rsidR="005A63D1" w:rsidRDefault="005A63D1" w14:paraId="0000038B" w14:textId="77777777">
            <w:pPr>
              <w:pStyle w:val="Normal2"/>
              <w:rPr>
                <w:sz w:val="20"/>
                <w:szCs w:val="20"/>
              </w:rPr>
            </w:pPr>
          </w:p>
        </w:tc>
      </w:tr>
      <w:tr w:rsidR="005A63D1" w14:paraId="6068680E" w14:textId="77777777">
        <w:tc>
          <w:tcPr>
            <w:tcW w:w="7644" w:type="dxa"/>
            <w:shd w:val="clear" w:color="auto" w:fill="auto"/>
          </w:tcPr>
          <w:p w:rsidR="005A63D1" w:rsidRDefault="00DB5899" w14:paraId="0000038C" w14:textId="77777777">
            <w:pPr>
              <w:pStyle w:val="Normal2"/>
              <w:rPr>
                <w:sz w:val="20"/>
                <w:szCs w:val="20"/>
              </w:rPr>
            </w:pPr>
            <w:r>
              <w:rPr>
                <w:sz w:val="20"/>
                <w:szCs w:val="20"/>
              </w:rPr>
              <w:t>Will the project support the infrastructure and technology necessary to monitor climate variables and collect data required from climate impact assessment and modelling?</w:t>
            </w:r>
            <w:r>
              <w:rPr>
                <w:sz w:val="20"/>
                <w:szCs w:val="20"/>
                <w:vertAlign w:val="superscript"/>
              </w:rPr>
              <w:footnoteReference w:id="21"/>
            </w:r>
          </w:p>
        </w:tc>
        <w:tc>
          <w:tcPr>
            <w:tcW w:w="541" w:type="dxa"/>
            <w:shd w:val="clear" w:color="auto" w:fill="auto"/>
            <w:vAlign w:val="center"/>
          </w:tcPr>
          <w:p w:rsidR="005A63D1" w:rsidRDefault="00DB5899" w14:paraId="0000038D"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38E" w14:textId="77777777">
            <w:pPr>
              <w:pStyle w:val="Normal2"/>
              <w:jc w:val="center"/>
              <w:rPr>
                <w:sz w:val="20"/>
                <w:szCs w:val="20"/>
              </w:rPr>
            </w:pPr>
            <w:r>
              <w:rPr>
                <w:rFonts w:ascii="MS Gothic" w:hAnsi="MS Gothic" w:eastAsia="MS Gothic" w:cs="MS Gothic"/>
                <w:b/>
                <w:sz w:val="20"/>
                <w:szCs w:val="20"/>
              </w:rPr>
              <w:t>☐</w:t>
            </w:r>
          </w:p>
        </w:tc>
        <w:tc>
          <w:tcPr>
            <w:tcW w:w="607" w:type="dxa"/>
            <w:shd w:val="clear" w:color="auto" w:fill="auto"/>
            <w:vAlign w:val="center"/>
          </w:tcPr>
          <w:p w:rsidR="005A63D1" w:rsidRDefault="00DB5899" w14:paraId="0000038F" w14:textId="77777777">
            <w:pPr>
              <w:pStyle w:val="Normal2"/>
              <w:jc w:val="center"/>
              <w:rPr>
                <w:sz w:val="20"/>
                <w:szCs w:val="20"/>
              </w:rPr>
            </w:pPr>
            <w:r>
              <w:rPr>
                <w:rFonts w:ascii="MS Gothic" w:hAnsi="MS Gothic" w:eastAsia="MS Gothic" w:cs="MS Gothic"/>
                <w:b/>
                <w:sz w:val="20"/>
                <w:szCs w:val="20"/>
              </w:rPr>
              <w:t>☐</w:t>
            </w:r>
          </w:p>
        </w:tc>
      </w:tr>
      <w:tr w:rsidR="005A63D1" w14:paraId="0B021C60" w14:textId="77777777">
        <w:tc>
          <w:tcPr>
            <w:tcW w:w="7644" w:type="dxa"/>
            <w:shd w:val="clear" w:color="auto" w:fill="auto"/>
          </w:tcPr>
          <w:p w:rsidR="005A63D1" w:rsidRDefault="00DB5899" w14:paraId="00000390" w14:textId="77777777">
            <w:pPr>
              <w:pStyle w:val="Normal2"/>
              <w:rPr>
                <w:sz w:val="20"/>
                <w:szCs w:val="20"/>
              </w:rPr>
            </w:pPr>
            <w:r>
              <w:rPr>
                <w:sz w:val="20"/>
                <w:szCs w:val="20"/>
              </w:rPr>
              <w:t>Will the project support the national institutions to develop the skills required to monitor and collect climate related information?</w:t>
            </w:r>
          </w:p>
        </w:tc>
        <w:tc>
          <w:tcPr>
            <w:tcW w:w="541" w:type="dxa"/>
            <w:shd w:val="clear" w:color="auto" w:fill="auto"/>
            <w:vAlign w:val="center"/>
          </w:tcPr>
          <w:p w:rsidR="005A63D1" w:rsidRDefault="00DB5899" w14:paraId="00000391"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392" w14:textId="77777777">
            <w:pPr>
              <w:pStyle w:val="Normal2"/>
              <w:jc w:val="center"/>
              <w:rPr>
                <w:sz w:val="20"/>
                <w:szCs w:val="20"/>
              </w:rPr>
            </w:pPr>
            <w:r>
              <w:rPr>
                <w:rFonts w:ascii="MS Gothic" w:hAnsi="MS Gothic" w:eastAsia="MS Gothic" w:cs="MS Gothic"/>
                <w:b/>
                <w:sz w:val="20"/>
                <w:szCs w:val="20"/>
              </w:rPr>
              <w:t>☐</w:t>
            </w:r>
          </w:p>
        </w:tc>
        <w:tc>
          <w:tcPr>
            <w:tcW w:w="607" w:type="dxa"/>
            <w:shd w:val="clear" w:color="auto" w:fill="auto"/>
            <w:vAlign w:val="center"/>
          </w:tcPr>
          <w:p w:rsidR="005A63D1" w:rsidRDefault="00DB5899" w14:paraId="00000393" w14:textId="77777777">
            <w:pPr>
              <w:pStyle w:val="Normal2"/>
              <w:jc w:val="center"/>
              <w:rPr>
                <w:sz w:val="20"/>
                <w:szCs w:val="20"/>
              </w:rPr>
            </w:pPr>
            <w:r>
              <w:rPr>
                <w:rFonts w:ascii="MS Gothic" w:hAnsi="MS Gothic" w:eastAsia="MS Gothic" w:cs="MS Gothic"/>
                <w:b/>
                <w:sz w:val="20"/>
                <w:szCs w:val="20"/>
              </w:rPr>
              <w:t>☐</w:t>
            </w:r>
          </w:p>
        </w:tc>
      </w:tr>
      <w:tr w:rsidR="005A63D1" w14:paraId="1EA01A2B" w14:textId="77777777">
        <w:tc>
          <w:tcPr>
            <w:tcW w:w="7644" w:type="dxa"/>
            <w:shd w:val="clear" w:color="auto" w:fill="auto"/>
          </w:tcPr>
          <w:p w:rsidR="005A63D1" w:rsidRDefault="00DB5899" w14:paraId="00000394" w14:textId="77777777">
            <w:pPr>
              <w:pStyle w:val="Normal2"/>
              <w:rPr>
                <w:sz w:val="20"/>
                <w:szCs w:val="20"/>
              </w:rPr>
            </w:pPr>
            <w:r>
              <w:rPr>
                <w:sz w:val="20"/>
                <w:szCs w:val="20"/>
              </w:rPr>
              <w:t>Will the project support development of databases and repositories of climate information?</w:t>
            </w:r>
          </w:p>
        </w:tc>
        <w:tc>
          <w:tcPr>
            <w:tcW w:w="541" w:type="dxa"/>
            <w:shd w:val="clear" w:color="auto" w:fill="auto"/>
            <w:vAlign w:val="center"/>
          </w:tcPr>
          <w:p w:rsidR="005A63D1" w:rsidRDefault="00DB5899" w14:paraId="00000395"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396" w14:textId="77777777">
            <w:pPr>
              <w:pStyle w:val="Normal2"/>
              <w:jc w:val="center"/>
              <w:rPr>
                <w:sz w:val="20"/>
                <w:szCs w:val="20"/>
              </w:rPr>
            </w:pPr>
            <w:r>
              <w:rPr>
                <w:rFonts w:ascii="MS Gothic" w:hAnsi="MS Gothic" w:eastAsia="MS Gothic" w:cs="MS Gothic"/>
                <w:b/>
                <w:sz w:val="20"/>
                <w:szCs w:val="20"/>
              </w:rPr>
              <w:t>☐</w:t>
            </w:r>
          </w:p>
        </w:tc>
        <w:tc>
          <w:tcPr>
            <w:tcW w:w="607" w:type="dxa"/>
            <w:shd w:val="clear" w:color="auto" w:fill="auto"/>
            <w:vAlign w:val="center"/>
          </w:tcPr>
          <w:p w:rsidR="005A63D1" w:rsidRDefault="00DB5899" w14:paraId="00000397" w14:textId="77777777">
            <w:pPr>
              <w:pStyle w:val="Normal2"/>
              <w:jc w:val="center"/>
              <w:rPr>
                <w:sz w:val="20"/>
                <w:szCs w:val="20"/>
              </w:rPr>
            </w:pPr>
            <w:r>
              <w:rPr>
                <w:rFonts w:ascii="MS Gothic" w:hAnsi="MS Gothic" w:eastAsia="MS Gothic" w:cs="MS Gothic"/>
                <w:b/>
                <w:sz w:val="20"/>
                <w:szCs w:val="20"/>
              </w:rPr>
              <w:t>☐</w:t>
            </w:r>
          </w:p>
        </w:tc>
      </w:tr>
      <w:tr w:rsidR="005A63D1" w14:paraId="62786163" w14:textId="77777777">
        <w:tc>
          <w:tcPr>
            <w:tcW w:w="8743" w:type="dxa"/>
            <w:gridSpan w:val="3"/>
            <w:shd w:val="clear" w:color="auto" w:fill="FFD965"/>
          </w:tcPr>
          <w:p w:rsidR="005A63D1" w:rsidRDefault="00DB5899" w14:paraId="00000398" w14:textId="77777777">
            <w:pPr>
              <w:pStyle w:val="Normal2"/>
              <w:numPr>
                <w:ilvl w:val="0"/>
                <w:numId w:val="12"/>
              </w:numPr>
              <w:pBdr>
                <w:top w:val="nil"/>
                <w:left w:val="nil"/>
                <w:bottom w:val="nil"/>
                <w:right w:val="nil"/>
                <w:between w:val="nil"/>
              </w:pBdr>
              <w:spacing w:after="0"/>
              <w:rPr>
                <w:sz w:val="20"/>
                <w:szCs w:val="20"/>
              </w:rPr>
            </w:pPr>
            <w:r>
              <w:rPr>
                <w:sz w:val="20"/>
                <w:szCs w:val="20"/>
              </w:rPr>
              <w:t>Mitigation</w:t>
            </w:r>
          </w:p>
        </w:tc>
        <w:tc>
          <w:tcPr>
            <w:tcW w:w="607" w:type="dxa"/>
            <w:shd w:val="clear" w:color="auto" w:fill="FFD965"/>
          </w:tcPr>
          <w:p w:rsidR="005A63D1" w:rsidRDefault="005A63D1" w14:paraId="0000039B" w14:textId="77777777">
            <w:pPr>
              <w:pStyle w:val="Normal2"/>
              <w:pBdr>
                <w:top w:val="nil"/>
                <w:left w:val="nil"/>
                <w:bottom w:val="nil"/>
                <w:right w:val="nil"/>
                <w:between w:val="nil"/>
              </w:pBdr>
              <w:rPr>
                <w:sz w:val="20"/>
                <w:szCs w:val="20"/>
              </w:rPr>
            </w:pPr>
          </w:p>
        </w:tc>
      </w:tr>
      <w:tr w:rsidR="005A63D1" w14:paraId="4CC3DC03" w14:textId="77777777">
        <w:tc>
          <w:tcPr>
            <w:tcW w:w="7644" w:type="dxa"/>
            <w:shd w:val="clear" w:color="auto" w:fill="auto"/>
          </w:tcPr>
          <w:p w:rsidR="005A63D1" w:rsidRDefault="00DB5899" w14:paraId="0000039C" w14:textId="77777777">
            <w:pPr>
              <w:pStyle w:val="Normal2"/>
              <w:rPr>
                <w:sz w:val="20"/>
                <w:szCs w:val="20"/>
              </w:rPr>
            </w:pPr>
            <w:r>
              <w:rPr>
                <w:sz w:val="20"/>
                <w:szCs w:val="20"/>
              </w:rPr>
              <w:t>Will the project invest in measures that will reduce or mitigate emissions of GHGs from the energy sector?</w:t>
            </w:r>
          </w:p>
        </w:tc>
        <w:tc>
          <w:tcPr>
            <w:tcW w:w="541" w:type="dxa"/>
            <w:shd w:val="clear" w:color="auto" w:fill="auto"/>
            <w:vAlign w:val="center"/>
          </w:tcPr>
          <w:p w:rsidR="005A63D1" w:rsidRDefault="00DB5899" w14:paraId="0000039D" w14:textId="77777777">
            <w:pPr>
              <w:pStyle w:val="Normal2"/>
              <w:jc w:val="center"/>
              <w:rPr>
                <w:sz w:val="20"/>
                <w:szCs w:val="20"/>
              </w:rPr>
            </w:pPr>
            <w:sdt>
              <w:sdtPr>
                <w:tag w:val="goog_rdk_57"/>
                <w:id w:val="316275728"/>
              </w:sdtPr>
              <w:sdtEndPr/>
              <w:sdtContent>
                <w:r>
                  <w:rPr>
                    <w:rFonts w:ascii="Arial Unicode MS" w:hAnsi="Arial Unicode MS" w:eastAsia="Arial Unicode MS" w:cs="Arial Unicode MS"/>
                    <w:b/>
                    <w:sz w:val="20"/>
                    <w:szCs w:val="20"/>
                  </w:rPr>
                  <w:t>☐</w:t>
                </w:r>
              </w:sdtContent>
            </w:sdt>
          </w:p>
        </w:tc>
        <w:tc>
          <w:tcPr>
            <w:tcW w:w="558" w:type="dxa"/>
            <w:shd w:val="clear" w:color="auto" w:fill="auto"/>
            <w:vAlign w:val="center"/>
          </w:tcPr>
          <w:p w:rsidR="005A63D1" w:rsidRDefault="00DB5899" w14:paraId="0000039E" w14:textId="77777777">
            <w:pPr>
              <w:pStyle w:val="Normal2"/>
              <w:spacing w:after="0" w:line="276" w:lineRule="auto"/>
              <w:ind w:left="-30" w:firstLine="0"/>
              <w:jc w:val="center"/>
              <w:rPr>
                <w:sz w:val="20"/>
                <w:szCs w:val="20"/>
              </w:rPr>
            </w:pPr>
            <w:r>
              <w:t>☒</w:t>
            </w:r>
          </w:p>
        </w:tc>
        <w:tc>
          <w:tcPr>
            <w:tcW w:w="607" w:type="dxa"/>
            <w:shd w:val="clear" w:color="auto" w:fill="auto"/>
            <w:vAlign w:val="center"/>
          </w:tcPr>
          <w:p w:rsidR="005A63D1" w:rsidRDefault="00DB5899" w14:paraId="0000039F" w14:textId="77777777">
            <w:pPr>
              <w:pStyle w:val="Normal2"/>
              <w:jc w:val="center"/>
              <w:rPr>
                <w:sz w:val="20"/>
                <w:szCs w:val="20"/>
              </w:rPr>
            </w:pPr>
            <w:r>
              <w:rPr>
                <w:rFonts w:ascii="MS Gothic" w:hAnsi="MS Gothic" w:eastAsia="MS Gothic" w:cs="MS Gothic"/>
                <w:b/>
                <w:sz w:val="20"/>
                <w:szCs w:val="20"/>
              </w:rPr>
              <w:t>☐</w:t>
            </w:r>
          </w:p>
        </w:tc>
      </w:tr>
      <w:tr w:rsidR="005A63D1" w14:paraId="57196FE6" w14:textId="77777777">
        <w:tc>
          <w:tcPr>
            <w:tcW w:w="7644" w:type="dxa"/>
            <w:shd w:val="clear" w:color="auto" w:fill="auto"/>
          </w:tcPr>
          <w:p w:rsidR="005A63D1" w:rsidRDefault="00DB5899" w14:paraId="000003A0" w14:textId="77777777">
            <w:pPr>
              <w:pStyle w:val="Normal2"/>
              <w:rPr>
                <w:sz w:val="20"/>
                <w:szCs w:val="20"/>
              </w:rPr>
            </w:pPr>
            <w:r>
              <w:rPr>
                <w:sz w:val="20"/>
                <w:szCs w:val="20"/>
              </w:rPr>
              <w:t>Will the project invest in measures to reduce or mitigate emissions of GHGs from livestock or agricultural production (e.g. rice production)</w:t>
            </w:r>
          </w:p>
        </w:tc>
        <w:tc>
          <w:tcPr>
            <w:tcW w:w="541" w:type="dxa"/>
            <w:shd w:val="clear" w:color="auto" w:fill="auto"/>
            <w:vAlign w:val="center"/>
          </w:tcPr>
          <w:p w:rsidR="005A63D1" w:rsidRDefault="00DB5899" w14:paraId="000003A1" w14:textId="77777777">
            <w:pPr>
              <w:pStyle w:val="Normal2"/>
              <w:jc w:val="center"/>
              <w:rPr>
                <w:sz w:val="20"/>
                <w:szCs w:val="20"/>
              </w:rPr>
            </w:pPr>
            <w:r>
              <w:rPr>
                <w:rFonts w:ascii="MS Gothic" w:hAnsi="MS Gothic" w:eastAsia="MS Gothic" w:cs="MS Gothic"/>
                <w:b/>
                <w:sz w:val="20"/>
                <w:szCs w:val="20"/>
              </w:rPr>
              <w:t>☐</w:t>
            </w:r>
          </w:p>
        </w:tc>
        <w:tc>
          <w:tcPr>
            <w:tcW w:w="558" w:type="dxa"/>
            <w:shd w:val="clear" w:color="auto" w:fill="auto"/>
            <w:vAlign w:val="center"/>
          </w:tcPr>
          <w:p w:rsidR="005A63D1" w:rsidRDefault="00DB5899" w14:paraId="000003A2" w14:textId="77777777">
            <w:pPr>
              <w:pStyle w:val="Normal2"/>
              <w:spacing w:after="0" w:line="276" w:lineRule="auto"/>
              <w:ind w:left="-30" w:firstLine="0"/>
              <w:jc w:val="center"/>
              <w:rPr>
                <w:sz w:val="20"/>
                <w:szCs w:val="20"/>
                <w:highlight w:val="green"/>
              </w:rPr>
            </w:pPr>
            <w:r>
              <w:t>☒</w:t>
            </w:r>
          </w:p>
        </w:tc>
        <w:tc>
          <w:tcPr>
            <w:tcW w:w="607" w:type="dxa"/>
            <w:shd w:val="clear" w:color="auto" w:fill="auto"/>
            <w:vAlign w:val="center"/>
          </w:tcPr>
          <w:p w:rsidR="005A63D1" w:rsidRDefault="00DB5899" w14:paraId="000003A3" w14:textId="77777777">
            <w:pPr>
              <w:pStyle w:val="Normal2"/>
              <w:jc w:val="center"/>
              <w:rPr>
                <w:sz w:val="20"/>
                <w:szCs w:val="20"/>
              </w:rPr>
            </w:pPr>
            <w:r>
              <w:rPr>
                <w:rFonts w:ascii="MS Gothic" w:hAnsi="MS Gothic" w:eastAsia="MS Gothic" w:cs="MS Gothic"/>
                <w:b/>
                <w:sz w:val="20"/>
                <w:szCs w:val="20"/>
              </w:rPr>
              <w:t>☐</w:t>
            </w:r>
          </w:p>
        </w:tc>
      </w:tr>
      <w:tr w:rsidR="005A63D1" w14:paraId="02E9E0DC" w14:textId="77777777">
        <w:tc>
          <w:tcPr>
            <w:tcW w:w="7644" w:type="dxa"/>
            <w:shd w:val="clear" w:color="auto" w:fill="auto"/>
          </w:tcPr>
          <w:p w:rsidR="005A63D1" w:rsidRDefault="00DB5899" w14:paraId="000003A4" w14:textId="77777777">
            <w:pPr>
              <w:pStyle w:val="Normal2"/>
              <w:rPr>
                <w:sz w:val="20"/>
                <w:szCs w:val="20"/>
              </w:rPr>
            </w:pPr>
            <w:r>
              <w:rPr>
                <w:sz w:val="20"/>
                <w:szCs w:val="20"/>
              </w:rPr>
              <w:t>Will the project invest in measures to reduce or mitigation emissions of GHGs through reforestation or land use change?</w:t>
            </w:r>
          </w:p>
        </w:tc>
        <w:tc>
          <w:tcPr>
            <w:tcW w:w="541" w:type="dxa"/>
            <w:shd w:val="clear" w:color="auto" w:fill="auto"/>
            <w:vAlign w:val="center"/>
          </w:tcPr>
          <w:p w:rsidR="005A63D1" w:rsidRDefault="00DB5899" w14:paraId="000003A5" w14:textId="77777777">
            <w:pPr>
              <w:pStyle w:val="Normal2"/>
              <w:jc w:val="center"/>
              <w:rPr>
                <w:sz w:val="20"/>
                <w:szCs w:val="20"/>
              </w:rPr>
            </w:pPr>
            <w:r>
              <w:rPr>
                <w:rFonts w:ascii="MS Gothic" w:hAnsi="MS Gothic" w:eastAsia="MS Gothic" w:cs="MS Gothic"/>
                <w:b/>
                <w:sz w:val="20"/>
                <w:szCs w:val="20"/>
              </w:rPr>
              <w:t>☐</w:t>
            </w:r>
          </w:p>
        </w:tc>
        <w:tc>
          <w:tcPr>
            <w:tcW w:w="558" w:type="dxa"/>
            <w:shd w:val="clear" w:color="auto" w:fill="auto"/>
            <w:vAlign w:val="center"/>
          </w:tcPr>
          <w:p w:rsidR="005A63D1" w:rsidRDefault="00DB5899" w14:paraId="000003A6" w14:textId="77777777">
            <w:pPr>
              <w:pStyle w:val="Normal2"/>
              <w:spacing w:after="0" w:line="276" w:lineRule="auto"/>
              <w:ind w:left="-30" w:firstLine="0"/>
              <w:jc w:val="center"/>
              <w:rPr>
                <w:sz w:val="20"/>
                <w:szCs w:val="20"/>
              </w:rPr>
            </w:pPr>
            <w:r>
              <w:t>☒</w:t>
            </w:r>
          </w:p>
        </w:tc>
        <w:tc>
          <w:tcPr>
            <w:tcW w:w="607" w:type="dxa"/>
            <w:shd w:val="clear" w:color="auto" w:fill="auto"/>
            <w:vAlign w:val="center"/>
          </w:tcPr>
          <w:p w:rsidR="005A63D1" w:rsidRDefault="00DB5899" w14:paraId="000003A7" w14:textId="77777777">
            <w:pPr>
              <w:pStyle w:val="Normal2"/>
              <w:jc w:val="center"/>
              <w:rPr>
                <w:sz w:val="20"/>
                <w:szCs w:val="20"/>
              </w:rPr>
            </w:pPr>
            <w:sdt>
              <w:sdtPr>
                <w:tag w:val="goog_rdk_58"/>
                <w:id w:val="1513384445"/>
              </w:sdtPr>
              <w:sdtEndPr/>
              <w:sdtContent>
                <w:r>
                  <w:rPr>
                    <w:rFonts w:ascii="Arial Unicode MS" w:hAnsi="Arial Unicode MS" w:eastAsia="Arial Unicode MS" w:cs="Arial Unicode MS"/>
                    <w:b/>
                    <w:sz w:val="20"/>
                    <w:szCs w:val="20"/>
                  </w:rPr>
                  <w:t>☐</w:t>
                </w:r>
              </w:sdtContent>
            </w:sdt>
          </w:p>
        </w:tc>
      </w:tr>
      <w:tr w:rsidR="005A63D1" w14:paraId="518D1CEA" w14:textId="77777777">
        <w:tc>
          <w:tcPr>
            <w:tcW w:w="7644" w:type="dxa"/>
            <w:shd w:val="clear" w:color="auto" w:fill="auto"/>
          </w:tcPr>
          <w:p w:rsidR="005A63D1" w:rsidRDefault="00DB5899" w14:paraId="000003A8" w14:textId="77777777">
            <w:pPr>
              <w:pStyle w:val="Normal2"/>
              <w:rPr>
                <w:sz w:val="20"/>
                <w:szCs w:val="20"/>
              </w:rPr>
            </w:pPr>
            <w:r>
              <w:rPr>
                <w:sz w:val="20"/>
                <w:szCs w:val="20"/>
              </w:rPr>
              <w:t>Will the project invest in renewable energy and green technologies?</w:t>
            </w:r>
          </w:p>
        </w:tc>
        <w:tc>
          <w:tcPr>
            <w:tcW w:w="541" w:type="dxa"/>
            <w:shd w:val="clear" w:color="auto" w:fill="auto"/>
            <w:vAlign w:val="center"/>
          </w:tcPr>
          <w:p w:rsidR="005A63D1" w:rsidRDefault="00DB5899" w14:paraId="000003A9" w14:textId="77777777">
            <w:pPr>
              <w:pStyle w:val="Normal2"/>
              <w:jc w:val="center"/>
              <w:rPr>
                <w:sz w:val="20"/>
                <w:szCs w:val="20"/>
              </w:rPr>
            </w:pPr>
            <w:sdt>
              <w:sdtPr>
                <w:tag w:val="goog_rdk_59"/>
                <w:id w:val="1718152091"/>
              </w:sdtPr>
              <w:sdtEndPr/>
              <w:sdtContent>
                <w:r>
                  <w:rPr>
                    <w:rFonts w:ascii="Arial Unicode MS" w:hAnsi="Arial Unicode MS" w:eastAsia="Arial Unicode MS" w:cs="Arial Unicode MS"/>
                    <w:b/>
                    <w:sz w:val="20"/>
                    <w:szCs w:val="20"/>
                  </w:rPr>
                  <w:t>☐</w:t>
                </w:r>
              </w:sdtContent>
            </w:sdt>
          </w:p>
        </w:tc>
        <w:tc>
          <w:tcPr>
            <w:tcW w:w="558" w:type="dxa"/>
            <w:shd w:val="clear" w:color="auto" w:fill="auto"/>
            <w:vAlign w:val="center"/>
          </w:tcPr>
          <w:p w:rsidR="005A63D1" w:rsidRDefault="00DB5899" w14:paraId="000003AA" w14:textId="77777777">
            <w:pPr>
              <w:pStyle w:val="Normal2"/>
              <w:jc w:val="center"/>
              <w:rPr>
                <w:sz w:val="20"/>
                <w:szCs w:val="20"/>
              </w:rPr>
            </w:pPr>
            <w:sdt>
              <w:sdtPr>
                <w:tag w:val="goog_rdk_60"/>
                <w:id w:val="1791247700"/>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3AB" w14:textId="77777777">
            <w:pPr>
              <w:pStyle w:val="Normal2"/>
              <w:spacing w:after="0" w:line="276" w:lineRule="auto"/>
              <w:ind w:left="-30" w:firstLine="0"/>
              <w:jc w:val="center"/>
              <w:rPr>
                <w:sz w:val="20"/>
                <w:szCs w:val="20"/>
              </w:rPr>
            </w:pPr>
            <w:r>
              <w:t>☒</w:t>
            </w:r>
          </w:p>
        </w:tc>
      </w:tr>
      <w:tr w:rsidR="005A63D1" w14:paraId="042F503A" w14:textId="77777777">
        <w:tc>
          <w:tcPr>
            <w:tcW w:w="7644" w:type="dxa"/>
            <w:shd w:val="clear" w:color="auto" w:fill="auto"/>
          </w:tcPr>
          <w:p w:rsidR="005A63D1" w:rsidRDefault="00DB5899" w14:paraId="000003AC" w14:textId="77777777">
            <w:pPr>
              <w:pStyle w:val="Normal2"/>
              <w:rPr>
                <w:sz w:val="20"/>
                <w:szCs w:val="20"/>
              </w:rPr>
            </w:pPr>
            <w:r>
              <w:rPr>
                <w:sz w:val="20"/>
                <w:szCs w:val="20"/>
              </w:rPr>
              <w:t>Will the project invest in other measures to reduce or mitigate GHG emissions?</w:t>
            </w:r>
          </w:p>
        </w:tc>
        <w:tc>
          <w:tcPr>
            <w:tcW w:w="541" w:type="dxa"/>
            <w:shd w:val="clear" w:color="auto" w:fill="auto"/>
            <w:vAlign w:val="center"/>
          </w:tcPr>
          <w:p w:rsidR="005A63D1" w:rsidRDefault="00DB5899" w14:paraId="000003AD" w14:textId="77777777">
            <w:pPr>
              <w:pStyle w:val="Normal2"/>
              <w:jc w:val="center"/>
              <w:rPr>
                <w:sz w:val="20"/>
                <w:szCs w:val="20"/>
              </w:rPr>
            </w:pPr>
            <w:r>
              <w:rPr>
                <w:rFonts w:ascii="MS Gothic" w:hAnsi="MS Gothic" w:eastAsia="MS Gothic" w:cs="MS Gothic"/>
                <w:b/>
                <w:sz w:val="20"/>
                <w:szCs w:val="20"/>
              </w:rPr>
              <w:t>☐</w:t>
            </w:r>
          </w:p>
        </w:tc>
        <w:tc>
          <w:tcPr>
            <w:tcW w:w="558" w:type="dxa"/>
            <w:shd w:val="clear" w:color="auto" w:fill="auto"/>
            <w:vAlign w:val="center"/>
          </w:tcPr>
          <w:p w:rsidR="005A63D1" w:rsidRDefault="00DB5899" w14:paraId="000003AE" w14:textId="77777777">
            <w:pPr>
              <w:pStyle w:val="Normal2"/>
              <w:jc w:val="center"/>
              <w:rPr>
                <w:sz w:val="20"/>
                <w:szCs w:val="20"/>
              </w:rPr>
            </w:pPr>
            <w:sdt>
              <w:sdtPr>
                <w:tag w:val="goog_rdk_61"/>
                <w:id w:val="1177930435"/>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3AF" w14:textId="77777777">
            <w:pPr>
              <w:pStyle w:val="Normal2"/>
              <w:spacing w:after="0" w:line="276" w:lineRule="auto"/>
              <w:ind w:left="-30" w:firstLine="0"/>
              <w:jc w:val="center"/>
              <w:rPr>
                <w:sz w:val="20"/>
                <w:szCs w:val="20"/>
              </w:rPr>
            </w:pPr>
            <w:r>
              <w:t>☒</w:t>
            </w:r>
          </w:p>
        </w:tc>
      </w:tr>
      <w:tr w:rsidR="005A63D1" w14:paraId="76A313B3" w14:textId="77777777">
        <w:tc>
          <w:tcPr>
            <w:tcW w:w="9350" w:type="dxa"/>
            <w:gridSpan w:val="4"/>
            <w:shd w:val="clear" w:color="auto" w:fill="FFD965"/>
            <w:vAlign w:val="center"/>
          </w:tcPr>
          <w:p w:rsidR="005A63D1" w:rsidRDefault="00DB5899" w14:paraId="000003B0" w14:textId="77777777">
            <w:pPr>
              <w:pStyle w:val="Normal2"/>
              <w:numPr>
                <w:ilvl w:val="0"/>
                <w:numId w:val="12"/>
              </w:numPr>
              <w:pBdr>
                <w:top w:val="nil"/>
                <w:left w:val="nil"/>
                <w:bottom w:val="nil"/>
                <w:right w:val="nil"/>
                <w:between w:val="nil"/>
              </w:pBdr>
              <w:spacing w:after="0"/>
              <w:rPr>
                <w:sz w:val="20"/>
                <w:szCs w:val="20"/>
              </w:rPr>
            </w:pPr>
            <w:r>
              <w:rPr>
                <w:sz w:val="20"/>
                <w:szCs w:val="20"/>
              </w:rPr>
              <w:t>Adaptation</w:t>
            </w:r>
          </w:p>
        </w:tc>
      </w:tr>
      <w:tr w:rsidR="005A63D1" w14:paraId="13FF26C5" w14:textId="77777777">
        <w:tc>
          <w:tcPr>
            <w:tcW w:w="7644" w:type="dxa"/>
            <w:shd w:val="clear" w:color="auto" w:fill="auto"/>
          </w:tcPr>
          <w:p w:rsidR="005A63D1" w:rsidRDefault="00DB5899" w14:paraId="000003B4" w14:textId="77777777">
            <w:pPr>
              <w:pStyle w:val="Normal2"/>
              <w:rPr>
                <w:sz w:val="20"/>
                <w:szCs w:val="20"/>
              </w:rPr>
            </w:pPr>
            <w:r>
              <w:rPr>
                <w:sz w:val="20"/>
                <w:szCs w:val="20"/>
              </w:rPr>
              <w:t>Will the project invest in climate smart agriculture activities?</w:t>
            </w:r>
          </w:p>
        </w:tc>
        <w:tc>
          <w:tcPr>
            <w:tcW w:w="541" w:type="dxa"/>
            <w:shd w:val="clear" w:color="auto" w:fill="auto"/>
            <w:vAlign w:val="center"/>
          </w:tcPr>
          <w:p w:rsidR="005A63D1" w:rsidRDefault="00DB5899" w14:paraId="000003B5" w14:textId="77777777">
            <w:pPr>
              <w:pStyle w:val="Normal2"/>
              <w:jc w:val="center"/>
              <w:rPr>
                <w:sz w:val="20"/>
                <w:szCs w:val="20"/>
              </w:rPr>
            </w:pPr>
            <w:r>
              <w:rPr>
                <w:rFonts w:ascii="MS Gothic" w:hAnsi="MS Gothic" w:eastAsia="MS Gothic" w:cs="MS Gothic"/>
                <w:b/>
                <w:sz w:val="20"/>
                <w:szCs w:val="20"/>
              </w:rPr>
              <w:t>☐</w:t>
            </w:r>
          </w:p>
        </w:tc>
        <w:tc>
          <w:tcPr>
            <w:tcW w:w="558" w:type="dxa"/>
            <w:shd w:val="clear" w:color="auto" w:fill="auto"/>
            <w:vAlign w:val="center"/>
          </w:tcPr>
          <w:p w:rsidR="005A63D1" w:rsidRDefault="00DB5899" w14:paraId="000003B6" w14:textId="77777777">
            <w:pPr>
              <w:pStyle w:val="Normal2"/>
              <w:spacing w:after="0" w:line="276" w:lineRule="auto"/>
              <w:ind w:left="-30" w:firstLine="0"/>
              <w:jc w:val="center"/>
              <w:rPr>
                <w:sz w:val="20"/>
                <w:szCs w:val="20"/>
                <w:highlight w:val="green"/>
              </w:rPr>
            </w:pPr>
            <w:r>
              <w:t>☒</w:t>
            </w:r>
          </w:p>
        </w:tc>
        <w:tc>
          <w:tcPr>
            <w:tcW w:w="607" w:type="dxa"/>
            <w:shd w:val="clear" w:color="auto" w:fill="auto"/>
            <w:vAlign w:val="center"/>
          </w:tcPr>
          <w:p w:rsidR="005A63D1" w:rsidRDefault="00DB5899" w14:paraId="000003B7" w14:textId="77777777">
            <w:pPr>
              <w:pStyle w:val="Normal2"/>
              <w:jc w:val="center"/>
              <w:rPr>
                <w:sz w:val="20"/>
                <w:szCs w:val="20"/>
              </w:rPr>
            </w:pPr>
            <w:r>
              <w:rPr>
                <w:rFonts w:ascii="MS Gothic" w:hAnsi="MS Gothic" w:eastAsia="MS Gothic" w:cs="MS Gothic"/>
                <w:b/>
                <w:sz w:val="20"/>
                <w:szCs w:val="20"/>
              </w:rPr>
              <w:t>☐</w:t>
            </w:r>
          </w:p>
        </w:tc>
      </w:tr>
      <w:tr w:rsidR="005A63D1" w14:paraId="219030EF" w14:textId="77777777">
        <w:tc>
          <w:tcPr>
            <w:tcW w:w="7644" w:type="dxa"/>
            <w:shd w:val="clear" w:color="auto" w:fill="auto"/>
          </w:tcPr>
          <w:p w:rsidR="005A63D1" w:rsidRDefault="00DB5899" w14:paraId="000003B8" w14:textId="77777777">
            <w:pPr>
              <w:pStyle w:val="Normal2"/>
              <w:rPr>
                <w:sz w:val="20"/>
                <w:szCs w:val="20"/>
              </w:rPr>
            </w:pPr>
            <w:r>
              <w:rPr>
                <w:sz w:val="20"/>
                <w:szCs w:val="20"/>
              </w:rPr>
              <w:t>Will the project promote climate resilient practices for crops, livestock and fisheries?</w:t>
            </w:r>
          </w:p>
        </w:tc>
        <w:tc>
          <w:tcPr>
            <w:tcW w:w="541" w:type="dxa"/>
            <w:shd w:val="clear" w:color="auto" w:fill="auto"/>
            <w:vAlign w:val="center"/>
          </w:tcPr>
          <w:p w:rsidR="005A63D1" w:rsidRDefault="00DB5899" w14:paraId="000003B9"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3BA" w14:textId="77777777">
            <w:pPr>
              <w:pStyle w:val="Normal2"/>
              <w:jc w:val="center"/>
              <w:rPr>
                <w:sz w:val="20"/>
                <w:szCs w:val="20"/>
              </w:rPr>
            </w:pPr>
            <w:sdt>
              <w:sdtPr>
                <w:tag w:val="goog_rdk_62"/>
                <w:id w:val="1910888194"/>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3BB" w14:textId="77777777">
            <w:pPr>
              <w:pStyle w:val="Normal2"/>
              <w:jc w:val="center"/>
              <w:rPr>
                <w:sz w:val="20"/>
                <w:szCs w:val="20"/>
              </w:rPr>
            </w:pPr>
            <w:sdt>
              <w:sdtPr>
                <w:tag w:val="goog_rdk_63"/>
                <w:id w:val="1478061793"/>
              </w:sdtPr>
              <w:sdtEndPr/>
              <w:sdtContent>
                <w:r>
                  <w:rPr>
                    <w:rFonts w:ascii="Arial Unicode MS" w:hAnsi="Arial Unicode MS" w:eastAsia="Arial Unicode MS" w:cs="Arial Unicode MS"/>
                    <w:b/>
                    <w:sz w:val="20"/>
                    <w:szCs w:val="20"/>
                  </w:rPr>
                  <w:t>☐</w:t>
                </w:r>
              </w:sdtContent>
            </w:sdt>
          </w:p>
        </w:tc>
      </w:tr>
      <w:tr w:rsidR="005A63D1" w14:paraId="592D3C27" w14:textId="77777777">
        <w:tc>
          <w:tcPr>
            <w:tcW w:w="7644" w:type="dxa"/>
            <w:shd w:val="clear" w:color="auto" w:fill="auto"/>
          </w:tcPr>
          <w:p w:rsidR="005A63D1" w:rsidRDefault="00DB5899" w14:paraId="000003BC" w14:textId="77777777">
            <w:pPr>
              <w:pStyle w:val="Normal2"/>
              <w:rPr>
                <w:sz w:val="20"/>
                <w:szCs w:val="20"/>
              </w:rPr>
            </w:pPr>
            <w:r>
              <w:rPr>
                <w:sz w:val="20"/>
                <w:szCs w:val="20"/>
              </w:rPr>
              <w:t>Will the project promote sustainable natural resources management?</w:t>
            </w:r>
          </w:p>
        </w:tc>
        <w:tc>
          <w:tcPr>
            <w:tcW w:w="541" w:type="dxa"/>
            <w:shd w:val="clear" w:color="auto" w:fill="auto"/>
            <w:vAlign w:val="center"/>
          </w:tcPr>
          <w:p w:rsidR="005A63D1" w:rsidRDefault="00DB5899" w14:paraId="000003BD"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3BE" w14:textId="77777777">
            <w:pPr>
              <w:pStyle w:val="Normal2"/>
              <w:jc w:val="center"/>
              <w:rPr>
                <w:sz w:val="20"/>
                <w:szCs w:val="20"/>
              </w:rPr>
            </w:pPr>
            <w:sdt>
              <w:sdtPr>
                <w:tag w:val="goog_rdk_64"/>
                <w:id w:val="235148768"/>
              </w:sdtPr>
              <w:sdtEndPr/>
              <w:sdtContent>
                <w:r>
                  <w:rPr>
                    <w:rFonts w:ascii="Arial Unicode MS" w:hAnsi="Arial Unicode MS" w:eastAsia="Arial Unicode MS" w:cs="Arial Unicode MS"/>
                    <w:b/>
                    <w:sz w:val="20"/>
                    <w:szCs w:val="20"/>
                  </w:rPr>
                  <w:t>☐</w:t>
                </w:r>
              </w:sdtContent>
            </w:sdt>
          </w:p>
        </w:tc>
        <w:tc>
          <w:tcPr>
            <w:tcW w:w="607" w:type="dxa"/>
            <w:shd w:val="clear" w:color="auto" w:fill="auto"/>
            <w:vAlign w:val="center"/>
          </w:tcPr>
          <w:p w:rsidR="005A63D1" w:rsidRDefault="00DB5899" w14:paraId="000003BF" w14:textId="77777777">
            <w:pPr>
              <w:pStyle w:val="Normal2"/>
              <w:jc w:val="center"/>
              <w:rPr>
                <w:sz w:val="20"/>
                <w:szCs w:val="20"/>
              </w:rPr>
            </w:pPr>
            <w:sdt>
              <w:sdtPr>
                <w:tag w:val="goog_rdk_65"/>
                <w:id w:val="1125667388"/>
              </w:sdtPr>
              <w:sdtEndPr/>
              <w:sdtContent>
                <w:r>
                  <w:rPr>
                    <w:rFonts w:ascii="Arial Unicode MS" w:hAnsi="Arial Unicode MS" w:eastAsia="Arial Unicode MS" w:cs="Arial Unicode MS"/>
                    <w:b/>
                    <w:sz w:val="20"/>
                    <w:szCs w:val="20"/>
                  </w:rPr>
                  <w:t>☐</w:t>
                </w:r>
              </w:sdtContent>
            </w:sdt>
          </w:p>
        </w:tc>
      </w:tr>
      <w:tr w:rsidR="005A63D1" w14:paraId="7AB3C1DE" w14:textId="77777777">
        <w:tc>
          <w:tcPr>
            <w:tcW w:w="7644" w:type="dxa"/>
            <w:shd w:val="clear" w:color="auto" w:fill="auto"/>
          </w:tcPr>
          <w:p w:rsidR="005A63D1" w:rsidRDefault="00DB5899" w14:paraId="000003C0" w14:textId="77777777">
            <w:pPr>
              <w:pStyle w:val="Normal2"/>
              <w:rPr>
                <w:sz w:val="20"/>
                <w:szCs w:val="20"/>
              </w:rPr>
            </w:pPr>
            <w:r>
              <w:rPr>
                <w:sz w:val="20"/>
                <w:szCs w:val="20"/>
              </w:rPr>
              <w:t>Does the project support Nature-based Solutions for climate change and disaster risk reduction?</w:t>
            </w:r>
          </w:p>
        </w:tc>
        <w:tc>
          <w:tcPr>
            <w:tcW w:w="541" w:type="dxa"/>
            <w:shd w:val="clear" w:color="auto" w:fill="auto"/>
            <w:vAlign w:val="center"/>
          </w:tcPr>
          <w:p w:rsidR="005A63D1" w:rsidRDefault="00DB5899" w14:paraId="000003C1" w14:textId="77777777">
            <w:pPr>
              <w:pStyle w:val="Normal2"/>
              <w:spacing w:after="0" w:line="276" w:lineRule="auto"/>
              <w:ind w:left="-30" w:firstLine="0"/>
              <w:jc w:val="center"/>
              <w:rPr>
                <w:sz w:val="20"/>
                <w:szCs w:val="20"/>
              </w:rPr>
            </w:pPr>
            <w:r>
              <w:t>☒</w:t>
            </w:r>
          </w:p>
        </w:tc>
        <w:tc>
          <w:tcPr>
            <w:tcW w:w="558" w:type="dxa"/>
            <w:shd w:val="clear" w:color="auto" w:fill="auto"/>
            <w:vAlign w:val="center"/>
          </w:tcPr>
          <w:p w:rsidR="005A63D1" w:rsidRDefault="00DB5899" w14:paraId="000003C2" w14:textId="77777777">
            <w:pPr>
              <w:pStyle w:val="Normal2"/>
              <w:jc w:val="center"/>
              <w:rPr>
                <w:sz w:val="20"/>
                <w:szCs w:val="20"/>
              </w:rPr>
            </w:pPr>
            <w:r>
              <w:rPr>
                <w:rFonts w:ascii="MS Gothic" w:hAnsi="MS Gothic" w:eastAsia="MS Gothic" w:cs="MS Gothic"/>
                <w:b/>
                <w:sz w:val="20"/>
                <w:szCs w:val="20"/>
              </w:rPr>
              <w:t>☐</w:t>
            </w:r>
          </w:p>
        </w:tc>
        <w:tc>
          <w:tcPr>
            <w:tcW w:w="607" w:type="dxa"/>
            <w:shd w:val="clear" w:color="auto" w:fill="auto"/>
            <w:vAlign w:val="center"/>
          </w:tcPr>
          <w:p w:rsidR="005A63D1" w:rsidRDefault="00DB5899" w14:paraId="000003C3" w14:textId="77777777">
            <w:pPr>
              <w:pStyle w:val="Normal2"/>
              <w:jc w:val="center"/>
              <w:rPr>
                <w:sz w:val="20"/>
                <w:szCs w:val="20"/>
                <w:highlight w:val="green"/>
              </w:rPr>
            </w:pPr>
            <w:r>
              <w:rPr>
                <w:rFonts w:ascii="MS Gothic" w:hAnsi="MS Gothic" w:eastAsia="MS Gothic" w:cs="MS Gothic"/>
                <w:b/>
                <w:sz w:val="20"/>
                <w:szCs w:val="20"/>
              </w:rPr>
              <w:t>☐</w:t>
            </w:r>
          </w:p>
        </w:tc>
      </w:tr>
      <w:tr w:rsidR="005A63D1" w14:paraId="7AC45396" w14:textId="77777777">
        <w:tc>
          <w:tcPr>
            <w:tcW w:w="7644" w:type="dxa"/>
            <w:shd w:val="clear" w:color="auto" w:fill="auto"/>
          </w:tcPr>
          <w:p w:rsidR="005A63D1" w:rsidRDefault="00DB5899" w14:paraId="000003C4" w14:textId="77777777">
            <w:pPr>
              <w:pStyle w:val="Normal2"/>
              <w:rPr>
                <w:sz w:val="20"/>
                <w:szCs w:val="20"/>
              </w:rPr>
            </w:pPr>
            <w:r>
              <w:rPr>
                <w:sz w:val="20"/>
                <w:szCs w:val="20"/>
              </w:rPr>
              <w:t>Will the project invest in agricultural insurance?</w:t>
            </w:r>
          </w:p>
        </w:tc>
        <w:tc>
          <w:tcPr>
            <w:tcW w:w="541" w:type="dxa"/>
            <w:shd w:val="clear" w:color="auto" w:fill="auto"/>
            <w:vAlign w:val="center"/>
          </w:tcPr>
          <w:p w:rsidR="005A63D1" w:rsidRDefault="00DB5899" w14:paraId="000003C5" w14:textId="77777777">
            <w:pPr>
              <w:pStyle w:val="Normal2"/>
              <w:jc w:val="center"/>
              <w:rPr>
                <w:sz w:val="20"/>
                <w:szCs w:val="20"/>
              </w:rPr>
            </w:pPr>
            <w:r>
              <w:rPr>
                <w:rFonts w:ascii="MS Gothic" w:hAnsi="MS Gothic" w:eastAsia="MS Gothic" w:cs="MS Gothic"/>
                <w:b/>
                <w:sz w:val="20"/>
                <w:szCs w:val="20"/>
              </w:rPr>
              <w:t>☐</w:t>
            </w:r>
          </w:p>
        </w:tc>
        <w:tc>
          <w:tcPr>
            <w:tcW w:w="558" w:type="dxa"/>
            <w:shd w:val="clear" w:color="auto" w:fill="auto"/>
            <w:vAlign w:val="center"/>
          </w:tcPr>
          <w:p w:rsidR="005A63D1" w:rsidRDefault="00DB5899" w14:paraId="000003C6" w14:textId="77777777">
            <w:pPr>
              <w:pStyle w:val="Normal2"/>
              <w:spacing w:after="0" w:line="276" w:lineRule="auto"/>
              <w:ind w:left="-30" w:firstLine="0"/>
              <w:jc w:val="center"/>
              <w:rPr>
                <w:sz w:val="20"/>
                <w:szCs w:val="20"/>
              </w:rPr>
            </w:pPr>
            <w:r>
              <w:t>☒</w:t>
            </w:r>
          </w:p>
        </w:tc>
        <w:tc>
          <w:tcPr>
            <w:tcW w:w="607" w:type="dxa"/>
            <w:shd w:val="clear" w:color="auto" w:fill="auto"/>
            <w:vAlign w:val="center"/>
          </w:tcPr>
          <w:p w:rsidR="005A63D1" w:rsidRDefault="00DB5899" w14:paraId="000003C7" w14:textId="77777777">
            <w:pPr>
              <w:pStyle w:val="Normal2"/>
              <w:jc w:val="center"/>
              <w:rPr>
                <w:sz w:val="20"/>
                <w:szCs w:val="20"/>
              </w:rPr>
            </w:pPr>
            <w:r>
              <w:rPr>
                <w:rFonts w:ascii="MS Gothic" w:hAnsi="MS Gothic" w:eastAsia="MS Gothic" w:cs="MS Gothic"/>
                <w:b/>
                <w:sz w:val="20"/>
                <w:szCs w:val="20"/>
              </w:rPr>
              <w:t>☐</w:t>
            </w:r>
          </w:p>
        </w:tc>
      </w:tr>
    </w:tbl>
    <w:p w:rsidR="005A63D1" w:rsidRDefault="005A63D1" w14:paraId="000003C8" w14:textId="77777777">
      <w:pPr>
        <w:pStyle w:val="Normal2"/>
      </w:pPr>
    </w:p>
    <w:p w:rsidR="005A63D1" w:rsidRDefault="00DB5899" w14:paraId="000003C9" w14:textId="77777777">
      <w:pPr>
        <w:pStyle w:val="Normal2"/>
        <w:spacing w:after="0"/>
        <w:ind w:left="0" w:firstLine="0"/>
        <w:rPr>
          <w:b/>
          <w:sz w:val="28"/>
          <w:szCs w:val="28"/>
        </w:rPr>
      </w:pPr>
      <w:r>
        <w:rPr>
          <w:b/>
          <w:sz w:val="28"/>
          <w:szCs w:val="28"/>
        </w:rPr>
        <w:t>References</w:t>
      </w:r>
    </w:p>
    <w:p w:rsidR="005A63D1" w:rsidRDefault="005A63D1" w14:paraId="000003CA" w14:textId="77777777">
      <w:pPr>
        <w:pStyle w:val="Normal2"/>
        <w:spacing w:after="0"/>
        <w:ind w:left="0" w:firstLine="0"/>
      </w:pPr>
    </w:p>
    <w:p w:rsidR="005A63D1" w:rsidRDefault="00DB5899" w14:paraId="000003CB" w14:textId="77777777">
      <w:pPr>
        <w:pStyle w:val="Normal2"/>
        <w:pBdr>
          <w:top w:val="nil"/>
          <w:left w:val="nil"/>
          <w:bottom w:val="nil"/>
          <w:right w:val="nil"/>
          <w:between w:val="nil"/>
        </w:pBdr>
        <w:spacing w:after="200"/>
        <w:ind w:left="425" w:hanging="425"/>
        <w:jc w:val="both"/>
        <w:rPr>
          <w:i/>
          <w:sz w:val="21"/>
          <w:szCs w:val="21"/>
        </w:rPr>
      </w:pPr>
      <w:r>
        <w:rPr>
          <w:sz w:val="21"/>
          <w:szCs w:val="21"/>
        </w:rPr>
        <w:t xml:space="preserve">Alianza para la Conservación y el Desarrollo (ACD).(2010). </w:t>
      </w:r>
      <w:r>
        <w:rPr>
          <w:i/>
          <w:sz w:val="21"/>
          <w:szCs w:val="21"/>
        </w:rPr>
        <w:t xml:space="preserve">Diagnóstico Socioeconómico y Ambiental de 10 comunidades del Área de Influencia del Parque Nacional Coiba. </w:t>
      </w:r>
    </w:p>
    <w:p w:rsidR="005A63D1" w:rsidRDefault="00DB5899" w14:paraId="000003CC" w14:textId="77777777">
      <w:pPr>
        <w:pStyle w:val="Normal2"/>
        <w:pBdr>
          <w:top w:val="nil"/>
          <w:left w:val="nil"/>
          <w:bottom w:val="nil"/>
          <w:right w:val="nil"/>
          <w:between w:val="nil"/>
        </w:pBdr>
        <w:spacing w:after="200"/>
        <w:ind w:left="425" w:hanging="425"/>
        <w:jc w:val="both"/>
        <w:rPr>
          <w:i/>
          <w:sz w:val="21"/>
          <w:szCs w:val="21"/>
        </w:rPr>
      </w:pPr>
      <w:r>
        <w:rPr>
          <w:sz w:val="21"/>
          <w:szCs w:val="21"/>
        </w:rPr>
        <w:t xml:space="preserve">Autoridad Nacional del Ambiente (2009). </w:t>
      </w:r>
      <w:r>
        <w:rPr>
          <w:i/>
          <w:sz w:val="21"/>
          <w:szCs w:val="21"/>
        </w:rPr>
        <w:t>Coiba National Park Management Plan.</w:t>
      </w:r>
    </w:p>
    <w:p w:rsidR="005A63D1" w:rsidRDefault="00DB5899" w14:paraId="000003CD" w14:textId="77777777">
      <w:pPr>
        <w:pStyle w:val="Normal2"/>
        <w:spacing w:after="200"/>
        <w:ind w:left="425" w:hanging="425"/>
        <w:jc w:val="both"/>
        <w:rPr>
          <w:sz w:val="21"/>
          <w:szCs w:val="21"/>
        </w:rPr>
      </w:pPr>
      <w:r>
        <w:rPr>
          <w:sz w:val="21"/>
          <w:szCs w:val="21"/>
        </w:rPr>
        <w:t>Bakun, A., J. Csirke, D. Lluch-Belda &amp; R. Steer-Ruiz. (1999).</w:t>
      </w:r>
      <w:r>
        <w:rPr>
          <w:i/>
          <w:sz w:val="21"/>
          <w:szCs w:val="21"/>
        </w:rPr>
        <w:t xml:space="preserve"> The Pacific Central American Coastal LME</w:t>
      </w:r>
      <w:r>
        <w:rPr>
          <w:sz w:val="21"/>
          <w:szCs w:val="21"/>
        </w:rPr>
        <w:t>, pp. 268-280. In K. Sherman &amp; Q. Tang (eds.). Large Marine Ecosystems of the Pacific Rim. Assessment, Sustainability, and Management. Blackwell Science, Oxford.</w:t>
      </w:r>
    </w:p>
    <w:p w:rsidR="005A63D1" w:rsidRDefault="00DB5899" w14:paraId="000003CE" w14:textId="77777777">
      <w:pPr>
        <w:pStyle w:val="Normal2"/>
        <w:spacing w:after="200"/>
        <w:ind w:left="425" w:hanging="425"/>
        <w:jc w:val="both"/>
        <w:rPr>
          <w:sz w:val="21"/>
          <w:szCs w:val="21"/>
        </w:rPr>
      </w:pPr>
      <w:r>
        <w:rPr>
          <w:sz w:val="21"/>
          <w:szCs w:val="21"/>
        </w:rPr>
        <w:t xml:space="preserve">CEPAL. (2022). </w:t>
      </w:r>
      <w:r>
        <w:rPr>
          <w:i/>
          <w:sz w:val="21"/>
          <w:szCs w:val="21"/>
        </w:rPr>
        <w:t>Observatorio de Igualdad de Género de América Latina y el Caribe. Mapas de País: Panamá; Costa Rica</w:t>
      </w:r>
      <w:r>
        <w:rPr>
          <w:sz w:val="21"/>
          <w:szCs w:val="21"/>
        </w:rPr>
        <w:t xml:space="preserve">. Available at: </w:t>
      </w:r>
      <w:hyperlink r:id="rId32">
        <w:r>
          <w:rPr>
            <w:color w:val="1155CC"/>
            <w:sz w:val="21"/>
            <w:szCs w:val="21"/>
            <w:u w:val="single"/>
          </w:rPr>
          <w:t>https://oig.cepal.org/es/paises</w:t>
        </w:r>
      </w:hyperlink>
      <w:r>
        <w:rPr>
          <w:sz w:val="21"/>
          <w:szCs w:val="21"/>
        </w:rPr>
        <w:t xml:space="preserve"> (accessed February 2024).</w:t>
      </w:r>
    </w:p>
    <w:p w:rsidR="005A63D1" w:rsidRDefault="00DB5899" w14:paraId="000003CF"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CMAR Pacífico. (2015). </w:t>
      </w:r>
      <w:r>
        <w:rPr>
          <w:i/>
          <w:sz w:val="21"/>
          <w:szCs w:val="21"/>
        </w:rPr>
        <w:t>Corredor Marino del Pacífico Este Tropical</w:t>
      </w:r>
      <w:r>
        <w:rPr>
          <w:sz w:val="21"/>
          <w:szCs w:val="21"/>
        </w:rPr>
        <w:t xml:space="preserve"> (video). Available at: </w:t>
      </w:r>
      <w:hyperlink r:id="rId33">
        <w:r>
          <w:rPr>
            <w:color w:val="1155CC"/>
            <w:sz w:val="21"/>
            <w:szCs w:val="21"/>
            <w:u w:val="single"/>
          </w:rPr>
          <w:t>https://www.youtube.com/watch?v=VUF-WG1Uzp8&amp;t=710s</w:t>
        </w:r>
      </w:hyperlink>
      <w:r>
        <w:rPr>
          <w:sz w:val="21"/>
          <w:szCs w:val="21"/>
        </w:rPr>
        <w:t xml:space="preserve"> (accessed 5</w:t>
      </w:r>
      <w:r>
        <w:rPr>
          <w:sz w:val="21"/>
          <w:szCs w:val="21"/>
          <w:vertAlign w:val="superscript"/>
        </w:rPr>
        <w:t>th</w:t>
      </w:r>
      <w:r>
        <w:rPr>
          <w:sz w:val="21"/>
          <w:szCs w:val="21"/>
        </w:rPr>
        <w:t xml:space="preserve"> October 2023).</w:t>
      </w:r>
    </w:p>
    <w:p w:rsidR="005A63D1" w:rsidRDefault="00DB5899" w14:paraId="000003D0"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Corredor Marino del Pacífico Este (CMAR). (2016). </w:t>
      </w:r>
      <w:r>
        <w:rPr>
          <w:i/>
          <w:sz w:val="21"/>
          <w:szCs w:val="21"/>
        </w:rPr>
        <w:t>Estudio de prefactibilidad y formulación de un proyecto para la adecuada gestión del CMAR</w:t>
      </w:r>
      <w:r>
        <w:rPr>
          <w:sz w:val="21"/>
          <w:szCs w:val="21"/>
        </w:rPr>
        <w:t>.</w:t>
      </w:r>
    </w:p>
    <w:p w:rsidR="005A63D1" w:rsidRDefault="00DB5899" w14:paraId="000003D1" w14:textId="77777777">
      <w:pPr>
        <w:pStyle w:val="Normal2"/>
        <w:spacing w:after="200"/>
        <w:ind w:left="425" w:firstLine="0"/>
        <w:jc w:val="both"/>
        <w:rPr>
          <w:sz w:val="21"/>
          <w:szCs w:val="21"/>
        </w:rPr>
      </w:pPr>
      <w:r>
        <w:rPr>
          <w:sz w:val="21"/>
          <w:szCs w:val="21"/>
        </w:rPr>
        <w:t xml:space="preserve">CMAR. (2019). </w:t>
      </w:r>
      <w:r>
        <w:rPr>
          <w:i/>
          <w:sz w:val="21"/>
          <w:szCs w:val="21"/>
        </w:rPr>
        <w:t>Plan de acción 2019-2024.</w:t>
      </w:r>
      <w:r>
        <w:rPr>
          <w:sz w:val="21"/>
          <w:szCs w:val="21"/>
        </w:rPr>
        <w:t xml:space="preserve"> San José, Costa Rica. </w:t>
      </w:r>
    </w:p>
    <w:p w:rsidR="005A63D1" w:rsidRDefault="00DB5899" w14:paraId="000003D2" w14:textId="77777777">
      <w:pPr>
        <w:pStyle w:val="Normal2"/>
        <w:pBdr>
          <w:top w:val="nil"/>
          <w:left w:val="nil"/>
          <w:bottom w:val="nil"/>
          <w:right w:val="nil"/>
          <w:between w:val="nil"/>
        </w:pBdr>
        <w:spacing w:after="0"/>
        <w:ind w:left="425" w:hanging="425"/>
        <w:jc w:val="both"/>
        <w:rPr>
          <w:sz w:val="21"/>
          <w:szCs w:val="21"/>
        </w:rPr>
      </w:pPr>
      <w:r>
        <w:rPr>
          <w:sz w:val="21"/>
          <w:szCs w:val="21"/>
        </w:rPr>
        <w:t>CMAR Pacífico. (2023a).</w:t>
      </w:r>
      <w:r>
        <w:rPr>
          <w:i/>
          <w:sz w:val="21"/>
          <w:szCs w:val="21"/>
        </w:rPr>
        <w:t xml:space="preserve"> Parque Nacional Natural Gorgona. </w:t>
      </w:r>
      <w:r>
        <w:rPr>
          <w:sz w:val="21"/>
          <w:szCs w:val="21"/>
        </w:rPr>
        <w:t xml:space="preserve">Available at: </w:t>
      </w:r>
    </w:p>
    <w:p w:rsidR="005A63D1" w:rsidRDefault="00DB5899" w14:paraId="000003D3" w14:textId="77777777">
      <w:pPr>
        <w:pStyle w:val="Normal2"/>
        <w:spacing w:after="200"/>
        <w:ind w:left="425" w:firstLine="0"/>
        <w:jc w:val="both"/>
        <w:rPr>
          <w:sz w:val="21"/>
          <w:szCs w:val="21"/>
        </w:rPr>
      </w:pPr>
      <w:hyperlink r:id="rId34">
        <w:r>
          <w:rPr>
            <w:color w:val="1155CC"/>
            <w:sz w:val="21"/>
            <w:szCs w:val="21"/>
            <w:u w:val="single"/>
          </w:rPr>
          <w:t>https://www.cmarpacifico.org/donde-trabajamos/areas-nucleo/parque-nacional-natural-gorgona</w:t>
        </w:r>
      </w:hyperlink>
      <w:r>
        <w:rPr>
          <w:sz w:val="21"/>
          <w:szCs w:val="21"/>
        </w:rPr>
        <w:t xml:space="preserve"> (accessed 18</w:t>
      </w:r>
      <w:r>
        <w:rPr>
          <w:sz w:val="21"/>
          <w:szCs w:val="21"/>
          <w:vertAlign w:val="superscript"/>
        </w:rPr>
        <w:t>th</w:t>
      </w:r>
      <w:r>
        <w:rPr>
          <w:sz w:val="21"/>
          <w:szCs w:val="21"/>
        </w:rPr>
        <w:t xml:space="preserve"> October 2023).</w:t>
      </w:r>
    </w:p>
    <w:p w:rsidR="005A63D1" w:rsidRDefault="00DB5899" w14:paraId="000003D4" w14:textId="77777777">
      <w:pPr>
        <w:pStyle w:val="Normal2"/>
        <w:spacing w:after="0"/>
        <w:ind w:left="0" w:firstLine="0"/>
        <w:jc w:val="both"/>
        <w:rPr>
          <w:sz w:val="21"/>
          <w:szCs w:val="21"/>
        </w:rPr>
      </w:pPr>
      <w:r>
        <w:rPr>
          <w:sz w:val="21"/>
          <w:szCs w:val="21"/>
        </w:rPr>
        <w:t>CMAR Pacífico. (2023b).</w:t>
      </w:r>
      <w:r>
        <w:rPr>
          <w:i/>
          <w:sz w:val="21"/>
          <w:szCs w:val="21"/>
        </w:rPr>
        <w:t xml:space="preserve"> Parque Nacional Isla de Coco. </w:t>
      </w:r>
      <w:r>
        <w:rPr>
          <w:sz w:val="21"/>
          <w:szCs w:val="21"/>
        </w:rPr>
        <w:t xml:space="preserve">Available at: </w:t>
      </w:r>
    </w:p>
    <w:p w:rsidR="005A63D1" w:rsidRDefault="00DB5899" w14:paraId="000003D5" w14:textId="77777777">
      <w:pPr>
        <w:pStyle w:val="Normal2"/>
        <w:spacing w:after="200"/>
        <w:ind w:left="425" w:firstLine="0"/>
        <w:jc w:val="both"/>
        <w:rPr>
          <w:sz w:val="21"/>
          <w:szCs w:val="21"/>
        </w:rPr>
      </w:pPr>
      <w:hyperlink r:id="rId35">
        <w:r>
          <w:rPr>
            <w:color w:val="1155CC"/>
            <w:sz w:val="21"/>
            <w:szCs w:val="21"/>
            <w:u w:val="single"/>
          </w:rPr>
          <w:t>https://www.cmarpacifico.org/donde-trabajamos/areas-nucleo/parque-nacional-isla-del-coco</w:t>
        </w:r>
      </w:hyperlink>
      <w:r>
        <w:rPr>
          <w:sz w:val="21"/>
          <w:szCs w:val="21"/>
        </w:rPr>
        <w:t xml:space="preserve"> (accessed 18</w:t>
      </w:r>
      <w:r>
        <w:rPr>
          <w:sz w:val="21"/>
          <w:szCs w:val="21"/>
          <w:vertAlign w:val="superscript"/>
        </w:rPr>
        <w:t>th</w:t>
      </w:r>
      <w:r>
        <w:rPr>
          <w:sz w:val="21"/>
          <w:szCs w:val="21"/>
        </w:rPr>
        <w:t xml:space="preserve"> October 2023).</w:t>
      </w:r>
    </w:p>
    <w:p w:rsidR="005A63D1" w:rsidRDefault="00DB5899" w14:paraId="000003D6" w14:textId="77777777">
      <w:pPr>
        <w:pStyle w:val="Normal2"/>
        <w:pBdr>
          <w:top w:val="nil"/>
          <w:left w:val="nil"/>
          <w:bottom w:val="nil"/>
          <w:right w:val="nil"/>
          <w:between w:val="nil"/>
        </w:pBdr>
        <w:spacing w:after="200"/>
        <w:ind w:left="425" w:hanging="425"/>
        <w:jc w:val="both"/>
        <w:rPr>
          <w:sz w:val="21"/>
          <w:szCs w:val="21"/>
        </w:rPr>
      </w:pPr>
      <w:r>
        <w:rPr>
          <w:sz w:val="21"/>
          <w:szCs w:val="21"/>
        </w:rPr>
        <w:t>CI-GEF. (2024).</w:t>
      </w:r>
      <w:r>
        <w:rPr>
          <w:i/>
          <w:sz w:val="21"/>
          <w:szCs w:val="21"/>
        </w:rPr>
        <w:t xml:space="preserve"> GEF Project Document. Beyond 30x30: Securing resilience in the Eastern Tropical Pacific through enhanced transboundary cooperation. Colombia, Costa Rica, Ecuador, Panama / LAC. </w:t>
      </w:r>
      <w:r>
        <w:rPr>
          <w:sz w:val="21"/>
          <w:szCs w:val="21"/>
        </w:rPr>
        <w:t>Version March 1, 2024</w:t>
      </w:r>
    </w:p>
    <w:p w:rsidR="005A63D1" w:rsidRDefault="00DB5899" w14:paraId="000003D7" w14:textId="77777777">
      <w:pPr>
        <w:pStyle w:val="Normal2"/>
        <w:pBdr>
          <w:top w:val="nil"/>
          <w:left w:val="nil"/>
          <w:bottom w:val="nil"/>
          <w:right w:val="nil"/>
          <w:between w:val="nil"/>
        </w:pBdr>
        <w:spacing w:after="0"/>
        <w:ind w:left="425" w:hanging="425"/>
        <w:jc w:val="both"/>
        <w:rPr>
          <w:sz w:val="21"/>
          <w:szCs w:val="21"/>
        </w:rPr>
      </w:pPr>
      <w:r>
        <w:rPr>
          <w:sz w:val="21"/>
          <w:szCs w:val="21"/>
        </w:rPr>
        <w:t xml:space="preserve">Coiba National Park. (2023). </w:t>
      </w:r>
      <w:r>
        <w:rPr>
          <w:i/>
          <w:sz w:val="21"/>
          <w:szCs w:val="21"/>
        </w:rPr>
        <w:t>Penal Colony of Isla Coiba</w:t>
      </w:r>
      <w:r>
        <w:rPr>
          <w:sz w:val="21"/>
          <w:szCs w:val="21"/>
        </w:rPr>
        <w:t xml:space="preserve">. Available at: </w:t>
      </w:r>
    </w:p>
    <w:p w:rsidR="005A63D1" w:rsidRDefault="00DB5899" w14:paraId="000003D8" w14:textId="77777777">
      <w:pPr>
        <w:pStyle w:val="Normal2"/>
        <w:pBdr>
          <w:top w:val="nil"/>
          <w:left w:val="nil"/>
          <w:bottom w:val="nil"/>
          <w:right w:val="nil"/>
          <w:between w:val="nil"/>
        </w:pBdr>
        <w:spacing w:after="200"/>
        <w:ind w:left="425" w:firstLine="0"/>
        <w:jc w:val="both"/>
        <w:rPr>
          <w:sz w:val="21"/>
          <w:szCs w:val="21"/>
        </w:rPr>
      </w:pPr>
      <w:hyperlink r:id="rId36">
        <w:r>
          <w:rPr>
            <w:color w:val="1155CC"/>
            <w:sz w:val="21"/>
            <w:szCs w:val="21"/>
            <w:u w:val="single"/>
          </w:rPr>
          <w:t>http://www.coibanationalpark.com/prison.html</w:t>
        </w:r>
      </w:hyperlink>
      <w:r>
        <w:rPr>
          <w:sz w:val="21"/>
          <w:szCs w:val="21"/>
        </w:rPr>
        <w:t xml:space="preserve"> (accessed 12</w:t>
      </w:r>
      <w:r>
        <w:rPr>
          <w:sz w:val="21"/>
          <w:szCs w:val="21"/>
          <w:vertAlign w:val="superscript"/>
        </w:rPr>
        <w:t>th</w:t>
      </w:r>
      <w:r>
        <w:rPr>
          <w:sz w:val="21"/>
          <w:szCs w:val="21"/>
        </w:rPr>
        <w:t xml:space="preserve"> October 2023).</w:t>
      </w:r>
    </w:p>
    <w:p w:rsidR="005A63D1" w:rsidRDefault="00DB5899" w14:paraId="000003D9" w14:textId="77777777">
      <w:pPr>
        <w:pStyle w:val="Normal2"/>
        <w:pBdr>
          <w:top w:val="nil"/>
          <w:left w:val="nil"/>
          <w:bottom w:val="nil"/>
          <w:right w:val="nil"/>
          <w:between w:val="nil"/>
        </w:pBdr>
        <w:spacing w:after="0"/>
        <w:ind w:left="425" w:hanging="425"/>
        <w:jc w:val="both"/>
        <w:rPr>
          <w:sz w:val="21"/>
          <w:szCs w:val="21"/>
        </w:rPr>
      </w:pPr>
      <w:r>
        <w:rPr>
          <w:sz w:val="21"/>
          <w:szCs w:val="21"/>
        </w:rPr>
        <w:t xml:space="preserve">Comisión Interamericana de Derechos Humanos (CIDH). (2023). </w:t>
      </w:r>
      <w:r>
        <w:rPr>
          <w:i/>
          <w:sz w:val="21"/>
          <w:szCs w:val="21"/>
        </w:rPr>
        <w:t xml:space="preserve">Mujeres Privadas de Libertad en las Américas. </w:t>
      </w:r>
    </w:p>
    <w:p w:rsidR="005A63D1" w:rsidRDefault="005A63D1" w14:paraId="000003DA" w14:textId="77777777">
      <w:pPr>
        <w:pStyle w:val="Normal2"/>
        <w:pBdr>
          <w:top w:val="nil"/>
          <w:left w:val="nil"/>
          <w:bottom w:val="nil"/>
          <w:right w:val="nil"/>
          <w:between w:val="nil"/>
        </w:pBdr>
        <w:spacing w:after="0"/>
        <w:ind w:left="425" w:hanging="425"/>
        <w:jc w:val="both"/>
        <w:rPr>
          <w:sz w:val="21"/>
          <w:szCs w:val="21"/>
        </w:rPr>
      </w:pPr>
    </w:p>
    <w:p w:rsidR="005A63D1" w:rsidRDefault="00DB5899" w14:paraId="000003DB"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Conservation International (CI). (2023). CI-GCF/GEF Agencies. </w:t>
      </w:r>
      <w:r>
        <w:rPr>
          <w:i/>
          <w:sz w:val="21"/>
          <w:szCs w:val="21"/>
        </w:rPr>
        <w:t xml:space="preserve">Environmental and Social Safeguards (ESS) Screening Form: Preliminary Screening. Beyond 30x30: Securing resilience in the Eastern Tropical Pacific through enhanced transboundary cooperation. </w:t>
      </w:r>
      <w:r>
        <w:rPr>
          <w:sz w:val="21"/>
          <w:szCs w:val="21"/>
        </w:rPr>
        <w:t>Commented version, 24</w:t>
      </w:r>
      <w:r>
        <w:rPr>
          <w:sz w:val="21"/>
          <w:szCs w:val="21"/>
          <w:vertAlign w:val="superscript"/>
        </w:rPr>
        <w:t>th</w:t>
      </w:r>
      <w:r>
        <w:rPr>
          <w:sz w:val="21"/>
          <w:szCs w:val="21"/>
        </w:rPr>
        <w:t xml:space="preserve"> March 2023.</w:t>
      </w:r>
    </w:p>
    <w:p w:rsidR="005A63D1" w:rsidRDefault="00DB5899" w14:paraId="000003DC" w14:textId="77777777">
      <w:pPr>
        <w:pStyle w:val="Normal2"/>
        <w:pBdr>
          <w:top w:val="nil"/>
          <w:left w:val="nil"/>
          <w:bottom w:val="nil"/>
          <w:right w:val="nil"/>
          <w:between w:val="nil"/>
        </w:pBdr>
        <w:spacing w:after="200"/>
        <w:ind w:left="425" w:hanging="425"/>
        <w:jc w:val="both"/>
        <w:rPr>
          <w:rFonts w:ascii="Georgia" w:hAnsi="Georgia" w:eastAsia="Georgia" w:cs="Georgia"/>
          <w:color w:val="282828"/>
          <w:sz w:val="46"/>
          <w:szCs w:val="46"/>
        </w:rPr>
      </w:pPr>
      <w:r>
        <w:rPr>
          <w:sz w:val="21"/>
          <w:szCs w:val="21"/>
        </w:rPr>
        <w:t xml:space="preserve">Enright, S.R.; Meneses-Orellana, R.; and Keith, Inti. (2021). </w:t>
      </w:r>
      <w:r>
        <w:rPr>
          <w:i/>
          <w:sz w:val="21"/>
          <w:szCs w:val="21"/>
        </w:rPr>
        <w:t xml:space="preserve">The Eastern Tropical Pacific Marine Corridor (CMAR): The Emergence of a Voluntary Regional Cooperation Mechanism for the Conservation and Sustainable Use of Marine Biodiversity Within a Fragmented Regional Ocean Governance Landscape. </w:t>
      </w:r>
      <w:r>
        <w:rPr>
          <w:sz w:val="21"/>
          <w:szCs w:val="21"/>
        </w:rPr>
        <w:t>Front. Mar. Sci., 02 June 2021. Sec. Marine Affairs and Polic. Volume 8 - 2021.</w:t>
      </w:r>
    </w:p>
    <w:p w:rsidR="005A63D1" w:rsidRDefault="00DB5899" w14:paraId="000003DD" w14:textId="77777777">
      <w:pPr>
        <w:pStyle w:val="Normal2"/>
        <w:spacing w:after="200"/>
        <w:ind w:left="425" w:hanging="425"/>
        <w:jc w:val="both"/>
        <w:rPr>
          <w:sz w:val="21"/>
          <w:szCs w:val="21"/>
        </w:rPr>
      </w:pPr>
      <w:r>
        <w:rPr>
          <w:sz w:val="21"/>
          <w:szCs w:val="21"/>
        </w:rPr>
        <w:t xml:space="preserve">Dirección del Parque Nacional Galápagos (DPNG). (2014). </w:t>
      </w:r>
      <w:r>
        <w:rPr>
          <w:i/>
          <w:sz w:val="21"/>
          <w:szCs w:val="21"/>
        </w:rPr>
        <w:t>Plan de Manejo de las Áreas Protegidas de Galápagos para el Buen Vivir</w:t>
      </w:r>
      <w:r>
        <w:rPr>
          <w:sz w:val="21"/>
          <w:szCs w:val="21"/>
        </w:rPr>
        <w:t>. Puerto Ayora, Galápagos, Ecuador.</w:t>
      </w:r>
    </w:p>
    <w:p w:rsidR="005A63D1" w:rsidRDefault="00DB5899" w14:paraId="000003DE" w14:textId="77777777">
      <w:pPr>
        <w:pStyle w:val="Normal2"/>
        <w:pBdr>
          <w:top w:val="nil"/>
          <w:left w:val="nil"/>
          <w:bottom w:val="nil"/>
          <w:right w:val="nil"/>
          <w:between w:val="nil"/>
        </w:pBdr>
        <w:spacing w:after="200"/>
        <w:ind w:left="425" w:hanging="425"/>
        <w:jc w:val="both"/>
        <w:rPr>
          <w:sz w:val="21"/>
          <w:szCs w:val="21"/>
        </w:rPr>
      </w:pPr>
      <w:r>
        <w:rPr>
          <w:sz w:val="21"/>
          <w:szCs w:val="21"/>
        </w:rPr>
        <w:t>ENDS Colombia. (2015).</w:t>
      </w:r>
      <w:r>
        <w:rPr>
          <w:i/>
          <w:sz w:val="21"/>
          <w:szCs w:val="21"/>
        </w:rPr>
        <w:t xml:space="preserve"> Encuesta Nacional de Demografía y Salud. </w:t>
      </w:r>
      <w:r>
        <w:rPr>
          <w:sz w:val="21"/>
          <w:szCs w:val="21"/>
        </w:rPr>
        <w:t>Tomo 2.</w:t>
      </w:r>
    </w:p>
    <w:p w:rsidR="005A63D1" w:rsidRDefault="00DB5899" w14:paraId="000003DF" w14:textId="77777777">
      <w:pPr>
        <w:pStyle w:val="Normal2"/>
        <w:spacing w:after="200"/>
        <w:ind w:left="425" w:hanging="425"/>
        <w:jc w:val="both"/>
        <w:rPr>
          <w:sz w:val="21"/>
          <w:szCs w:val="21"/>
        </w:rPr>
      </w:pPr>
      <w:r>
        <w:rPr>
          <w:sz w:val="21"/>
          <w:szCs w:val="21"/>
        </w:rPr>
        <w:t xml:space="preserve">Equipo Regional de Océanos de CI (CIAFD). (2024). </w:t>
      </w:r>
      <w:r>
        <w:rPr>
          <w:i/>
          <w:sz w:val="21"/>
          <w:szCs w:val="21"/>
        </w:rPr>
        <w:t>GEF CMAR: Insumos y sugerencias para PRODOC por componentes</w:t>
      </w:r>
      <w:r>
        <w:rPr>
          <w:sz w:val="21"/>
          <w:szCs w:val="21"/>
        </w:rPr>
        <w:t>. Febrero 2024.</w:t>
      </w:r>
    </w:p>
    <w:p w:rsidR="005A63D1" w:rsidRDefault="00DB5899" w14:paraId="000003E0" w14:textId="77777777">
      <w:pPr>
        <w:pStyle w:val="Normal2"/>
        <w:spacing w:after="0"/>
        <w:ind w:left="425" w:hanging="425"/>
        <w:jc w:val="both"/>
        <w:rPr>
          <w:sz w:val="21"/>
          <w:szCs w:val="21"/>
        </w:rPr>
      </w:pPr>
      <w:r>
        <w:rPr>
          <w:sz w:val="21"/>
          <w:szCs w:val="21"/>
        </w:rPr>
        <w:t xml:space="preserve">FAICO. (2023). </w:t>
      </w:r>
      <w:r>
        <w:rPr>
          <w:i/>
          <w:sz w:val="21"/>
          <w:szCs w:val="21"/>
        </w:rPr>
        <w:t xml:space="preserve">Área Marina de Manejo del Bicentenario. </w:t>
      </w:r>
      <w:r>
        <w:rPr>
          <w:sz w:val="21"/>
          <w:szCs w:val="21"/>
        </w:rPr>
        <w:t>Available at:</w:t>
      </w:r>
    </w:p>
    <w:p w:rsidR="005A63D1" w:rsidRDefault="00DB5899" w14:paraId="000003E1" w14:textId="77777777">
      <w:pPr>
        <w:pStyle w:val="Normal2"/>
        <w:spacing w:after="200"/>
        <w:ind w:left="425" w:firstLine="0"/>
        <w:jc w:val="both"/>
        <w:rPr>
          <w:sz w:val="21"/>
          <w:szCs w:val="21"/>
        </w:rPr>
      </w:pPr>
      <w:hyperlink w:anchor=":~:text=El%20%C3%81rea%20Marina%20de%20Manejo,Ejecutivo%20N%C2%B0%2043368%2DMINAE" r:id="rId37">
        <w:r>
          <w:rPr>
            <w:color w:val="1155CC"/>
            <w:sz w:val="21"/>
            <w:szCs w:val="21"/>
            <w:u w:val="single"/>
          </w:rPr>
          <w:t>https://www.cocosisland.org/area-marina-manejo-montes-submarinos-isla-del-coco/#:~:text=El%20%C3%81rea%20Marina%20de%20Manejo,Ejecutivo%20N%C2%B0%2043368%2DMINAE</w:t>
        </w:r>
      </w:hyperlink>
      <w:r>
        <w:rPr>
          <w:sz w:val="21"/>
          <w:szCs w:val="21"/>
        </w:rPr>
        <w:t xml:space="preserve"> (accessed 20</w:t>
      </w:r>
      <w:r>
        <w:rPr>
          <w:sz w:val="21"/>
          <w:szCs w:val="21"/>
          <w:vertAlign w:val="superscript"/>
        </w:rPr>
        <w:t>th</w:t>
      </w:r>
      <w:r>
        <w:rPr>
          <w:sz w:val="21"/>
          <w:szCs w:val="21"/>
        </w:rPr>
        <w:t xml:space="preserve"> October 2023).</w:t>
      </w:r>
    </w:p>
    <w:p w:rsidR="005A63D1" w:rsidRDefault="00DB5899" w14:paraId="000003E2" w14:textId="77777777">
      <w:pPr>
        <w:pStyle w:val="Normal2"/>
        <w:pBdr>
          <w:top w:val="nil"/>
          <w:left w:val="nil"/>
          <w:bottom w:val="nil"/>
          <w:right w:val="nil"/>
          <w:between w:val="nil"/>
        </w:pBdr>
        <w:spacing w:after="200"/>
        <w:ind w:left="425" w:hanging="425"/>
        <w:jc w:val="both"/>
        <w:rPr>
          <w:i/>
          <w:sz w:val="21"/>
          <w:szCs w:val="21"/>
        </w:rPr>
      </w:pPr>
      <w:r>
        <w:rPr>
          <w:sz w:val="21"/>
          <w:szCs w:val="21"/>
        </w:rPr>
        <w:t xml:space="preserve">GEF (2023). </w:t>
      </w:r>
      <w:r>
        <w:rPr>
          <w:i/>
          <w:sz w:val="21"/>
          <w:szCs w:val="21"/>
        </w:rPr>
        <w:t>GEF-8 Project Identification Form (PIF): Beyond 30x30: Securing resilience in the Eastern Tropical Pacific through enhanced transboundary cooperation.</w:t>
      </w:r>
    </w:p>
    <w:p w:rsidR="005A63D1" w:rsidRDefault="00DB5899" w14:paraId="000003E3" w14:textId="77777777">
      <w:pPr>
        <w:pStyle w:val="Normal2"/>
        <w:pBdr>
          <w:top w:val="nil"/>
          <w:left w:val="nil"/>
          <w:bottom w:val="nil"/>
          <w:right w:val="nil"/>
          <w:between w:val="nil"/>
        </w:pBdr>
        <w:spacing w:after="200"/>
        <w:ind w:left="425" w:hanging="425"/>
        <w:jc w:val="both"/>
        <w:rPr>
          <w:sz w:val="21"/>
          <w:szCs w:val="21"/>
        </w:rPr>
      </w:pPr>
      <w:r>
        <w:rPr>
          <w:sz w:val="21"/>
          <w:szCs w:val="21"/>
        </w:rPr>
        <w:t>Hoegh-Guldberg, O., R. Cai, E.S. Poloczanska, P.G. Brewer, S. Sundby, K. Hilmi, V.J. Fabry, and S. Jung. (2014).</w:t>
      </w:r>
      <w:r>
        <w:rPr>
          <w:i/>
          <w:sz w:val="21"/>
          <w:szCs w:val="21"/>
        </w:rPr>
        <w:t xml:space="preserve"> The Ocean. </w:t>
      </w:r>
      <w:r>
        <w:rPr>
          <w:sz w:val="21"/>
          <w:szCs w:val="21"/>
        </w:rPr>
        <w:t>In: Climate Change 2014: Impacts, Adaptation, and Vulnerability. Part B: Regional Aspects. Contribution of Working Group II to the Fifth Assessment Report of the Intergovernmental Panel on Climate Change (IPCC). [Barros, V.R., C.B. Field, D.J. Dokken, M.D. Mastrandrea, K.J. Mach, T.E. Bilir, M. Chatterjee, K.L. Ebi, Y.O. Estrada, R.C. Genova, B. Girma, E.S. Kissel, A.N. Levy, S. MacCracken, P.R. Mastrandrea, and L.L.White (eds.)]. Cambridge University Press, Cambridge, United Kingdom and New Yor</w:t>
      </w:r>
      <w:r>
        <w:rPr>
          <w:sz w:val="21"/>
          <w:szCs w:val="21"/>
        </w:rPr>
        <w:t>k, NY, USA, pp. 1655-1731.</w:t>
      </w:r>
    </w:p>
    <w:p w:rsidR="005A63D1" w:rsidRDefault="00DB5899" w14:paraId="000003E4" w14:textId="77777777">
      <w:pPr>
        <w:pStyle w:val="Normal2"/>
        <w:pBdr>
          <w:top w:val="nil"/>
          <w:left w:val="nil"/>
          <w:bottom w:val="nil"/>
          <w:right w:val="nil"/>
          <w:between w:val="nil"/>
        </w:pBdr>
        <w:spacing w:after="0"/>
        <w:ind w:left="425" w:hanging="425"/>
        <w:jc w:val="both"/>
        <w:rPr>
          <w:sz w:val="21"/>
          <w:szCs w:val="21"/>
        </w:rPr>
      </w:pPr>
      <w:r>
        <w:rPr>
          <w:sz w:val="21"/>
          <w:szCs w:val="21"/>
        </w:rPr>
        <w:t xml:space="preserve">Henson, Bob. (2023). </w:t>
      </w:r>
      <w:r>
        <w:rPr>
          <w:i/>
          <w:sz w:val="21"/>
          <w:szCs w:val="21"/>
        </w:rPr>
        <w:t>A mystery in the Pacific is complicating climate projections</w:t>
      </w:r>
      <w:r>
        <w:rPr>
          <w:sz w:val="21"/>
          <w:szCs w:val="21"/>
        </w:rPr>
        <w:t>. Available at:</w:t>
      </w:r>
    </w:p>
    <w:p w:rsidR="005A63D1" w:rsidRDefault="00DB5899" w14:paraId="000003E5" w14:textId="77777777">
      <w:pPr>
        <w:pStyle w:val="Normal2"/>
        <w:pBdr>
          <w:top w:val="nil"/>
          <w:left w:val="nil"/>
          <w:bottom w:val="nil"/>
          <w:right w:val="nil"/>
          <w:between w:val="nil"/>
        </w:pBdr>
        <w:spacing w:after="200"/>
        <w:ind w:left="425" w:firstLine="0"/>
        <w:jc w:val="both"/>
        <w:rPr>
          <w:sz w:val="21"/>
          <w:szCs w:val="21"/>
        </w:rPr>
      </w:pPr>
      <w:hyperlink r:id="rId38">
        <w:r>
          <w:rPr>
            <w:color w:val="1155CC"/>
            <w:sz w:val="21"/>
            <w:szCs w:val="21"/>
            <w:u w:val="single"/>
          </w:rPr>
          <w:t>https://yaleclimateconnections.org/2023/04/a-mystery-in-the-pacific-is-complicating-climate-projections/</w:t>
        </w:r>
      </w:hyperlink>
      <w:r>
        <w:rPr>
          <w:sz w:val="21"/>
          <w:szCs w:val="21"/>
        </w:rPr>
        <w:t xml:space="preserve"> (accessed 19</w:t>
      </w:r>
      <w:r>
        <w:rPr>
          <w:sz w:val="21"/>
          <w:szCs w:val="21"/>
          <w:vertAlign w:val="superscript"/>
        </w:rPr>
        <w:t>th</w:t>
      </w:r>
      <w:r>
        <w:rPr>
          <w:sz w:val="21"/>
          <w:szCs w:val="21"/>
        </w:rPr>
        <w:t xml:space="preserve"> October 2023).</w:t>
      </w:r>
    </w:p>
    <w:p w:rsidR="005A63D1" w:rsidRDefault="00DB5899" w14:paraId="000003E6" w14:textId="77777777">
      <w:pPr>
        <w:pStyle w:val="Normal2"/>
        <w:pBdr>
          <w:top w:val="nil"/>
          <w:left w:val="nil"/>
          <w:bottom w:val="nil"/>
          <w:right w:val="nil"/>
          <w:between w:val="nil"/>
        </w:pBdr>
        <w:spacing w:after="0"/>
        <w:ind w:left="425" w:hanging="425"/>
        <w:jc w:val="both"/>
        <w:rPr>
          <w:sz w:val="21"/>
          <w:szCs w:val="21"/>
        </w:rPr>
      </w:pPr>
      <w:r>
        <w:rPr>
          <w:sz w:val="21"/>
          <w:szCs w:val="21"/>
        </w:rPr>
        <w:t xml:space="preserve">Krajick, Kevin. (2019). </w:t>
      </w:r>
      <w:r>
        <w:rPr>
          <w:i/>
          <w:sz w:val="21"/>
          <w:szCs w:val="21"/>
        </w:rPr>
        <w:t xml:space="preserve">Part of the Pacific Ocean Is Not Warming as Expected. Why?. </w:t>
      </w:r>
      <w:r>
        <w:rPr>
          <w:sz w:val="21"/>
          <w:szCs w:val="21"/>
        </w:rPr>
        <w:t xml:space="preserve">State of the Planet. Climate, Earth Sciences. Columbia Climate School. . Available at: </w:t>
      </w:r>
    </w:p>
    <w:p w:rsidR="005A63D1" w:rsidRDefault="00DB5899" w14:paraId="000003E7" w14:textId="77777777">
      <w:pPr>
        <w:pStyle w:val="Normal2"/>
        <w:pBdr>
          <w:top w:val="nil"/>
          <w:left w:val="nil"/>
          <w:bottom w:val="nil"/>
          <w:right w:val="nil"/>
          <w:between w:val="nil"/>
        </w:pBdr>
        <w:spacing w:after="200"/>
        <w:ind w:left="425" w:firstLine="0"/>
        <w:jc w:val="both"/>
        <w:rPr>
          <w:sz w:val="21"/>
          <w:szCs w:val="21"/>
        </w:rPr>
      </w:pPr>
      <w:hyperlink r:id="rId39">
        <w:r>
          <w:rPr>
            <w:color w:val="1155CC"/>
            <w:sz w:val="21"/>
            <w:szCs w:val="21"/>
            <w:u w:val="single"/>
          </w:rPr>
          <w:t>https://news.climate.columbia.edu/2019/06/24/pacific-ocean-cold-tongue/</w:t>
        </w:r>
      </w:hyperlink>
      <w:r>
        <w:rPr>
          <w:sz w:val="21"/>
          <w:szCs w:val="21"/>
        </w:rPr>
        <w:t xml:space="preserve"> (accessed 19</w:t>
      </w:r>
      <w:r>
        <w:rPr>
          <w:sz w:val="21"/>
          <w:szCs w:val="21"/>
          <w:vertAlign w:val="superscript"/>
        </w:rPr>
        <w:t>th</w:t>
      </w:r>
      <w:r>
        <w:rPr>
          <w:sz w:val="21"/>
          <w:szCs w:val="21"/>
        </w:rPr>
        <w:t xml:space="preserve"> October 2023).</w:t>
      </w:r>
    </w:p>
    <w:p w:rsidR="005A63D1" w:rsidRDefault="00DB5899" w14:paraId="000003E8" w14:textId="77777777">
      <w:pPr>
        <w:pStyle w:val="Normal2"/>
        <w:pBdr>
          <w:top w:val="nil"/>
          <w:left w:val="nil"/>
          <w:bottom w:val="nil"/>
          <w:right w:val="nil"/>
          <w:between w:val="nil"/>
        </w:pBdr>
        <w:spacing w:after="0"/>
        <w:ind w:left="425" w:hanging="425"/>
        <w:jc w:val="both"/>
        <w:rPr>
          <w:sz w:val="21"/>
          <w:szCs w:val="21"/>
        </w:rPr>
      </w:pPr>
      <w:r>
        <w:rPr>
          <w:sz w:val="21"/>
          <w:szCs w:val="21"/>
        </w:rPr>
        <w:t xml:space="preserve">Instituto Ecuatoriano de Estadísticas y Censos (INEC). (2010). </w:t>
      </w:r>
      <w:r>
        <w:rPr>
          <w:i/>
          <w:sz w:val="21"/>
          <w:szCs w:val="21"/>
        </w:rPr>
        <w:t>Fascículo Provincial Galápagos</w:t>
      </w:r>
      <w:r>
        <w:rPr>
          <w:sz w:val="21"/>
          <w:szCs w:val="21"/>
        </w:rPr>
        <w:t xml:space="preserve">. Resultados del Censo de Población y Vivienda en el Ecuador 2010. Available at: </w:t>
      </w:r>
    </w:p>
    <w:p w:rsidR="005A63D1" w:rsidRDefault="00DB5899" w14:paraId="000003E9" w14:textId="77777777">
      <w:pPr>
        <w:pStyle w:val="Normal2"/>
        <w:spacing w:after="200"/>
        <w:ind w:left="425" w:firstLine="0"/>
        <w:jc w:val="both"/>
        <w:rPr>
          <w:sz w:val="21"/>
          <w:szCs w:val="21"/>
        </w:rPr>
      </w:pPr>
      <w:hyperlink r:id="rId40">
        <w:r>
          <w:rPr>
            <w:color w:val="1155CC"/>
            <w:sz w:val="21"/>
            <w:szCs w:val="21"/>
            <w:u w:val="single"/>
          </w:rPr>
          <w:t>https://www.ecuadorencifras.gob.ec/wp-content/descargas/Manu-lateral/Resultados-provinciales/galapagos.pdf</w:t>
        </w:r>
      </w:hyperlink>
      <w:r>
        <w:rPr>
          <w:sz w:val="21"/>
          <w:szCs w:val="21"/>
        </w:rPr>
        <w:t xml:space="preserve"> (accessed 3</w:t>
      </w:r>
      <w:r>
        <w:rPr>
          <w:sz w:val="21"/>
          <w:szCs w:val="21"/>
          <w:vertAlign w:val="superscript"/>
        </w:rPr>
        <w:t>rd</w:t>
      </w:r>
      <w:r>
        <w:rPr>
          <w:sz w:val="21"/>
          <w:szCs w:val="21"/>
        </w:rPr>
        <w:t xml:space="preserve"> October 2023).</w:t>
      </w:r>
    </w:p>
    <w:p w:rsidR="005A63D1" w:rsidRDefault="00DB5899" w14:paraId="000003EA" w14:textId="77777777">
      <w:pPr>
        <w:pStyle w:val="Normal2"/>
        <w:pBdr>
          <w:top w:val="nil"/>
          <w:left w:val="nil"/>
          <w:bottom w:val="nil"/>
          <w:right w:val="nil"/>
          <w:between w:val="nil"/>
        </w:pBdr>
        <w:spacing w:after="0"/>
        <w:ind w:left="425" w:hanging="425"/>
        <w:jc w:val="both"/>
        <w:rPr>
          <w:sz w:val="21"/>
          <w:szCs w:val="21"/>
        </w:rPr>
      </w:pPr>
      <w:r>
        <w:rPr>
          <w:sz w:val="21"/>
          <w:szCs w:val="21"/>
        </w:rPr>
        <w:t xml:space="preserve">INEC. (2015). </w:t>
      </w:r>
      <w:r>
        <w:rPr>
          <w:i/>
          <w:sz w:val="21"/>
          <w:szCs w:val="21"/>
        </w:rPr>
        <w:t>Principales resultados Censo de Población y Vivienda Galápagos 2015</w:t>
      </w:r>
      <w:r>
        <w:rPr>
          <w:sz w:val="21"/>
          <w:szCs w:val="21"/>
        </w:rPr>
        <w:t xml:space="preserve">. Censo de Población y Vivienda Galápagos. Available at: </w:t>
      </w:r>
    </w:p>
    <w:p w:rsidR="005A63D1" w:rsidRDefault="00DB5899" w14:paraId="000003EB" w14:textId="77777777">
      <w:pPr>
        <w:pStyle w:val="Normal2"/>
        <w:spacing w:after="200"/>
        <w:ind w:left="425" w:firstLine="0"/>
        <w:jc w:val="both"/>
        <w:rPr>
          <w:sz w:val="21"/>
          <w:szCs w:val="21"/>
        </w:rPr>
      </w:pPr>
      <w:hyperlink r:id="rId41">
        <w:r>
          <w:rPr>
            <w:color w:val="1155CC"/>
            <w:sz w:val="21"/>
            <w:szCs w:val="21"/>
            <w:u w:val="single"/>
          </w:rPr>
          <w:t>https://www.ecuadorencifras.gob.ec/documentos/web-inec/Poblacion_y_Demografia/CPV_Galapagos_2015/Presentacion_CPVG15.pdf</w:t>
        </w:r>
      </w:hyperlink>
      <w:r>
        <w:rPr>
          <w:sz w:val="21"/>
          <w:szCs w:val="21"/>
        </w:rPr>
        <w:t xml:space="preserve"> (accessed 3</w:t>
      </w:r>
      <w:r>
        <w:rPr>
          <w:sz w:val="21"/>
          <w:szCs w:val="21"/>
          <w:vertAlign w:val="superscript"/>
        </w:rPr>
        <w:t>rd</w:t>
      </w:r>
      <w:r>
        <w:rPr>
          <w:sz w:val="21"/>
          <w:szCs w:val="21"/>
        </w:rPr>
        <w:t xml:space="preserve"> October 2023).</w:t>
      </w:r>
    </w:p>
    <w:p w:rsidR="005A63D1" w:rsidRDefault="00DB5899" w14:paraId="000003EC" w14:textId="77777777">
      <w:pPr>
        <w:pStyle w:val="Normal2"/>
        <w:pBdr>
          <w:top w:val="nil"/>
          <w:left w:val="nil"/>
          <w:bottom w:val="nil"/>
          <w:right w:val="nil"/>
          <w:between w:val="nil"/>
        </w:pBdr>
        <w:spacing w:after="0"/>
        <w:ind w:left="425" w:hanging="425"/>
        <w:jc w:val="both"/>
        <w:rPr>
          <w:sz w:val="21"/>
          <w:szCs w:val="21"/>
        </w:rPr>
      </w:pPr>
      <w:r>
        <w:rPr>
          <w:sz w:val="21"/>
          <w:szCs w:val="21"/>
        </w:rPr>
        <w:t xml:space="preserve">INEC. (2017). Memoria Estadística Galápagos. Available at: </w:t>
      </w:r>
    </w:p>
    <w:p w:rsidR="005A63D1" w:rsidRDefault="00DB5899" w14:paraId="000003ED" w14:textId="77777777">
      <w:pPr>
        <w:pStyle w:val="Normal2"/>
        <w:spacing w:after="200"/>
        <w:ind w:left="425" w:firstLine="0"/>
        <w:jc w:val="both"/>
        <w:rPr>
          <w:sz w:val="21"/>
          <w:szCs w:val="21"/>
        </w:rPr>
      </w:pPr>
      <w:hyperlink r:id="rId42">
        <w:r>
          <w:rPr>
            <w:color w:val="1155CC"/>
            <w:sz w:val="21"/>
            <w:szCs w:val="21"/>
            <w:u w:val="single"/>
          </w:rPr>
          <w:t>https://www.ecuadorencifras.gob.ec/documentos/web-inec/Bibliotecas/Libros/Memoria_Estadistica_Galapagos_2017.pdf</w:t>
        </w:r>
      </w:hyperlink>
      <w:r>
        <w:rPr>
          <w:sz w:val="21"/>
          <w:szCs w:val="21"/>
        </w:rPr>
        <w:t xml:space="preserve"> (accessed 4</w:t>
      </w:r>
      <w:r>
        <w:rPr>
          <w:sz w:val="21"/>
          <w:szCs w:val="21"/>
          <w:vertAlign w:val="superscript"/>
        </w:rPr>
        <w:t>th</w:t>
      </w:r>
      <w:r>
        <w:rPr>
          <w:sz w:val="21"/>
          <w:szCs w:val="21"/>
        </w:rPr>
        <w:t xml:space="preserve"> October 2023).</w:t>
      </w:r>
    </w:p>
    <w:p w:rsidR="005A63D1" w:rsidRDefault="00DB5899" w14:paraId="000003EE" w14:textId="77777777">
      <w:pPr>
        <w:pStyle w:val="Normal2"/>
        <w:spacing w:after="200"/>
        <w:ind w:left="0" w:firstLine="0"/>
        <w:jc w:val="both"/>
        <w:rPr>
          <w:sz w:val="21"/>
          <w:szCs w:val="21"/>
        </w:rPr>
      </w:pPr>
      <w:r>
        <w:rPr>
          <w:sz w:val="21"/>
          <w:szCs w:val="21"/>
        </w:rPr>
        <w:t xml:space="preserve">INEC. (2022). </w:t>
      </w:r>
      <w:r>
        <w:rPr>
          <w:i/>
          <w:sz w:val="21"/>
          <w:szCs w:val="21"/>
        </w:rPr>
        <w:t>Datos del Censo Penitenciario 2022</w:t>
      </w:r>
      <w:r>
        <w:rPr>
          <w:sz w:val="21"/>
          <w:szCs w:val="21"/>
        </w:rPr>
        <w:t>.</w:t>
      </w:r>
    </w:p>
    <w:p w:rsidR="005A63D1" w:rsidRDefault="00DB5899" w14:paraId="000003EF" w14:textId="77777777">
      <w:pPr>
        <w:pStyle w:val="Normal2"/>
        <w:spacing w:after="200"/>
        <w:ind w:left="425" w:firstLine="0"/>
        <w:jc w:val="both"/>
        <w:rPr>
          <w:sz w:val="21"/>
          <w:szCs w:val="21"/>
        </w:rPr>
      </w:pPr>
      <w:r>
        <w:rPr>
          <w:sz w:val="21"/>
          <w:szCs w:val="21"/>
        </w:rPr>
        <w:t xml:space="preserve">Larrea, I. and Di Carlo, G. (2011). </w:t>
      </w:r>
      <w:r>
        <w:rPr>
          <w:i/>
          <w:sz w:val="21"/>
          <w:szCs w:val="21"/>
        </w:rPr>
        <w:t>Climate Change Vulnerability Assessment of the Galápagos Islands.</w:t>
      </w:r>
      <w:r>
        <w:rPr>
          <w:sz w:val="21"/>
          <w:szCs w:val="21"/>
        </w:rPr>
        <w:t xml:space="preserve"> WWF and Conservation International, USA</w:t>
      </w:r>
    </w:p>
    <w:p w:rsidR="005A63D1" w:rsidRDefault="00DB5899" w14:paraId="000003F0" w14:textId="77777777">
      <w:pPr>
        <w:pStyle w:val="Normal2"/>
        <w:pBdr>
          <w:top w:val="nil"/>
          <w:left w:val="nil"/>
          <w:bottom w:val="nil"/>
          <w:right w:val="nil"/>
          <w:between w:val="nil"/>
        </w:pBdr>
        <w:spacing w:after="0"/>
        <w:ind w:left="425" w:hanging="425"/>
        <w:jc w:val="both"/>
        <w:rPr>
          <w:sz w:val="21"/>
          <w:szCs w:val="21"/>
        </w:rPr>
      </w:pPr>
      <w:r>
        <w:rPr>
          <w:sz w:val="21"/>
          <w:szCs w:val="21"/>
        </w:rPr>
        <w:t>Lindsey, Rebecca. (2016).</w:t>
      </w:r>
      <w:r>
        <w:rPr>
          <w:i/>
          <w:sz w:val="21"/>
          <w:szCs w:val="21"/>
        </w:rPr>
        <w:t xml:space="preserve"> As El Niño weakens, cool surface waters emerge in eastern tropical Pacific. </w:t>
      </w:r>
      <w:r>
        <w:rPr>
          <w:sz w:val="21"/>
          <w:szCs w:val="21"/>
        </w:rPr>
        <w:t>NOAA. Available at:</w:t>
      </w:r>
    </w:p>
    <w:p w:rsidR="005A63D1" w:rsidRDefault="00DB5899" w14:paraId="000003F1" w14:textId="77777777">
      <w:pPr>
        <w:pStyle w:val="Normal2"/>
        <w:spacing w:after="200"/>
        <w:ind w:left="425" w:firstLine="0"/>
        <w:jc w:val="both"/>
        <w:rPr>
          <w:sz w:val="21"/>
          <w:szCs w:val="21"/>
        </w:rPr>
      </w:pPr>
      <w:hyperlink r:id="rId43">
        <w:r>
          <w:rPr>
            <w:color w:val="1155CC"/>
            <w:sz w:val="21"/>
            <w:szCs w:val="21"/>
            <w:u w:val="single"/>
          </w:rPr>
          <w:t>https://www.climate.gov/news-features/featured-images/el-ni%C3%B1o-weakens-cool-surface-waters-emerge-eastern-tropical-pacific</w:t>
        </w:r>
      </w:hyperlink>
      <w:r>
        <w:rPr>
          <w:sz w:val="21"/>
          <w:szCs w:val="21"/>
        </w:rPr>
        <w:t xml:space="preserve"> (accessed 19</w:t>
      </w:r>
      <w:r>
        <w:rPr>
          <w:sz w:val="21"/>
          <w:szCs w:val="21"/>
          <w:vertAlign w:val="superscript"/>
        </w:rPr>
        <w:t>th</w:t>
      </w:r>
      <w:r>
        <w:rPr>
          <w:sz w:val="21"/>
          <w:szCs w:val="21"/>
        </w:rPr>
        <w:t xml:space="preserve"> October 2023).</w:t>
      </w:r>
    </w:p>
    <w:p w:rsidR="005A63D1" w:rsidRDefault="00DB5899" w14:paraId="000003F2" w14:textId="77777777">
      <w:pPr>
        <w:pStyle w:val="Normal2"/>
        <w:spacing w:after="200"/>
        <w:ind w:left="0" w:firstLine="0"/>
        <w:jc w:val="both"/>
        <w:rPr>
          <w:sz w:val="21"/>
          <w:szCs w:val="21"/>
        </w:rPr>
      </w:pPr>
      <w:r>
        <w:rPr>
          <w:sz w:val="21"/>
          <w:szCs w:val="21"/>
        </w:rPr>
        <w:t>Mar Viva. (2023).</w:t>
      </w:r>
      <w:r>
        <w:rPr>
          <w:i/>
          <w:sz w:val="21"/>
          <w:szCs w:val="21"/>
        </w:rPr>
        <w:t xml:space="preserve"> Interview AAE-MARVIVA Panamá on Gender Issues.</w:t>
      </w:r>
      <w:r>
        <w:rPr>
          <w:sz w:val="21"/>
          <w:szCs w:val="21"/>
        </w:rPr>
        <w:t xml:space="preserve"> 2023.12.05 </w:t>
      </w:r>
    </w:p>
    <w:p w:rsidR="005A63D1" w:rsidRDefault="00DB5899" w14:paraId="000003F3" w14:textId="77777777">
      <w:pPr>
        <w:pStyle w:val="Normal2"/>
        <w:pBdr>
          <w:top w:val="nil"/>
          <w:left w:val="nil"/>
          <w:bottom w:val="nil"/>
          <w:right w:val="nil"/>
          <w:between w:val="nil"/>
        </w:pBdr>
        <w:spacing w:after="200"/>
        <w:ind w:left="425" w:hanging="425"/>
        <w:jc w:val="both"/>
        <w:rPr>
          <w:i/>
          <w:sz w:val="21"/>
          <w:szCs w:val="21"/>
        </w:rPr>
      </w:pPr>
      <w:r>
        <w:rPr>
          <w:sz w:val="21"/>
          <w:szCs w:val="21"/>
        </w:rPr>
        <w:t xml:space="preserve">Mar Viva. (2021). </w:t>
      </w:r>
      <w:r>
        <w:rPr>
          <w:i/>
          <w:sz w:val="21"/>
          <w:szCs w:val="21"/>
        </w:rPr>
        <w:t>Zonificación Parque Nacional Coiba.</w:t>
      </w:r>
    </w:p>
    <w:p w:rsidR="005A63D1" w:rsidRDefault="00DB5899" w14:paraId="000003F4"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MINAMBIENTE. (2018). </w:t>
      </w:r>
      <w:r>
        <w:rPr>
          <w:i/>
          <w:sz w:val="21"/>
          <w:szCs w:val="21"/>
        </w:rPr>
        <w:t>Management Plan</w:t>
      </w:r>
      <w:r>
        <w:rPr>
          <w:sz w:val="21"/>
          <w:szCs w:val="21"/>
        </w:rPr>
        <w:t>. National Natural Park Gorgona 2018-2023.</w:t>
      </w:r>
    </w:p>
    <w:p w:rsidR="005A63D1" w:rsidRDefault="00DB5899" w14:paraId="000003F5"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MINAMBIENTE. (2022). </w:t>
      </w:r>
      <w:r>
        <w:rPr>
          <w:i/>
          <w:sz w:val="21"/>
          <w:szCs w:val="21"/>
        </w:rPr>
        <w:t xml:space="preserve">Resolución Nº 0671: “Por medio de la cual se declara, reserva, delimita y alindera como Distrito Nacional de Manejo Integrado Colinas y Lomas Submarinas de la Cuenca Pacífico Norte, un área ubicada en el extremo norte del territorio marítimo de Colombia sobre la Cuenca del Pacífico”. </w:t>
      </w:r>
      <w:r>
        <w:rPr>
          <w:sz w:val="21"/>
          <w:szCs w:val="21"/>
        </w:rPr>
        <w:t xml:space="preserve">28 de junio de 2022. República de Colombia. </w:t>
      </w:r>
    </w:p>
    <w:p w:rsidR="005A63D1" w:rsidRDefault="00DB5899" w14:paraId="000003F6" w14:textId="77777777">
      <w:pPr>
        <w:pStyle w:val="Normal2"/>
        <w:pBdr>
          <w:top w:val="nil"/>
          <w:left w:val="nil"/>
          <w:bottom w:val="nil"/>
          <w:right w:val="nil"/>
          <w:between w:val="nil"/>
        </w:pBdr>
        <w:spacing w:after="200"/>
        <w:ind w:left="425" w:hanging="425"/>
        <w:jc w:val="both"/>
        <w:rPr>
          <w:i/>
          <w:sz w:val="21"/>
          <w:szCs w:val="21"/>
        </w:rPr>
      </w:pPr>
      <w:r>
        <w:rPr>
          <w:sz w:val="21"/>
          <w:szCs w:val="21"/>
        </w:rPr>
        <w:t xml:space="preserve">Ministerio del Ambiente, Agua y Transición Ecológica de Ecuador. (2022). </w:t>
      </w:r>
      <w:r>
        <w:rPr>
          <w:i/>
          <w:sz w:val="21"/>
          <w:szCs w:val="21"/>
        </w:rPr>
        <w:t>Management Plan: Hermandad Marine Reserve.</w:t>
      </w:r>
    </w:p>
    <w:p w:rsidR="005A63D1" w:rsidRDefault="00DB5899" w14:paraId="000003F7" w14:textId="77777777">
      <w:pPr>
        <w:pStyle w:val="Normal2"/>
        <w:shd w:val="clear" w:color="auto" w:fill="FFFFFF"/>
        <w:spacing w:after="200" w:line="276" w:lineRule="auto"/>
        <w:ind w:left="425" w:hanging="425"/>
        <w:jc w:val="both"/>
        <w:rPr>
          <w:i/>
          <w:sz w:val="21"/>
          <w:szCs w:val="21"/>
        </w:rPr>
      </w:pPr>
      <w:r>
        <w:rPr>
          <w:sz w:val="21"/>
          <w:szCs w:val="21"/>
        </w:rPr>
        <w:t>NASA Earth Observatory. (2021).</w:t>
      </w:r>
      <w:r>
        <w:rPr>
          <w:i/>
          <w:sz w:val="21"/>
          <w:szCs w:val="21"/>
        </w:rPr>
        <w:t xml:space="preserve"> Early Storm in the Eastern Pacific. </w:t>
      </w:r>
      <w:r>
        <w:rPr>
          <w:sz w:val="21"/>
          <w:szCs w:val="21"/>
        </w:rPr>
        <w:t xml:space="preserve">Available at:  </w:t>
      </w:r>
      <w:hyperlink r:id="rId44">
        <w:r>
          <w:rPr>
            <w:color w:val="1155CC"/>
            <w:sz w:val="21"/>
            <w:szCs w:val="21"/>
            <w:u w:val="single"/>
          </w:rPr>
          <w:t>https://earthobservatory.nasa.gov/images/148298/early-storm-in-the-eastern-pacific</w:t>
        </w:r>
      </w:hyperlink>
      <w:r>
        <w:rPr>
          <w:sz w:val="21"/>
          <w:szCs w:val="21"/>
        </w:rPr>
        <w:t xml:space="preserve"> (accessed 18th October 2023).</w:t>
      </w:r>
    </w:p>
    <w:p w:rsidR="005A63D1" w:rsidRDefault="00DB5899" w14:paraId="000003F8"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National Oceanic and Atmospheric Administration (NOAA) (n.d.). </w:t>
      </w:r>
      <w:r>
        <w:rPr>
          <w:i/>
          <w:sz w:val="21"/>
          <w:szCs w:val="21"/>
        </w:rPr>
        <w:t>Eastern Tropical Pacific Seascape Project</w:t>
      </w:r>
      <w:r>
        <w:rPr>
          <w:sz w:val="21"/>
          <w:szCs w:val="21"/>
        </w:rPr>
        <w:t xml:space="preserve">. Available at:  </w:t>
      </w:r>
      <w:hyperlink r:id="rId45">
        <w:r>
          <w:rPr>
            <w:color w:val="0000FF"/>
            <w:sz w:val="21"/>
            <w:szCs w:val="21"/>
            <w:u w:val="single"/>
          </w:rPr>
          <w:t>https://sanctuaries.noaa.gov/management/international/mpa_epacific.html</w:t>
        </w:r>
      </w:hyperlink>
      <w:r>
        <w:rPr>
          <w:sz w:val="21"/>
          <w:szCs w:val="21"/>
        </w:rPr>
        <w:t xml:space="preserve"> (accessed 18th October 2023).</w:t>
      </w:r>
    </w:p>
    <w:p w:rsidR="005A63D1" w:rsidRDefault="00DB5899" w14:paraId="000003F9" w14:textId="77777777">
      <w:pPr>
        <w:pStyle w:val="Normal2"/>
        <w:spacing w:after="200"/>
        <w:ind w:left="425" w:firstLine="0"/>
        <w:jc w:val="both"/>
        <w:rPr>
          <w:sz w:val="21"/>
          <w:szCs w:val="21"/>
        </w:rPr>
      </w:pPr>
      <w:r>
        <w:rPr>
          <w:sz w:val="21"/>
          <w:szCs w:val="21"/>
        </w:rPr>
        <w:t xml:space="preserve">PACA (2020). </w:t>
      </w:r>
      <w:r>
        <w:rPr>
          <w:i/>
          <w:sz w:val="21"/>
          <w:szCs w:val="21"/>
        </w:rPr>
        <w:t>Towards Joint Integrated, Ecosystem-based Management of the Pacific Central American.</w:t>
      </w:r>
    </w:p>
    <w:p w:rsidR="005A63D1" w:rsidRDefault="00DB5899" w14:paraId="000003FA"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Palacios D., Felix F., Montecinos Y., Najera E., Kelez S., Samaniego J.,Velásquez P., Zapata L, Lancaster M., Friedlaender A.S., Castro C.A., Quintana E., Bermúdez-Rivas C., Cazas JJ., Villamil Echeverri C., Rojas Bracho L.,Sepúlveda M., Medrano-Gonzales L., Santillan L., Aguilar Arakaki R., Pineda, L., Reisinger R., and Johnson C.M. (2023). </w:t>
      </w:r>
      <w:r>
        <w:rPr>
          <w:i/>
          <w:sz w:val="21"/>
          <w:szCs w:val="21"/>
        </w:rPr>
        <w:t>Corredor Azul del Pacífico Oriental: Oportunidades y acciones para la protección de ballenas migratorias.</w:t>
      </w:r>
      <w:r>
        <w:rPr>
          <w:sz w:val="21"/>
          <w:szCs w:val="21"/>
        </w:rPr>
        <w:t xml:space="preserve"> Informe técnico. Fondo Mundial para la Naturaleza (WWF). </w:t>
      </w:r>
    </w:p>
    <w:p w:rsidR="005A63D1" w:rsidRDefault="00DB5899" w14:paraId="000003FB"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Paltán, H.A., Benitez, F.L., Rosero, P. et al. (2021). </w:t>
      </w:r>
      <w:r>
        <w:rPr>
          <w:i/>
          <w:sz w:val="21"/>
          <w:szCs w:val="21"/>
        </w:rPr>
        <w:t>Climate and sea surface trends in the Galapagos Islands.</w:t>
      </w:r>
      <w:r>
        <w:rPr>
          <w:sz w:val="21"/>
          <w:szCs w:val="21"/>
        </w:rPr>
        <w:t xml:space="preserve"> Sci Rep 11, 14465.</w:t>
      </w:r>
    </w:p>
    <w:p w:rsidR="005A63D1" w:rsidRDefault="00DB5899" w14:paraId="000003FC" w14:textId="77777777">
      <w:pPr>
        <w:pStyle w:val="Normal2"/>
        <w:pBdr>
          <w:top w:val="nil"/>
          <w:left w:val="nil"/>
          <w:bottom w:val="nil"/>
          <w:right w:val="nil"/>
          <w:between w:val="nil"/>
        </w:pBdr>
        <w:spacing w:after="0"/>
        <w:ind w:left="425" w:hanging="425"/>
        <w:jc w:val="both"/>
        <w:rPr>
          <w:sz w:val="21"/>
          <w:szCs w:val="21"/>
        </w:rPr>
      </w:pPr>
      <w:r>
        <w:rPr>
          <w:sz w:val="21"/>
          <w:szCs w:val="21"/>
        </w:rPr>
        <w:t>Parques Nacionales Naturales de Colombia (PNNC). (2023a)</w:t>
      </w:r>
      <w:r>
        <w:rPr>
          <w:i/>
          <w:sz w:val="21"/>
          <w:szCs w:val="21"/>
        </w:rPr>
        <w:t xml:space="preserve">. Distrito Nacional de Manejo Integrado Yuruparí – Malpelo. </w:t>
      </w:r>
      <w:r>
        <w:rPr>
          <w:sz w:val="21"/>
          <w:szCs w:val="21"/>
        </w:rPr>
        <w:t xml:space="preserve">Available at: </w:t>
      </w:r>
    </w:p>
    <w:p w:rsidR="005A63D1" w:rsidRDefault="00DB5899" w14:paraId="000003FD" w14:textId="77777777">
      <w:pPr>
        <w:pStyle w:val="Normal2"/>
        <w:spacing w:after="200"/>
        <w:ind w:left="425" w:firstLine="0"/>
        <w:jc w:val="both"/>
        <w:rPr>
          <w:i/>
          <w:sz w:val="21"/>
          <w:szCs w:val="21"/>
        </w:rPr>
      </w:pPr>
      <w:hyperlink w:anchor="1681508222362-1db9e9a9-7c6f" r:id="rId46">
        <w:r>
          <w:rPr>
            <w:color w:val="1155CC"/>
            <w:sz w:val="21"/>
            <w:szCs w:val="21"/>
            <w:u w:val="single"/>
          </w:rPr>
          <w:t>https://www.parquesnacionales.gov.co/nuestros-parques/dmi-yurupari-malpelo/#1681508222362-1db9e9a9-7c6f</w:t>
        </w:r>
      </w:hyperlink>
      <w:r>
        <w:rPr>
          <w:sz w:val="21"/>
          <w:szCs w:val="21"/>
        </w:rPr>
        <w:t xml:space="preserve"> (accessed 19</w:t>
      </w:r>
      <w:r>
        <w:rPr>
          <w:sz w:val="21"/>
          <w:szCs w:val="21"/>
          <w:vertAlign w:val="superscript"/>
        </w:rPr>
        <w:t>th</w:t>
      </w:r>
      <w:r>
        <w:rPr>
          <w:sz w:val="21"/>
          <w:szCs w:val="21"/>
        </w:rPr>
        <w:t xml:space="preserve"> October 2023).</w:t>
      </w:r>
    </w:p>
    <w:p w:rsidR="005A63D1" w:rsidRDefault="00DB5899" w14:paraId="000003FE" w14:textId="77777777">
      <w:pPr>
        <w:pStyle w:val="Normal2"/>
        <w:pBdr>
          <w:top w:val="nil"/>
          <w:left w:val="nil"/>
          <w:bottom w:val="nil"/>
          <w:right w:val="nil"/>
          <w:between w:val="nil"/>
        </w:pBdr>
        <w:spacing w:after="0"/>
        <w:ind w:left="0" w:firstLine="0"/>
        <w:jc w:val="both"/>
        <w:rPr>
          <w:sz w:val="21"/>
          <w:szCs w:val="21"/>
        </w:rPr>
      </w:pPr>
      <w:r>
        <w:rPr>
          <w:sz w:val="21"/>
          <w:szCs w:val="21"/>
        </w:rPr>
        <w:t>PNNC. (2023b)</w:t>
      </w:r>
      <w:r>
        <w:rPr>
          <w:i/>
          <w:sz w:val="21"/>
          <w:szCs w:val="21"/>
        </w:rPr>
        <w:t xml:space="preserve">. Santuario de Fauna y Flora Malpelo. </w:t>
      </w:r>
      <w:r>
        <w:rPr>
          <w:sz w:val="21"/>
          <w:szCs w:val="21"/>
        </w:rPr>
        <w:t xml:space="preserve">Available at: </w:t>
      </w:r>
    </w:p>
    <w:p w:rsidR="005A63D1" w:rsidRDefault="00DB5899" w14:paraId="000003FF" w14:textId="77777777">
      <w:pPr>
        <w:pStyle w:val="Normal2"/>
        <w:pBdr>
          <w:top w:val="nil"/>
          <w:left w:val="nil"/>
          <w:bottom w:val="nil"/>
          <w:right w:val="nil"/>
          <w:between w:val="nil"/>
        </w:pBdr>
        <w:spacing w:after="200"/>
        <w:ind w:left="425" w:firstLine="0"/>
        <w:jc w:val="both"/>
        <w:rPr>
          <w:sz w:val="21"/>
          <w:szCs w:val="21"/>
        </w:rPr>
      </w:pPr>
      <w:hyperlink r:id="rId47">
        <w:r>
          <w:rPr>
            <w:color w:val="1155CC"/>
            <w:sz w:val="21"/>
            <w:szCs w:val="21"/>
            <w:u w:val="single"/>
          </w:rPr>
          <w:t>https://old.parquesnacionales.gov.co/portal/es/ecoturismo/parques/region-pacifico/santuario-de-flora-y-fauna-malpelo/</w:t>
        </w:r>
      </w:hyperlink>
      <w:r>
        <w:rPr>
          <w:sz w:val="21"/>
          <w:szCs w:val="21"/>
        </w:rPr>
        <w:t xml:space="preserve"> (accessed 19</w:t>
      </w:r>
      <w:r>
        <w:rPr>
          <w:sz w:val="21"/>
          <w:szCs w:val="21"/>
          <w:vertAlign w:val="superscript"/>
        </w:rPr>
        <w:t>th</w:t>
      </w:r>
      <w:r>
        <w:rPr>
          <w:sz w:val="21"/>
          <w:szCs w:val="21"/>
        </w:rPr>
        <w:t xml:space="preserve"> October 2023).</w:t>
      </w:r>
    </w:p>
    <w:p w:rsidR="005A63D1" w:rsidRDefault="00DB5899" w14:paraId="00000400" w14:textId="77777777">
      <w:pPr>
        <w:pStyle w:val="Normal2"/>
        <w:pBdr>
          <w:top w:val="nil"/>
          <w:left w:val="nil"/>
          <w:bottom w:val="nil"/>
          <w:right w:val="nil"/>
          <w:between w:val="nil"/>
        </w:pBdr>
        <w:spacing w:after="0"/>
        <w:ind w:left="425" w:hanging="425"/>
        <w:rPr>
          <w:sz w:val="21"/>
          <w:szCs w:val="21"/>
        </w:rPr>
      </w:pPr>
      <w:r>
        <w:rPr>
          <w:sz w:val="21"/>
          <w:szCs w:val="21"/>
        </w:rPr>
        <w:t>PNNC. (n.d.).</w:t>
      </w:r>
      <w:r>
        <w:rPr>
          <w:i/>
          <w:sz w:val="21"/>
          <w:szCs w:val="21"/>
        </w:rPr>
        <w:t xml:space="preserve"> Actividades Ecoturísticas: Gorgona</w:t>
      </w:r>
      <w:r>
        <w:rPr>
          <w:sz w:val="21"/>
          <w:szCs w:val="21"/>
        </w:rPr>
        <w:t xml:space="preserve">. Available at: </w:t>
      </w:r>
      <w:hyperlink r:id="rId48">
        <w:r>
          <w:rPr>
            <w:color w:val="1155CC"/>
            <w:sz w:val="21"/>
            <w:szCs w:val="21"/>
            <w:u w:val="single"/>
          </w:rPr>
          <w:t>https://old.parquesnacionales.gov.co/portal/es/ecoturismo/parques/region-pacifico/parque-nacional-natural-gorgona/actividades/</w:t>
        </w:r>
      </w:hyperlink>
      <w:r>
        <w:rPr>
          <w:sz w:val="21"/>
          <w:szCs w:val="21"/>
        </w:rPr>
        <w:t xml:space="preserve"> (accessed 14</w:t>
      </w:r>
      <w:r>
        <w:rPr>
          <w:sz w:val="21"/>
          <w:szCs w:val="21"/>
          <w:vertAlign w:val="superscript"/>
        </w:rPr>
        <w:t>th</w:t>
      </w:r>
      <w:r>
        <w:rPr>
          <w:sz w:val="21"/>
          <w:szCs w:val="21"/>
        </w:rPr>
        <w:t xml:space="preserve"> March 2024).</w:t>
      </w:r>
    </w:p>
    <w:p w:rsidR="005A63D1" w:rsidRDefault="005A63D1" w14:paraId="00000401" w14:textId="77777777">
      <w:pPr>
        <w:pStyle w:val="Normal2"/>
        <w:pBdr>
          <w:top w:val="nil"/>
          <w:left w:val="nil"/>
          <w:bottom w:val="nil"/>
          <w:right w:val="nil"/>
          <w:between w:val="nil"/>
        </w:pBdr>
        <w:spacing w:after="0"/>
        <w:ind w:left="0" w:firstLine="0"/>
        <w:jc w:val="both"/>
        <w:rPr>
          <w:sz w:val="21"/>
          <w:szCs w:val="21"/>
        </w:rPr>
      </w:pPr>
    </w:p>
    <w:p w:rsidR="005A63D1" w:rsidRDefault="00DB5899" w14:paraId="00000402"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Poloczanska, E. S., Burrows, M. T., Brown, C. J., Molinos, J. G., Halpern, B. S., HoeghGuldberg, O., Kappel, C. V., Moore, P. J., Richardson, A. J., Schoeman, D. S. &amp; Sydeman, W. J. (2016). </w:t>
      </w:r>
      <w:r>
        <w:rPr>
          <w:i/>
          <w:sz w:val="21"/>
          <w:szCs w:val="21"/>
        </w:rPr>
        <w:t>Responses of marine organisms to climate change across oceans</w:t>
      </w:r>
      <w:r>
        <w:rPr>
          <w:sz w:val="21"/>
          <w:szCs w:val="21"/>
        </w:rPr>
        <w:t>. Frontiers in Marine Science 3, 1–21.</w:t>
      </w:r>
    </w:p>
    <w:p w:rsidR="005A63D1" w:rsidRDefault="00DB5899" w14:paraId="00000403"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Seager, R., Cane, M., Henderson, N. et al. (2019). </w:t>
      </w:r>
      <w:r>
        <w:rPr>
          <w:i/>
          <w:sz w:val="21"/>
          <w:szCs w:val="21"/>
        </w:rPr>
        <w:t xml:space="preserve">Strengthening tropical Pacific zonal sea surface temperature gradient consistent with rising greenhouse gases. </w:t>
      </w:r>
      <w:r>
        <w:rPr>
          <w:sz w:val="21"/>
          <w:szCs w:val="21"/>
        </w:rPr>
        <w:t xml:space="preserve">Nature Climate Change. 9, 517–522 (2019). </w:t>
      </w:r>
    </w:p>
    <w:p w:rsidR="005A63D1" w:rsidRDefault="00DB5899" w14:paraId="00000404"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Solis Rivera, V. (2013). </w:t>
      </w:r>
      <w:r>
        <w:rPr>
          <w:i/>
          <w:sz w:val="21"/>
          <w:szCs w:val="21"/>
        </w:rPr>
        <w:t>Fisheries and gender equality</w:t>
      </w:r>
      <w:r>
        <w:rPr>
          <w:sz w:val="21"/>
          <w:szCs w:val="21"/>
        </w:rPr>
        <w:t xml:space="preserve">. Available at: </w:t>
      </w:r>
      <w:hyperlink r:id="rId49">
        <w:r>
          <w:rPr>
            <w:color w:val="1155CC"/>
            <w:sz w:val="21"/>
            <w:szCs w:val="21"/>
            <w:u w:val="single"/>
          </w:rPr>
          <w:t>https://womensmajorgroup.org/wp-content/uploads/2014/05/Fisheries_and_gender_equality.pdf</w:t>
        </w:r>
      </w:hyperlink>
      <w:r>
        <w:rPr>
          <w:sz w:val="21"/>
          <w:szCs w:val="21"/>
        </w:rPr>
        <w:t xml:space="preserve"> (accessed 20th October 2023).</w:t>
      </w:r>
    </w:p>
    <w:p w:rsidR="005A63D1" w:rsidRDefault="00DB5899" w14:paraId="00000405"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Sullivan Sealey, K. &amp; G. Bustamante. (1999). </w:t>
      </w:r>
      <w:r>
        <w:rPr>
          <w:i/>
          <w:sz w:val="21"/>
          <w:szCs w:val="21"/>
        </w:rPr>
        <w:t>Setting geographic priorities for marine conservation in Latin America and the Caribbean</w:t>
      </w:r>
      <w:r>
        <w:rPr>
          <w:sz w:val="21"/>
          <w:szCs w:val="21"/>
        </w:rPr>
        <w:t>. The Nature Conservancy, Arlington, Virginia.</w:t>
      </w:r>
    </w:p>
    <w:p w:rsidR="005A63D1" w:rsidRDefault="00DB5899" w14:paraId="00000406"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The Guardian. (2021). </w:t>
      </w:r>
      <w:r>
        <w:rPr>
          <w:i/>
          <w:sz w:val="21"/>
          <w:szCs w:val="21"/>
        </w:rPr>
        <w:t xml:space="preserve">Latin American countries join reserves to create vast marine protected area. </w:t>
      </w:r>
      <w:r>
        <w:rPr>
          <w:sz w:val="21"/>
          <w:szCs w:val="21"/>
        </w:rPr>
        <w:t xml:space="preserve">Available at: </w:t>
      </w:r>
      <w:hyperlink r:id="rId50">
        <w:r>
          <w:rPr>
            <w:color w:val="1155CC"/>
            <w:sz w:val="21"/>
            <w:szCs w:val="21"/>
            <w:u w:val="single"/>
          </w:rPr>
          <w:t>https://www.theguardian.com/environment/2021/nov/02/four-latin-american-countries-join-protected-marine-reserves-to-create-mega-mpa</w:t>
        </w:r>
      </w:hyperlink>
      <w:r>
        <w:rPr>
          <w:sz w:val="21"/>
          <w:szCs w:val="21"/>
        </w:rPr>
        <w:t xml:space="preserve"> (accessed 20</w:t>
      </w:r>
      <w:r>
        <w:rPr>
          <w:sz w:val="21"/>
          <w:szCs w:val="21"/>
          <w:vertAlign w:val="superscript"/>
        </w:rPr>
        <w:t>th</w:t>
      </w:r>
      <w:r>
        <w:rPr>
          <w:sz w:val="21"/>
          <w:szCs w:val="21"/>
        </w:rPr>
        <w:t xml:space="preserve"> October 2023).</w:t>
      </w:r>
    </w:p>
    <w:p w:rsidR="005A63D1" w:rsidRDefault="00DB5899" w14:paraId="00000407" w14:textId="77777777">
      <w:pPr>
        <w:pStyle w:val="Normal2"/>
        <w:pBdr>
          <w:top w:val="nil"/>
          <w:left w:val="nil"/>
          <w:bottom w:val="nil"/>
          <w:right w:val="nil"/>
          <w:between w:val="nil"/>
        </w:pBdr>
        <w:spacing w:after="200"/>
        <w:ind w:left="425" w:hanging="425"/>
        <w:jc w:val="both"/>
        <w:rPr>
          <w:color w:val="0075D1"/>
          <w:sz w:val="21"/>
          <w:szCs w:val="21"/>
        </w:rPr>
      </w:pPr>
      <w:r>
        <w:rPr>
          <w:sz w:val="21"/>
          <w:szCs w:val="21"/>
        </w:rPr>
        <w:t xml:space="preserve">UNESCO. (2015). </w:t>
      </w:r>
      <w:r>
        <w:rPr>
          <w:i/>
          <w:sz w:val="21"/>
          <w:szCs w:val="21"/>
        </w:rPr>
        <w:t xml:space="preserve">Reserva de la Biosfera Archipiélago de Colón - Galápagos (Ecuador). </w:t>
      </w:r>
      <w:r>
        <w:rPr>
          <w:sz w:val="21"/>
          <w:szCs w:val="21"/>
        </w:rPr>
        <w:t xml:space="preserve">Available at: </w:t>
      </w:r>
      <w:hyperlink w:anchor=":~:text=M%C3%A1s%20de%2045%20especies%20de,plantas%20vasculares%2C%20bri%C3%B3fitas%20y%20algas" r:id="rId51">
        <w:r>
          <w:rPr>
            <w:color w:val="1155CC"/>
            <w:sz w:val="21"/>
            <w:szCs w:val="21"/>
            <w:u w:val="single"/>
          </w:rPr>
          <w:t>https://es.unesco.org/biosphere/lac/galapagos#:~:text=M%C3%A1s%20de%2045%20especies%20de,plantas%20vasculares%2C%20bri%C3%B3fitas%20y%20algas</w:t>
        </w:r>
      </w:hyperlink>
      <w:r>
        <w:rPr>
          <w:sz w:val="21"/>
          <w:szCs w:val="21"/>
        </w:rPr>
        <w:t xml:space="preserve"> (accessed 20</w:t>
      </w:r>
      <w:r>
        <w:rPr>
          <w:sz w:val="21"/>
          <w:szCs w:val="21"/>
          <w:vertAlign w:val="superscript"/>
        </w:rPr>
        <w:t>th</w:t>
      </w:r>
      <w:r>
        <w:rPr>
          <w:sz w:val="21"/>
          <w:szCs w:val="21"/>
        </w:rPr>
        <w:t xml:space="preserve"> October 2023).</w:t>
      </w:r>
    </w:p>
    <w:p w:rsidR="005A63D1" w:rsidRDefault="00DB5899" w14:paraId="00000408"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UNESCO. (2023). </w:t>
      </w:r>
      <w:r>
        <w:rPr>
          <w:i/>
          <w:sz w:val="21"/>
          <w:szCs w:val="21"/>
        </w:rPr>
        <w:t xml:space="preserve">Malpelo Fauna and Flora Sanctuary. </w:t>
      </w:r>
      <w:r>
        <w:rPr>
          <w:sz w:val="21"/>
          <w:szCs w:val="21"/>
        </w:rPr>
        <w:t xml:space="preserve">Available at: </w:t>
      </w:r>
      <w:hyperlink r:id="rId52">
        <w:r>
          <w:rPr>
            <w:color w:val="1155CC"/>
            <w:sz w:val="21"/>
            <w:szCs w:val="21"/>
            <w:u w:val="single"/>
          </w:rPr>
          <w:t>https://whc.unesco.org/en/list/1216/</w:t>
        </w:r>
      </w:hyperlink>
      <w:r>
        <w:rPr>
          <w:sz w:val="21"/>
          <w:szCs w:val="21"/>
        </w:rPr>
        <w:t xml:space="preserve"> (accessed 19</w:t>
      </w:r>
      <w:r>
        <w:rPr>
          <w:sz w:val="21"/>
          <w:szCs w:val="21"/>
          <w:vertAlign w:val="superscript"/>
        </w:rPr>
        <w:t>th</w:t>
      </w:r>
      <w:r>
        <w:rPr>
          <w:sz w:val="21"/>
          <w:szCs w:val="21"/>
        </w:rPr>
        <w:t xml:space="preserve"> October 2023).</w:t>
      </w:r>
    </w:p>
    <w:p w:rsidR="005A63D1" w:rsidRDefault="00DB5899" w14:paraId="00000409"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USAID (2023). Usaid/South America Region Gender and Fisheries Analysis. Available at: </w:t>
      </w:r>
      <w:hyperlink r:id="rId53">
        <w:r>
          <w:rPr>
            <w:color w:val="1155CC"/>
            <w:sz w:val="21"/>
            <w:szCs w:val="21"/>
            <w:u w:val="single"/>
          </w:rPr>
          <w:t>https://banyanglobal.com/wp-content/uploads/2023/07/USAID-South-America-Region-Gender-and-Fisheries-Analysis.pdf</w:t>
        </w:r>
      </w:hyperlink>
      <w:r>
        <w:rPr>
          <w:sz w:val="21"/>
          <w:szCs w:val="21"/>
        </w:rPr>
        <w:t xml:space="preserve"> (accessed 20</w:t>
      </w:r>
      <w:r>
        <w:rPr>
          <w:sz w:val="21"/>
          <w:szCs w:val="21"/>
          <w:vertAlign w:val="superscript"/>
        </w:rPr>
        <w:t>th</w:t>
      </w:r>
      <w:r>
        <w:rPr>
          <w:sz w:val="21"/>
          <w:szCs w:val="21"/>
        </w:rPr>
        <w:t xml:space="preserve"> October 2023).</w:t>
      </w:r>
    </w:p>
    <w:p w:rsidR="005A63D1" w:rsidRDefault="00DB5899" w14:paraId="0000040A"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Vive Gorgona. (2024). Turismo Sostenible. Available at: </w:t>
      </w:r>
      <w:hyperlink r:id="rId54">
        <w:r>
          <w:rPr>
            <w:color w:val="1155CC"/>
            <w:sz w:val="21"/>
            <w:szCs w:val="21"/>
            <w:u w:val="single"/>
          </w:rPr>
          <w:t>https://islagorgona.co/turismo-sostenible/</w:t>
        </w:r>
      </w:hyperlink>
      <w:r>
        <w:rPr>
          <w:sz w:val="21"/>
          <w:szCs w:val="21"/>
        </w:rPr>
        <w:t xml:space="preserve"> (accessed 14</w:t>
      </w:r>
      <w:r>
        <w:rPr>
          <w:sz w:val="21"/>
          <w:szCs w:val="21"/>
          <w:vertAlign w:val="superscript"/>
        </w:rPr>
        <w:t>th</w:t>
      </w:r>
      <w:r>
        <w:rPr>
          <w:sz w:val="21"/>
          <w:szCs w:val="21"/>
        </w:rPr>
        <w:t xml:space="preserve"> March 2024).</w:t>
      </w:r>
    </w:p>
    <w:p w:rsidR="005A63D1" w:rsidRDefault="00DB5899" w14:paraId="0000040B" w14:textId="77777777">
      <w:pPr>
        <w:pStyle w:val="Normal2"/>
        <w:pBdr>
          <w:top w:val="nil"/>
          <w:left w:val="nil"/>
          <w:bottom w:val="nil"/>
          <w:right w:val="nil"/>
          <w:between w:val="nil"/>
        </w:pBdr>
        <w:spacing w:after="200"/>
        <w:ind w:left="425" w:hanging="425"/>
        <w:jc w:val="both"/>
        <w:rPr>
          <w:sz w:val="21"/>
          <w:szCs w:val="21"/>
        </w:rPr>
      </w:pPr>
      <w:r>
        <w:rPr>
          <w:sz w:val="21"/>
          <w:szCs w:val="21"/>
        </w:rPr>
        <w:t xml:space="preserve">Wyss Foundation. (2023). </w:t>
      </w:r>
      <w:r>
        <w:rPr>
          <w:i/>
          <w:sz w:val="21"/>
          <w:szCs w:val="21"/>
        </w:rPr>
        <w:t>Cordillera de Coiba Marine Protected Area (Panama)</w:t>
      </w:r>
      <w:r>
        <w:rPr>
          <w:sz w:val="21"/>
          <w:szCs w:val="21"/>
        </w:rPr>
        <w:t xml:space="preserve">. Available at: </w:t>
      </w:r>
      <w:hyperlink r:id="rId55">
        <w:r>
          <w:rPr>
            <w:color w:val="1155CC"/>
            <w:sz w:val="21"/>
            <w:szCs w:val="21"/>
            <w:u w:val="single"/>
          </w:rPr>
          <w:t>https://www.wysscampaign.org/project-list/2021/8/17/cordillera-de-coiba-marine-protected-area-panama</w:t>
        </w:r>
      </w:hyperlink>
      <w:r>
        <w:rPr>
          <w:sz w:val="21"/>
          <w:szCs w:val="21"/>
        </w:rPr>
        <w:t xml:space="preserve"> (accessed 17</w:t>
      </w:r>
      <w:r>
        <w:rPr>
          <w:sz w:val="21"/>
          <w:szCs w:val="21"/>
          <w:vertAlign w:val="superscript"/>
        </w:rPr>
        <w:t>th</w:t>
      </w:r>
      <w:r>
        <w:rPr>
          <w:sz w:val="21"/>
          <w:szCs w:val="21"/>
        </w:rPr>
        <w:t xml:space="preserve"> October 2023).</w:t>
      </w:r>
    </w:p>
    <w:p w:rsidR="005A63D1" w:rsidRDefault="00DB5899" w14:paraId="0000040C" w14:textId="77777777">
      <w:pPr>
        <w:pStyle w:val="Normal2"/>
        <w:spacing w:after="0"/>
        <w:rPr>
          <w:sz w:val="21"/>
          <w:szCs w:val="21"/>
        </w:rPr>
      </w:pPr>
      <w:r>
        <w:rPr>
          <w:sz w:val="21"/>
          <w:szCs w:val="21"/>
        </w:rPr>
        <w:t xml:space="preserve">WWF. (2020). </w:t>
      </w:r>
      <w:r>
        <w:rPr>
          <w:i/>
          <w:sz w:val="21"/>
          <w:szCs w:val="21"/>
        </w:rPr>
        <w:t xml:space="preserve">Un impulso para las Platoneras de Buenaventura en la temporada de veda. </w:t>
      </w:r>
      <w:r>
        <w:rPr>
          <w:sz w:val="21"/>
          <w:szCs w:val="21"/>
        </w:rPr>
        <w:t xml:space="preserve">Available at: </w:t>
      </w:r>
      <w:hyperlink r:id="rId56">
        <w:r>
          <w:rPr>
            <w:color w:val="1155CC"/>
            <w:sz w:val="21"/>
            <w:szCs w:val="21"/>
            <w:u w:val="single"/>
          </w:rPr>
          <w:t>https://www.wwf.org.co/?362790/Un-impulso-para-las-Platoneras-de-Buenaventura-en-la-temporada-de-veda</w:t>
        </w:r>
      </w:hyperlink>
      <w:r>
        <w:rPr>
          <w:sz w:val="21"/>
          <w:szCs w:val="21"/>
        </w:rPr>
        <w:t xml:space="preserve"> (accessed 5</w:t>
      </w:r>
      <w:r>
        <w:rPr>
          <w:sz w:val="21"/>
          <w:szCs w:val="21"/>
          <w:vertAlign w:val="superscript"/>
        </w:rPr>
        <w:t>th</w:t>
      </w:r>
      <w:r>
        <w:rPr>
          <w:sz w:val="21"/>
          <w:szCs w:val="21"/>
        </w:rPr>
        <w:t xml:space="preserve"> October 2023).</w:t>
      </w:r>
    </w:p>
    <w:p w:rsidR="005A63D1" w:rsidRDefault="005A63D1" w14:paraId="0000040D" w14:textId="77777777">
      <w:pPr>
        <w:pStyle w:val="Normal2"/>
        <w:pBdr>
          <w:top w:val="nil"/>
          <w:left w:val="nil"/>
          <w:bottom w:val="nil"/>
          <w:right w:val="nil"/>
          <w:between w:val="nil"/>
        </w:pBdr>
        <w:spacing w:after="200" w:line="276" w:lineRule="auto"/>
        <w:jc w:val="both"/>
      </w:pPr>
    </w:p>
    <w:p w:rsidR="005A63D1" w:rsidRDefault="005A63D1" w14:paraId="0000040E" w14:textId="77777777">
      <w:pPr>
        <w:pStyle w:val="Normal2"/>
        <w:pBdr>
          <w:top w:val="nil"/>
          <w:left w:val="nil"/>
          <w:bottom w:val="nil"/>
          <w:right w:val="nil"/>
          <w:between w:val="nil"/>
        </w:pBdr>
        <w:spacing w:after="200" w:line="276" w:lineRule="auto"/>
        <w:ind w:left="0" w:firstLine="0"/>
        <w:jc w:val="both"/>
      </w:pPr>
    </w:p>
    <w:p w:rsidR="005A63D1" w:rsidRDefault="005A63D1" w14:paraId="0000040F" w14:textId="77777777">
      <w:pPr>
        <w:pStyle w:val="Normal2"/>
        <w:pBdr>
          <w:top w:val="nil"/>
          <w:left w:val="nil"/>
          <w:bottom w:val="nil"/>
          <w:right w:val="nil"/>
          <w:between w:val="nil"/>
        </w:pBdr>
        <w:spacing w:after="80" w:line="276" w:lineRule="auto"/>
        <w:jc w:val="both"/>
      </w:pPr>
    </w:p>
    <w:p w:rsidR="005A63D1" w:rsidRDefault="005A63D1" w14:paraId="00000410" w14:textId="77777777">
      <w:pPr>
        <w:pStyle w:val="Normal2"/>
        <w:pBdr>
          <w:top w:val="nil"/>
          <w:left w:val="nil"/>
          <w:bottom w:val="nil"/>
          <w:right w:val="nil"/>
          <w:between w:val="nil"/>
        </w:pBdr>
        <w:spacing w:after="80" w:line="276" w:lineRule="auto"/>
        <w:jc w:val="both"/>
      </w:pPr>
    </w:p>
    <w:sectPr w:rsidR="005A63D1">
      <w:pgSz w:w="12240" w:h="15840" w:orient="portrait"/>
      <w:pgMar w:top="1440" w:right="1440" w:bottom="1440" w:left="1440" w:header="720" w:footer="720" w:gutter="0"/>
      <w:cols w:space="720"/>
    </w:sectPr>
  </w:body>
</w:document>
</file>

<file path=word/comments.xml><?xml version="1.0" encoding="utf-8"?>
<w:comments xmlns:w14="http://schemas.microsoft.com/office/word/2010/wordml" xmlns:w="http://schemas.openxmlformats.org/wordprocessingml/2006/main">
  <w:comment w:initials="JR" w:author="Juliana Rios" w:date="2024-06-10T14:44:17" w:id="1046358587">
    <w:p w:rsidR="447DE725" w:rsidRDefault="447DE725" w14:paraId="337F7A72" w14:textId="503993AF">
      <w:pPr>
        <w:pStyle w:val="CommentText"/>
      </w:pPr>
      <w:r>
        <w:fldChar w:fldCharType="begin"/>
      </w:r>
      <w:r>
        <w:instrText xml:space="preserve"> HYPERLINK "mailto:ybejarano@conservation.org"</w:instrText>
      </w:r>
      <w:bookmarkStart w:name="_@_76ADED448EB84876990A04BA592A5D86Z" w:id="924238820"/>
      <w:r>
        <w:fldChar w:fldCharType="separate"/>
      </w:r>
      <w:bookmarkEnd w:id="924238820"/>
      <w:r w:rsidRPr="447DE725" w:rsidR="447DE725">
        <w:rPr>
          <w:rStyle w:val="Mention"/>
          <w:noProof/>
        </w:rPr>
        <w:t>@Yaisa Bejarano</w:t>
      </w:r>
      <w:r>
        <w:fldChar w:fldCharType="end"/>
      </w:r>
      <w:r w:rsidR="447DE725">
        <w:rPr/>
        <w:t xml:space="preserve"> do you have approximate dates for this or should we just leave it TBD?</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337F7A7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4122D34" w16cex:dateUtc="2024-06-10T19:44:17.561Z"/>
</w16cex:commentsExtensible>
</file>

<file path=word/commentsIds.xml><?xml version="1.0" encoding="utf-8"?>
<w16cid:commentsIds xmlns:mc="http://schemas.openxmlformats.org/markup-compatibility/2006" xmlns:w16cid="http://schemas.microsoft.com/office/word/2016/wordml/cid" mc:Ignorable="w16cid">
  <w16cid:commentId w16cid:paraId="337F7A72" w16cid:durableId="34122D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B5899" w:rsidRDefault="00DB5899" w14:paraId="1D57D72B" w14:textId="77777777">
      <w:pPr>
        <w:spacing w:after="0"/>
      </w:pPr>
      <w:r>
        <w:separator/>
      </w:r>
    </w:p>
  </w:endnote>
  <w:endnote w:type="continuationSeparator" w:id="0">
    <w:p w:rsidR="00DB5899" w:rsidRDefault="00DB5899" w14:paraId="610B952D"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w:fontKey="{DD8BB58C-D9B6-4884-888A-5ECC59F938D0}" r:id="rId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w:fontKey="{FED20C05-65D2-4819-8330-BE73D97F8CD3}" r:id="rId2"/>
    <w:embedBold w:fontKey="{3BD9EB3D-2F0C-4427-9F2E-C14700E6861B}" r:id="rId3"/>
    <w:embedItalic w:fontKey="{34880C48-6AD9-41CC-8C77-E2AA1A429719}" r:id="rId4"/>
    <w:embedBoldItalic w:fontKey="{DBE01197-7AB8-4190-8DAB-EA3D30C80F5E}" r:id="rId5"/>
  </w:font>
  <w:font w:name="Cambria">
    <w:panose1 w:val="02040503050406030204"/>
    <w:charset w:val="00"/>
    <w:family w:val="roman"/>
    <w:pitch w:val="variable"/>
    <w:sig w:usb0="E00006FF" w:usb1="420024FF" w:usb2="02000000" w:usb3="00000000" w:csb0="0000019F" w:csb1="00000000"/>
    <w:embedRegular w:fontKey="{96E080BC-854F-467A-AB37-A36A16D098C0}" r:id="rId6"/>
    <w:embedItalic w:fontKey="{2A1C2D4E-86D3-440B-AE26-B89A39843F5A}" r:id="rId7"/>
  </w:font>
  <w:font w:name="Tahoma">
    <w:panose1 w:val="020B0604030504040204"/>
    <w:charset w:val="00"/>
    <w:family w:val="swiss"/>
    <w:pitch w:val="variable"/>
    <w:sig w:usb0="E1002EFF" w:usb1="C000605B" w:usb2="00000029" w:usb3="00000000" w:csb0="000101FF" w:csb1="00000000"/>
    <w:embedRegular w:fontKey="{12F11E2B-0A61-4BE4-8CEA-650A736B1792}" r:id="rId8"/>
  </w:font>
  <w:font w:name="Consolas">
    <w:panose1 w:val="020B0609020204030204"/>
    <w:charset w:val="00"/>
    <w:family w:val="modern"/>
    <w:pitch w:val="fixed"/>
    <w:sig w:usb0="E00006FF" w:usb1="0000FCFF" w:usb2="00000001" w:usb3="00000000" w:csb0="0000019F" w:csb1="00000000"/>
    <w:embedRegular w:fontKey="{0E8C205C-8C75-41AF-93B0-9140F7B8A690}" r:id="rId9"/>
  </w:font>
  <w:font w:name="Helvetica">
    <w:panose1 w:val="020B0604020202020204"/>
    <w:charset w:val="00"/>
    <w:family w:val="swiss"/>
    <w:pitch w:val="variable"/>
    <w:sig w:usb0="00000003" w:usb1="00000000" w:usb2="00000000" w:usb3="00000000" w:csb0="00000001" w:csb1="00000000"/>
    <w:embedRegular w:fontKey="{7A092D57-A224-42DD-97EA-CB6F1C022DF8}" r:id="rId1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w:fontKey="{E6566E0A-C4FF-4695-9EEA-B73C122981A9}" r:id="rId11"/>
    <w:embedItalic w:fontKey="{4ADCECAF-39EC-46E2-8DF0-F6FD908C0C5D}" r:id="rId12"/>
  </w:font>
  <w:font w:name="MS Gothic">
    <w:altName w:val="ＭＳ ゴシック"/>
    <w:panose1 w:val="020B0609070205080204"/>
    <w:charset w:val="80"/>
    <w:family w:val="modern"/>
    <w:pitch w:val="fixed"/>
    <w:sig w:usb0="E00002FF" w:usb1="6AC7FDFB" w:usb2="08000012" w:usb3="00000000" w:csb0="0002009F" w:csb1="00000000"/>
    <w:embedBold w:fontKey="{231D3939-114B-44E8-A007-5F4960848879}" w:subsetted="1" r:id="rId13"/>
  </w:font>
  <w:font w:name="Arial Unicode MS">
    <w:panose1 w:val="020B0604020202020204"/>
    <w:charset w:val="80"/>
    <w:family w:val="swiss"/>
    <w:pitch w:val="variable"/>
    <w:sig w:usb0="F7FFAFFF" w:usb1="E9DFFFFF" w:usb2="0000003F" w:usb3="00000000" w:csb0="003F01FF" w:csb1="00000000"/>
    <w:embedBold w:fontKey="{34E24D02-3558-4DE6-A3C2-0271F900DD08}" w:subsetted="1" r:id="rId14"/>
  </w:font>
  <w:font w:name="Quattrocento Sans">
    <w:panose1 w:val="020B0502050000020003"/>
    <w:charset w:val="00"/>
    <w:family w:val="swiss"/>
    <w:pitch w:val="variable"/>
    <w:sig w:usb0="800000BF" w:usb1="4000005B" w:usb2="00000000" w:usb3="00000000" w:csb0="00000001" w:csb1="00000000"/>
    <w:embedRegular w:fontKey="{B8F03280-58D9-423A-B7ED-3B9C359989F7}" r:id="rId15"/>
    <w:embedBold w:fontKey="{E57CED36-D9A0-456C-86EA-EE78FDE6A19C}" r:id="rId16"/>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w:fontKey="{BD197A1D-4B59-4882-BA32-64E1C342EBA2}" r:id="rId17"/>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63D1" w:rsidRDefault="005A63D1" w14:paraId="0000042D" w14:textId="77777777">
    <w:pPr>
      <w:pStyle w:val="Normal2"/>
      <w:pBdr>
        <w:top w:val="nil"/>
        <w:left w:val="nil"/>
        <w:bottom w:val="nil"/>
        <w:right w:val="nil"/>
        <w:between w:val="nil"/>
      </w:pBdr>
      <w:tabs>
        <w:tab w:val="center" w:pos="4680"/>
        <w:tab w:val="right" w:pos="9360"/>
      </w:tabs>
      <w:spacing w:after="0"/>
      <w:rPr>
        <w:rFonts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63D1" w:rsidRDefault="00DB5899" w14:paraId="0000042A" w14:textId="77777777">
    <w:pPr>
      <w:pStyle w:val="Normal2"/>
      <w:pBdr>
        <w:top w:val="nil"/>
        <w:left w:val="nil"/>
        <w:bottom w:val="nil"/>
        <w:right w:val="nil"/>
        <w:between w:val="nil"/>
      </w:pBdr>
      <w:tabs>
        <w:tab w:val="center" w:pos="4680"/>
        <w:tab w:val="right" w:pos="9360"/>
      </w:tabs>
      <w:spacing w:after="0"/>
      <w:rPr>
        <w:rFonts w:cs="Calibri"/>
        <w:color w:val="000000"/>
      </w:rPr>
    </w:pPr>
    <w:r>
      <w:rPr>
        <w:rFonts w:cs="Calibri"/>
        <w:b/>
        <w:i/>
        <w:color w:val="000000"/>
        <w:sz w:val="16"/>
        <w:szCs w:val="16"/>
      </w:rPr>
      <w:t>CI-GEF/GCF Agencies Environmental &amp; Social Safeguards (ESS) Screening Form</w:t>
    </w:r>
    <w:r>
      <w:rPr>
        <w:rFonts w:cs="Calibri"/>
        <w:color w:val="000000"/>
        <w:sz w:val="16"/>
        <w:szCs w:val="16"/>
      </w:rPr>
      <w:t xml:space="preserve"> </w:t>
    </w:r>
    <w:r>
      <w:rPr>
        <w:rFonts w:cs="Calibri"/>
        <w:i/>
        <w:color w:val="000000"/>
        <w:sz w:val="16"/>
        <w:szCs w:val="16"/>
      </w:rPr>
      <w:t>Updated 2023-03-21</w:t>
    </w:r>
    <w:r>
      <w:rPr>
        <w:rFonts w:cs="Calibri"/>
        <w:color w:val="000000"/>
        <w:sz w:val="16"/>
        <w:szCs w:val="16"/>
      </w:rPr>
      <w:tab/>
    </w:r>
    <w:r>
      <w:rPr>
        <w:rFonts w:cs="Calibri"/>
        <w:i/>
        <w:color w:val="000000"/>
        <w:sz w:val="20"/>
        <w:szCs w:val="20"/>
      </w:rPr>
      <w:t xml:space="preserve">Page </w:t>
    </w:r>
    <w:r>
      <w:rPr>
        <w:rFonts w:cs="Calibri"/>
        <w:b/>
        <w:i/>
        <w:color w:val="000000"/>
        <w:sz w:val="20"/>
        <w:szCs w:val="20"/>
      </w:rPr>
      <w:fldChar w:fldCharType="begin"/>
    </w:r>
    <w:r>
      <w:rPr>
        <w:rFonts w:cs="Calibri"/>
        <w:b/>
        <w:i/>
        <w:color w:val="000000"/>
        <w:sz w:val="20"/>
        <w:szCs w:val="20"/>
      </w:rPr>
      <w:instrText>PAGE</w:instrText>
    </w:r>
    <w:r>
      <w:rPr>
        <w:rFonts w:cs="Calibri"/>
        <w:b/>
        <w:i/>
        <w:color w:val="000000"/>
        <w:sz w:val="20"/>
        <w:szCs w:val="20"/>
      </w:rPr>
      <w:fldChar w:fldCharType="separate"/>
    </w:r>
    <w:r>
      <w:rPr>
        <w:rFonts w:cs="Calibri"/>
        <w:b/>
        <w:i/>
        <w:color w:val="000000"/>
        <w:sz w:val="20"/>
        <w:szCs w:val="20"/>
      </w:rPr>
      <w:fldChar w:fldCharType="end"/>
    </w:r>
    <w:r>
      <w:rPr>
        <w:rFonts w:cs="Calibri"/>
        <w:i/>
        <w:color w:val="000000"/>
        <w:sz w:val="20"/>
        <w:szCs w:val="20"/>
      </w:rPr>
      <w:t xml:space="preserve"> of </w:t>
    </w:r>
    <w:r>
      <w:rPr>
        <w:rFonts w:cs="Calibri"/>
        <w:b/>
        <w:i/>
        <w:color w:val="000000"/>
        <w:sz w:val="20"/>
        <w:szCs w:val="20"/>
      </w:rPr>
      <w:fldChar w:fldCharType="begin"/>
    </w:r>
    <w:r>
      <w:rPr>
        <w:rFonts w:cs="Calibri"/>
        <w:b/>
        <w:i/>
        <w:color w:val="000000"/>
        <w:sz w:val="20"/>
        <w:szCs w:val="20"/>
      </w:rPr>
      <w:instrText>NUMPAGES</w:instrText>
    </w:r>
    <w:r>
      <w:rPr>
        <w:rFonts w:cs="Calibri"/>
        <w:b/>
        <w:i/>
        <w:color w:val="000000"/>
        <w:sz w:val="20"/>
        <w:szCs w:val="20"/>
      </w:rPr>
      <w:fldChar w:fldCharType="separate"/>
    </w:r>
    <w:r>
      <w:rPr>
        <w:rFonts w:cs="Calibri"/>
        <w:b/>
        <w:i/>
        <w:color w:val="000000"/>
        <w:sz w:val="20"/>
        <w:szCs w:val="20"/>
      </w:rPr>
      <w:fldChar w:fldCharType="end"/>
    </w:r>
  </w:p>
  <w:p w:rsidR="005A63D1" w:rsidRDefault="005A63D1" w14:paraId="0000042B" w14:textId="77777777">
    <w:pPr>
      <w:pStyle w:val="Normal2"/>
      <w:pBdr>
        <w:top w:val="nil"/>
        <w:left w:val="nil"/>
        <w:bottom w:val="nil"/>
        <w:right w:val="nil"/>
        <w:between w:val="nil"/>
      </w:pBdr>
      <w:tabs>
        <w:tab w:val="center" w:pos="4680"/>
        <w:tab w:val="right" w:pos="9360"/>
      </w:tabs>
      <w:spacing w:after="0"/>
      <w:rPr>
        <w:rFonts w:cs="Calibri"/>
        <w:i/>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63D1" w:rsidRDefault="005A63D1" w14:paraId="0000042C" w14:textId="77777777">
    <w:pPr>
      <w:pStyle w:val="Normal2"/>
      <w:pBdr>
        <w:top w:val="nil"/>
        <w:left w:val="nil"/>
        <w:bottom w:val="nil"/>
        <w:right w:val="nil"/>
        <w:between w:val="nil"/>
      </w:pBdr>
      <w:tabs>
        <w:tab w:val="center" w:pos="4680"/>
        <w:tab w:val="right" w:pos="9360"/>
      </w:tabs>
      <w:spacing w:after="0"/>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B5899" w:rsidRDefault="00DB5899" w14:paraId="1B53C84F" w14:textId="77777777">
      <w:pPr>
        <w:spacing w:after="0"/>
      </w:pPr>
      <w:r>
        <w:separator/>
      </w:r>
    </w:p>
  </w:footnote>
  <w:footnote w:type="continuationSeparator" w:id="0">
    <w:p w:rsidR="00DB5899" w:rsidRDefault="00DB5899" w14:paraId="6F161C15" w14:textId="77777777">
      <w:pPr>
        <w:spacing w:after="0"/>
      </w:pPr>
      <w:r>
        <w:continuationSeparator/>
      </w:r>
    </w:p>
  </w:footnote>
  <w:footnote w:id="1">
    <w:p w:rsidR="005A63D1" w:rsidRDefault="00DB5899" w14:paraId="00000415" w14:textId="77777777">
      <w:pPr>
        <w:pStyle w:val="Normal2"/>
        <w:pBdr>
          <w:top w:val="nil"/>
          <w:left w:val="nil"/>
          <w:bottom w:val="nil"/>
          <w:right w:val="nil"/>
          <w:between w:val="nil"/>
        </w:pBdr>
        <w:spacing w:after="0"/>
        <w:ind w:left="141" w:firstLine="0"/>
        <w:jc w:val="both"/>
        <w:rPr>
          <w:sz w:val="20"/>
          <w:szCs w:val="20"/>
        </w:rPr>
      </w:pPr>
      <w:r>
        <w:rPr>
          <w:vertAlign w:val="superscript"/>
        </w:rPr>
        <w:footnoteRef/>
      </w:r>
      <w:r>
        <w:rPr>
          <w:sz w:val="20"/>
          <w:szCs w:val="20"/>
        </w:rPr>
        <w:t xml:space="preserve"> The Central ETP is used hereafter to refer to the geographic area of the Exclusive Economic Zones in the ETP region of Ecuador, Costa Rica, Colombia, and Panama. This area includes the ETP Marine Corridor, CMAR. The Central ETP includes the CMAR Marine Protected Areas (MPAs). CMAR is used to refer to the collaboration platform between the four countries in Central ETP.</w:t>
      </w:r>
    </w:p>
  </w:footnote>
  <w:footnote w:id="2">
    <w:p w:rsidR="005A63D1" w:rsidRDefault="00DB5899" w14:paraId="0000041A" w14:textId="77777777">
      <w:pPr>
        <w:pStyle w:val="Normal2"/>
        <w:spacing w:after="0"/>
        <w:jc w:val="both"/>
        <w:rPr>
          <w:sz w:val="20"/>
          <w:szCs w:val="20"/>
        </w:rPr>
      </w:pPr>
      <w:r>
        <w:rPr>
          <w:vertAlign w:val="superscript"/>
        </w:rPr>
        <w:footnoteRef/>
      </w:r>
      <w:r>
        <w:rPr>
          <w:sz w:val="20"/>
          <w:szCs w:val="20"/>
        </w:rPr>
        <w:t xml:space="preserve"> As it is the case for the Galapagos National Park, as indicated during the kick-off meeting with officials from the Ecuadorian Government. (Source: </w:t>
      </w:r>
      <w:r>
        <w:rPr>
          <w:i/>
          <w:sz w:val="20"/>
          <w:szCs w:val="20"/>
        </w:rPr>
        <w:t>Initial meeting: Ecuador - PRODOC GEF CMAR</w:t>
      </w:r>
      <w:r>
        <w:rPr>
          <w:sz w:val="20"/>
          <w:szCs w:val="20"/>
        </w:rPr>
        <w:t>. Meeting between Conservation International (CI), Asesoramiento Ambiental Estratégico (AAE), and local Focal Points from the Government of Ecuador. 13</w:t>
      </w:r>
      <w:r>
        <w:rPr>
          <w:sz w:val="20"/>
          <w:szCs w:val="20"/>
          <w:vertAlign w:val="superscript"/>
        </w:rPr>
        <w:t>th</w:t>
      </w:r>
      <w:r>
        <w:rPr>
          <w:sz w:val="20"/>
          <w:szCs w:val="20"/>
        </w:rPr>
        <w:t xml:space="preserve"> October 2023).</w:t>
      </w:r>
    </w:p>
    <w:p w:rsidR="005A63D1" w:rsidRDefault="005A63D1" w14:paraId="0000041B" w14:textId="77777777">
      <w:pPr>
        <w:pStyle w:val="Normal2"/>
        <w:spacing w:after="0"/>
        <w:rPr>
          <w:sz w:val="20"/>
          <w:szCs w:val="20"/>
        </w:rPr>
      </w:pPr>
    </w:p>
  </w:footnote>
  <w:footnote w:id="3">
    <w:p w:rsidR="005A63D1" w:rsidRDefault="00DB5899" w14:paraId="00000416" w14:textId="77777777">
      <w:pPr>
        <w:pStyle w:val="Normal2"/>
        <w:pBdr>
          <w:top w:val="nil"/>
          <w:left w:val="nil"/>
          <w:bottom w:val="nil"/>
          <w:right w:val="nil"/>
          <w:between w:val="nil"/>
        </w:pBdr>
        <w:spacing w:after="0"/>
        <w:jc w:val="both"/>
        <w:rPr>
          <w:sz w:val="18"/>
          <w:szCs w:val="18"/>
        </w:rPr>
      </w:pPr>
      <w:r>
        <w:rPr>
          <w:vertAlign w:val="superscript"/>
        </w:rPr>
        <w:footnoteRef/>
      </w:r>
      <w:r>
        <w:rPr>
          <w:sz w:val="20"/>
          <w:szCs w:val="20"/>
        </w:rPr>
        <w:t xml:space="preserve"> This, according to Heileman, S. 2012. XIV-48 Pacific Central American coastal: LME# 11. </w:t>
      </w:r>
      <w:r>
        <w:rPr>
          <w:i/>
          <w:sz w:val="20"/>
          <w:szCs w:val="20"/>
        </w:rPr>
        <w:t>Large marine ecosystems of the world. National Oceanic and Atmospheric Administration, Silver Spring, Maryland</w:t>
      </w:r>
      <w:r>
        <w:rPr>
          <w:sz w:val="20"/>
          <w:szCs w:val="20"/>
        </w:rPr>
        <w:t xml:space="preserve">. Accessed online April 8th at </w:t>
      </w:r>
      <w:hyperlink r:id="rId1">
        <w:r>
          <w:rPr>
            <w:color w:val="0000FF"/>
            <w:sz w:val="20"/>
            <w:szCs w:val="20"/>
            <w:u w:val="single"/>
          </w:rPr>
          <w:t>https://iwlearn.net/resolveuid/3910fbfb-e29e-4ca0-87bd-dc690d81ed88</w:t>
        </w:r>
      </w:hyperlink>
      <w:r>
        <w:rPr>
          <w:sz w:val="20"/>
          <w:szCs w:val="20"/>
        </w:rPr>
        <w:t>. However, the percentage of protection within this LME has likely increased above the reported 1.42% given the recent expansions of oceanic MPAs in the Central Pacific. Some of these MPAs fall completely or partially within the PACA LME.</w:t>
      </w:r>
      <w:r>
        <w:rPr>
          <w:sz w:val="18"/>
          <w:szCs w:val="18"/>
        </w:rPr>
        <w:t xml:space="preserve"> </w:t>
      </w:r>
    </w:p>
  </w:footnote>
  <w:footnote w:id="4">
    <w:p w:rsidR="005A63D1" w:rsidRDefault="00DB5899" w14:paraId="0000041C" w14:textId="77777777">
      <w:pPr>
        <w:pStyle w:val="Normal2"/>
        <w:spacing w:after="0"/>
        <w:rPr>
          <w:sz w:val="20"/>
          <w:szCs w:val="20"/>
        </w:rPr>
      </w:pPr>
      <w:r>
        <w:rPr>
          <w:vertAlign w:val="superscript"/>
        </w:rPr>
        <w:footnoteRef/>
      </w:r>
      <w:r>
        <w:rPr>
          <w:sz w:val="20"/>
          <w:szCs w:val="20"/>
        </w:rPr>
        <w:t xml:space="preserve">  As confirmed by government officials in Costa Rica in the first kick-off meeting with AAE as part of the project. Source:</w:t>
      </w:r>
      <w:r>
        <w:rPr>
          <w:i/>
          <w:sz w:val="20"/>
          <w:szCs w:val="20"/>
        </w:rPr>
        <w:t xml:space="preserve"> Initial meeting: Panama - PRODOC GEF CMAR</w:t>
      </w:r>
      <w:r>
        <w:rPr>
          <w:sz w:val="20"/>
          <w:szCs w:val="20"/>
        </w:rPr>
        <w:t>. Meeting between Conservation International (CI), Asesoramiento Ambiental Estratégico (AAE), and local Focal Points from the Government of Costa Rica (SINAC). 19</w:t>
      </w:r>
      <w:r>
        <w:rPr>
          <w:sz w:val="20"/>
          <w:szCs w:val="20"/>
          <w:vertAlign w:val="superscript"/>
        </w:rPr>
        <w:t>th</w:t>
      </w:r>
      <w:r>
        <w:rPr>
          <w:sz w:val="20"/>
          <w:szCs w:val="20"/>
        </w:rPr>
        <w:t xml:space="preserve"> October 2023.</w:t>
      </w:r>
    </w:p>
  </w:footnote>
  <w:footnote w:id="5">
    <w:p w:rsidR="005A63D1" w:rsidRDefault="00DB5899" w14:paraId="0000041D" w14:textId="77777777">
      <w:pPr>
        <w:pStyle w:val="Normal2"/>
        <w:spacing w:after="0"/>
        <w:rPr>
          <w:sz w:val="20"/>
          <w:szCs w:val="20"/>
        </w:rPr>
      </w:pPr>
      <w:r>
        <w:rPr>
          <w:vertAlign w:val="superscript"/>
        </w:rPr>
        <w:footnoteRef/>
      </w:r>
      <w:r>
        <w:rPr>
          <w:sz w:val="20"/>
          <w:szCs w:val="20"/>
        </w:rPr>
        <w:t xml:space="preserve"> Idem.</w:t>
      </w:r>
    </w:p>
  </w:footnote>
  <w:footnote w:id="6">
    <w:p w:rsidR="005A63D1" w:rsidRDefault="00DB5899" w14:paraId="00000418" w14:textId="77777777">
      <w:pPr>
        <w:pStyle w:val="Normal2"/>
        <w:spacing w:after="0"/>
        <w:jc w:val="both"/>
        <w:rPr>
          <w:sz w:val="20"/>
          <w:szCs w:val="20"/>
        </w:rPr>
      </w:pPr>
      <w:r>
        <w:rPr>
          <w:vertAlign w:val="superscript"/>
        </w:rPr>
        <w:footnoteRef/>
      </w:r>
      <w:r>
        <w:rPr>
          <w:sz w:val="20"/>
          <w:szCs w:val="20"/>
        </w:rPr>
        <w:t xml:space="preserve"> As confirmed by government officials in Panama in the first kick-off meeting with AAE as part of the project. Source:</w:t>
      </w:r>
      <w:r>
        <w:rPr>
          <w:i/>
          <w:sz w:val="20"/>
          <w:szCs w:val="20"/>
        </w:rPr>
        <w:t xml:space="preserve"> Initial meeting: Panama - PRODOC GEF CMAR</w:t>
      </w:r>
      <w:r>
        <w:rPr>
          <w:sz w:val="20"/>
          <w:szCs w:val="20"/>
        </w:rPr>
        <w:t>. Meeting between Conservation International (CI), Asesoramiento Ambiental Estratégico (AAE), and local Focal Points from the Government of Panama. 12</w:t>
      </w:r>
      <w:r>
        <w:rPr>
          <w:sz w:val="20"/>
          <w:szCs w:val="20"/>
          <w:vertAlign w:val="superscript"/>
        </w:rPr>
        <w:t>th</w:t>
      </w:r>
      <w:r>
        <w:rPr>
          <w:sz w:val="20"/>
          <w:szCs w:val="20"/>
        </w:rPr>
        <w:t xml:space="preserve"> October 2023.</w:t>
      </w:r>
    </w:p>
  </w:footnote>
  <w:footnote w:id="7">
    <w:p w:rsidR="005A63D1" w:rsidRDefault="00DB5899" w14:paraId="00000417" w14:textId="77777777">
      <w:pPr>
        <w:pStyle w:val="Normal2"/>
        <w:spacing w:after="0"/>
        <w:jc w:val="both"/>
        <w:rPr>
          <w:sz w:val="20"/>
          <w:szCs w:val="20"/>
        </w:rPr>
      </w:pPr>
      <w:r>
        <w:rPr>
          <w:vertAlign w:val="superscript"/>
        </w:rPr>
        <w:footnoteRef/>
      </w:r>
      <w:r>
        <w:rPr>
          <w:sz w:val="20"/>
          <w:szCs w:val="20"/>
        </w:rPr>
        <w:t xml:space="preserve"> As confirmed by government officials in Ecuador in the first kick-off meeting with AAE as part of the project. Source:</w:t>
      </w:r>
      <w:r>
        <w:rPr>
          <w:i/>
          <w:sz w:val="20"/>
          <w:szCs w:val="20"/>
        </w:rPr>
        <w:t xml:space="preserve"> Initial meeting: Ecuador - PRODOC GEF CMAR</w:t>
      </w:r>
      <w:r>
        <w:rPr>
          <w:sz w:val="20"/>
          <w:szCs w:val="20"/>
        </w:rPr>
        <w:t>. Meeting between Conservation International (CI), Asesoramiento Ambiental Estratégico (AAE), and local Focal Points from the Government of Ecuador. 13</w:t>
      </w:r>
      <w:r>
        <w:rPr>
          <w:sz w:val="20"/>
          <w:szCs w:val="20"/>
          <w:vertAlign w:val="superscript"/>
        </w:rPr>
        <w:t>th</w:t>
      </w:r>
      <w:r>
        <w:rPr>
          <w:sz w:val="20"/>
          <w:szCs w:val="20"/>
        </w:rPr>
        <w:t xml:space="preserve"> October 2023.</w:t>
      </w:r>
    </w:p>
  </w:footnote>
  <w:footnote w:id="8">
    <w:p w:rsidR="005A63D1" w:rsidRDefault="00DB5899" w14:paraId="00000419" w14:textId="77777777">
      <w:pPr>
        <w:pStyle w:val="Normal2"/>
        <w:spacing w:after="0"/>
        <w:rPr>
          <w:sz w:val="20"/>
          <w:szCs w:val="20"/>
        </w:rPr>
      </w:pPr>
      <w:r>
        <w:rPr>
          <w:vertAlign w:val="superscript"/>
        </w:rPr>
        <w:footnoteRef/>
      </w:r>
      <w:r>
        <w:rPr>
          <w:sz w:val="20"/>
          <w:szCs w:val="20"/>
        </w:rPr>
        <w:t xml:space="preserve"> Idem.</w:t>
      </w:r>
    </w:p>
  </w:footnote>
  <w:footnote w:id="9">
    <w:p w:rsidR="005A63D1" w:rsidRDefault="00DB5899" w14:paraId="00000411" w14:textId="77777777">
      <w:pPr>
        <w:pStyle w:val="Normal2"/>
        <w:pBdr>
          <w:top w:val="nil"/>
          <w:left w:val="nil"/>
          <w:bottom w:val="nil"/>
          <w:right w:val="nil"/>
          <w:between w:val="nil"/>
        </w:pBdr>
        <w:spacing w:after="0"/>
        <w:ind w:left="180" w:hanging="180"/>
        <w:rPr>
          <w:rFonts w:cs="Calibri"/>
          <w:color w:val="000000"/>
          <w:sz w:val="20"/>
          <w:szCs w:val="20"/>
        </w:rPr>
      </w:pPr>
      <w:r>
        <w:rPr>
          <w:vertAlign w:val="superscript"/>
        </w:rPr>
        <w:footnoteRef/>
      </w:r>
      <w:r>
        <w:rPr>
          <w:rFonts w:cs="Calibri"/>
          <w:color w:val="000000"/>
          <w:sz w:val="20"/>
          <w:szCs w:val="20"/>
        </w:rPr>
        <w:t xml:space="preserve">  </w:t>
      </w:r>
      <w:r>
        <w:rPr>
          <w:rFonts w:cs="Calibri"/>
          <w:color w:val="000000"/>
          <w:sz w:val="18"/>
          <w:szCs w:val="18"/>
        </w:rPr>
        <w:t>Associated facilities are those that are not funded as part of the project, and that would not have been constructed or expanded if the project did not exist and without which the project would not be viable.</w:t>
      </w:r>
    </w:p>
  </w:footnote>
  <w:footnote w:id="10">
    <w:p w:rsidR="005A63D1" w:rsidRDefault="00DB5899" w14:paraId="00000412" w14:textId="77777777">
      <w:pPr>
        <w:pStyle w:val="Normal2"/>
        <w:pBdr>
          <w:top w:val="nil"/>
          <w:left w:val="nil"/>
          <w:bottom w:val="nil"/>
          <w:right w:val="nil"/>
          <w:between w:val="nil"/>
        </w:pBdr>
        <w:spacing w:after="0"/>
        <w:ind w:left="0" w:firstLine="0"/>
        <w:rPr>
          <w:rFonts w:cs="Calibri"/>
          <w:color w:val="000000"/>
          <w:sz w:val="20"/>
          <w:szCs w:val="20"/>
        </w:rPr>
      </w:pPr>
      <w:r>
        <w:rPr>
          <w:vertAlign w:val="superscript"/>
        </w:rPr>
        <w:footnoteRef/>
      </w:r>
      <w:r>
        <w:rPr>
          <w:rFonts w:cs="Calibri"/>
          <w:color w:val="000000"/>
          <w:sz w:val="20"/>
          <w:szCs w:val="20"/>
        </w:rPr>
        <w:t xml:space="preserve"> Critical Habitat means a Habitat with high Biodiversity value, including (i) Habitats of significant importance to Critically Endangered or Endangered species, as listed on the International Union for the Conservation of Nature (IUCN) Red List of threatened species or equivalent national approaches, (ii) Habitats of significant importance to endemic or restricted-range species, (iii) Habitats supporting globally or nationally significant concentrations of migratory or congregatory species, (iv) highly thre</w:t>
      </w:r>
      <w:r>
        <w:rPr>
          <w:rFonts w:cs="Calibri"/>
          <w:color w:val="000000"/>
          <w:sz w:val="20"/>
          <w:szCs w:val="20"/>
        </w:rPr>
        <w:t>atened or unique ecosystems, and (v) ecological functions or characteristics that are needed to maintain the viability of the Biodiversity values described in (i) to (iv).</w:t>
      </w:r>
    </w:p>
  </w:footnote>
  <w:footnote w:id="11">
    <w:p w:rsidR="005A63D1" w:rsidRDefault="00DB5899" w14:paraId="00000424" w14:textId="77777777">
      <w:pPr>
        <w:pStyle w:val="Normal2"/>
        <w:spacing w:after="0"/>
        <w:ind w:left="141" w:hanging="141"/>
        <w:rPr>
          <w:sz w:val="20"/>
          <w:szCs w:val="20"/>
        </w:rPr>
      </w:pPr>
      <w:r>
        <w:rPr>
          <w:vertAlign w:val="superscript"/>
        </w:rPr>
        <w:footnoteRef/>
      </w:r>
      <w:r>
        <w:rPr>
          <w:sz w:val="20"/>
          <w:szCs w:val="20"/>
        </w:rPr>
        <w:t xml:space="preserve"> These are activities that have been suggested by AAE to the CMAR countries as possible adaptation measures to be carried out under Component 2 (please see the “matriz medidas propuestas de adaptación”).</w:t>
      </w:r>
    </w:p>
  </w:footnote>
  <w:footnote w:id="12">
    <w:p w:rsidR="005A63D1" w:rsidRDefault="00DB5899" w14:paraId="00000425" w14:textId="77777777">
      <w:pPr>
        <w:pStyle w:val="Normal2"/>
        <w:spacing w:after="0"/>
        <w:rPr>
          <w:sz w:val="20"/>
          <w:szCs w:val="20"/>
        </w:rPr>
      </w:pPr>
      <w:r>
        <w:rPr>
          <w:vertAlign w:val="superscript"/>
        </w:rPr>
        <w:footnoteRef/>
      </w:r>
      <w:r>
        <w:rPr>
          <w:sz w:val="20"/>
          <w:szCs w:val="20"/>
        </w:rPr>
        <w:t xml:space="preserve"> Idem. Please see the “matriz medidas propuestas de adaptación” that was shared by AAE.</w:t>
      </w:r>
    </w:p>
  </w:footnote>
  <w:footnote w:id="13">
    <w:p w:rsidR="005A63D1" w:rsidRDefault="00DB5899" w14:paraId="00000413" w14:textId="77777777">
      <w:pPr>
        <w:pStyle w:val="Normal2"/>
        <w:pBdr>
          <w:top w:val="nil"/>
          <w:left w:val="nil"/>
          <w:bottom w:val="nil"/>
          <w:right w:val="nil"/>
          <w:between w:val="nil"/>
        </w:pBdr>
        <w:spacing w:after="0"/>
        <w:ind w:left="0" w:firstLine="0"/>
        <w:rPr>
          <w:rFonts w:cs="Calibri"/>
          <w:color w:val="000000"/>
          <w:sz w:val="20"/>
          <w:szCs w:val="20"/>
        </w:rPr>
      </w:pPr>
      <w:r>
        <w:rPr>
          <w:vertAlign w:val="superscript"/>
        </w:rPr>
        <w:footnoteRef/>
      </w:r>
      <w:r>
        <w:rPr>
          <w:rFonts w:cs="Calibri"/>
          <w:color w:val="000000"/>
          <w:sz w:val="20"/>
          <w:szCs w:val="20"/>
        </w:rPr>
        <w:t xml:space="preserve"> According to CI Policy on Indigenous Peoples, “</w:t>
      </w:r>
      <w:r>
        <w:rPr>
          <w:rFonts w:cs="Calibri"/>
          <w:i/>
          <w:color w:val="000000"/>
          <w:sz w:val="20"/>
          <w:szCs w:val="20"/>
        </w:rPr>
        <w:t>CI identifies indigenous peoples in specific geographic areas by the presence, in varying degrees, of: a) Close attachment to ancestral and traditional or customary territories and the natural resources in them; b) Customary social and political institutions; c) Economic systems oriented to subsistence production; d) An indigenous language, often different from the predominant language; and f) Self-identification and identification by others as members of a di</w:t>
      </w:r>
      <w:r>
        <w:rPr>
          <w:rFonts w:cs="Calibri"/>
          <w:i/>
          <w:color w:val="000000"/>
          <w:sz w:val="20"/>
          <w:szCs w:val="20"/>
        </w:rPr>
        <w:t>stinct cultural group”.</w:t>
      </w:r>
    </w:p>
  </w:footnote>
  <w:footnote w:id="14">
    <w:p w:rsidR="005A63D1" w:rsidRDefault="00DB5899" w14:paraId="00000426" w14:textId="77777777">
      <w:pPr>
        <w:pStyle w:val="Normal2"/>
        <w:spacing w:after="0"/>
        <w:ind w:left="0" w:firstLine="0"/>
        <w:rPr>
          <w:rFonts w:cs="Calibri"/>
          <w:color w:val="000000"/>
          <w:sz w:val="20"/>
          <w:szCs w:val="20"/>
        </w:rPr>
      </w:pPr>
      <w:r>
        <w:rPr>
          <w:vertAlign w:val="superscript"/>
        </w:rPr>
        <w:footnoteRef/>
      </w:r>
      <w:r>
        <w:rPr>
          <w:rFonts w:cs="Calibri"/>
          <w:color w:val="000000"/>
          <w:sz w:val="20"/>
          <w:szCs w:val="20"/>
        </w:rPr>
        <w:t xml:space="preserve"> The Indigenous People of Salasaka belong to the Kichwa indigenous nationality of the Sierra of Ecuador. Its main town is located in the province of Tungurahua, in the Andes. They emigrated to the Galapagos Islands in the 1950s, and from that moment on they created a large community (see </w:t>
      </w:r>
      <w:hyperlink r:id="rId2">
        <w:r>
          <w:rPr>
            <w:rFonts w:cs="Calibri"/>
            <w:color w:val="000000"/>
            <w:sz w:val="20"/>
            <w:szCs w:val="20"/>
          </w:rPr>
          <w:t>here</w:t>
        </w:r>
      </w:hyperlink>
      <w:r>
        <w:rPr>
          <w:rFonts w:cs="Calibri"/>
          <w:color w:val="000000"/>
          <w:sz w:val="20"/>
          <w:szCs w:val="20"/>
        </w:rPr>
        <w:t xml:space="preserve">, and </w:t>
      </w:r>
      <w:hyperlink r:id="rId3">
        <w:r>
          <w:rPr>
            <w:rFonts w:cs="Calibri"/>
            <w:color w:val="1155CC"/>
            <w:sz w:val="20"/>
            <w:szCs w:val="20"/>
            <w:u w:val="single"/>
          </w:rPr>
          <w:t>here</w:t>
        </w:r>
      </w:hyperlink>
      <w:r>
        <w:rPr>
          <w:rFonts w:cs="Calibri"/>
          <w:color w:val="000000"/>
          <w:sz w:val="20"/>
          <w:szCs w:val="20"/>
        </w:rPr>
        <w:t>). Although they are IPs, they do not necessarily have a strong a link with the resources of this territory (sea, fisheries, etc.), as, for example, the Afro-descendant communities of the Colombian coast could have.</w:t>
      </w:r>
    </w:p>
  </w:footnote>
  <w:footnote w:id="15">
    <w:p w:rsidR="005A63D1" w:rsidRDefault="00DB5899" w14:paraId="00000414" w14:textId="77777777">
      <w:pPr>
        <w:pStyle w:val="Normal2"/>
        <w:pBdr>
          <w:top w:val="nil"/>
          <w:left w:val="nil"/>
          <w:bottom w:val="nil"/>
          <w:right w:val="nil"/>
          <w:between w:val="nil"/>
        </w:pBdr>
        <w:spacing w:after="0"/>
        <w:ind w:left="0" w:firstLine="0"/>
        <w:rPr>
          <w:rFonts w:cs="Calibri"/>
          <w:color w:val="000000"/>
          <w:sz w:val="20"/>
          <w:szCs w:val="20"/>
        </w:rPr>
      </w:pPr>
      <w:r>
        <w:rPr>
          <w:vertAlign w:val="superscript"/>
        </w:rPr>
        <w:footnoteRef/>
      </w:r>
      <w:r>
        <w:rPr>
          <w:rFonts w:cs="Calibri"/>
          <w:color w:val="000000"/>
          <w:sz w:val="20"/>
          <w:szCs w:val="20"/>
        </w:rPr>
        <w:t xml:space="preserve"> </w:t>
      </w:r>
      <w:r>
        <w:rPr>
          <w:rFonts w:cs="Calibri"/>
          <w:i/>
          <w:color w:val="000000"/>
          <w:sz w:val="18"/>
          <w:szCs w:val="18"/>
        </w:rPr>
        <w:t xml:space="preserve">Cultural Heritage means both tangible and intangible cultural heritage, including movable or immovable objects, sites, structures, natural features and landscapes that have archaeological, paleontological, historical, architectural, religious, aesthetic, or other cultural significance, located in urban or rural settings, above ground, underground or </w:t>
      </w:r>
      <w:r>
        <w:rPr>
          <w:i/>
          <w:sz w:val="18"/>
          <w:szCs w:val="18"/>
        </w:rPr>
        <w:t>underwater</w:t>
      </w:r>
      <w:r>
        <w:rPr>
          <w:rFonts w:cs="Calibri"/>
          <w:i/>
          <w:color w:val="000000"/>
          <w:sz w:val="18"/>
          <w:szCs w:val="18"/>
        </w:rPr>
        <w:t xml:space="preserve">; as well as practices, representations, expressions, knowledge, or skills – as well as the instruments, objects, </w:t>
      </w:r>
      <w:r>
        <w:rPr>
          <w:i/>
          <w:sz w:val="18"/>
          <w:szCs w:val="18"/>
        </w:rPr>
        <w:t>artefacts</w:t>
      </w:r>
      <w:r>
        <w:rPr>
          <w:rFonts w:cs="Calibri"/>
          <w:i/>
          <w:color w:val="000000"/>
          <w:sz w:val="18"/>
          <w:szCs w:val="18"/>
        </w:rPr>
        <w:t xml:space="preserve"> and cultural spaces associ</w:t>
      </w:r>
      <w:r>
        <w:rPr>
          <w:rFonts w:cs="Calibri"/>
          <w:i/>
          <w:color w:val="000000"/>
          <w:sz w:val="18"/>
          <w:szCs w:val="18"/>
        </w:rPr>
        <w:t>ated therewith – that communities, groups, and in some cases individuals, recognize as part of their heritage, as transmitted from generation to generation and constantly recreated by them in response to nature and a shared history</w:t>
      </w:r>
    </w:p>
  </w:footnote>
  <w:footnote w:id="16">
    <w:p w:rsidR="005A63D1" w:rsidRDefault="00DB5899" w14:paraId="0000041E" w14:textId="77777777">
      <w:pPr>
        <w:pStyle w:val="Normal2"/>
        <w:spacing w:after="0"/>
        <w:rPr>
          <w:sz w:val="20"/>
          <w:szCs w:val="20"/>
        </w:rPr>
      </w:pPr>
      <w:r>
        <w:rPr>
          <w:vertAlign w:val="superscript"/>
        </w:rPr>
        <w:footnoteRef/>
      </w:r>
      <w:r>
        <w:rPr>
          <w:sz w:val="20"/>
          <w:szCs w:val="20"/>
        </w:rPr>
        <w:t xml:space="preserve"> Please note that, although agricultural droughts are expected to increase in the future, this will not affect marine areas and therefore it is not very relevant for the CMAR project.</w:t>
      </w:r>
    </w:p>
  </w:footnote>
  <w:footnote w:id="17">
    <w:p w:rsidR="005A63D1" w:rsidRDefault="00DB5899" w14:paraId="0000041F" w14:textId="77777777">
      <w:pPr>
        <w:pStyle w:val="Normal2"/>
        <w:spacing w:after="0"/>
        <w:rPr>
          <w:sz w:val="20"/>
          <w:szCs w:val="20"/>
        </w:rPr>
      </w:pPr>
      <w:r>
        <w:rPr>
          <w:vertAlign w:val="superscript"/>
        </w:rPr>
        <w:footnoteRef/>
      </w:r>
      <w:r>
        <w:rPr>
          <w:sz w:val="20"/>
          <w:szCs w:val="20"/>
        </w:rPr>
        <w:t xml:space="preserve"> This does not apply as the project will not include activities in relation to agricultural systems such as crops and livestock.</w:t>
      </w:r>
    </w:p>
  </w:footnote>
  <w:footnote w:id="18">
    <w:p w:rsidR="005A63D1" w:rsidRDefault="00DB5899" w14:paraId="00000420" w14:textId="77777777">
      <w:pPr>
        <w:pStyle w:val="Normal2"/>
        <w:spacing w:after="0"/>
        <w:rPr>
          <w:sz w:val="20"/>
          <w:szCs w:val="20"/>
        </w:rPr>
      </w:pPr>
      <w:r>
        <w:rPr>
          <w:vertAlign w:val="superscript"/>
        </w:rPr>
        <w:footnoteRef/>
      </w:r>
      <w:r>
        <w:rPr>
          <w:sz w:val="20"/>
          <w:szCs w:val="20"/>
        </w:rPr>
        <w:t xml:space="preserve"> Idem.</w:t>
      </w:r>
    </w:p>
  </w:footnote>
  <w:footnote w:id="19">
    <w:p w:rsidR="005A63D1" w:rsidRDefault="00DB5899" w14:paraId="00000421" w14:textId="77777777">
      <w:pPr>
        <w:pStyle w:val="Normal2"/>
        <w:spacing w:after="0"/>
        <w:rPr>
          <w:sz w:val="20"/>
          <w:szCs w:val="20"/>
        </w:rPr>
      </w:pPr>
      <w:r>
        <w:rPr>
          <w:vertAlign w:val="superscript"/>
        </w:rPr>
        <w:footnoteRef/>
      </w:r>
      <w:r>
        <w:rPr>
          <w:sz w:val="20"/>
          <w:szCs w:val="20"/>
        </w:rPr>
        <w:t xml:space="preserve"> Although the CMAR area has significant poverty (for example, in 7 out of the 9 communities within the area of influence in Colombia, at least 65% of the inhabitants are considered to live in poverty, see CMAR (2016)) it is not considered to be below poverty line levels as defined by the World Bank as $2.15 per person per day (</w:t>
      </w:r>
      <w:hyperlink r:id="rId4">
        <w:r>
          <w:rPr>
            <w:color w:val="1155CC"/>
            <w:sz w:val="20"/>
            <w:szCs w:val="20"/>
            <w:u w:val="single"/>
          </w:rPr>
          <w:t>source</w:t>
        </w:r>
      </w:hyperlink>
      <w:r>
        <w:rPr>
          <w:sz w:val="20"/>
          <w:szCs w:val="20"/>
        </w:rPr>
        <w:t xml:space="preserve">). </w:t>
      </w:r>
    </w:p>
  </w:footnote>
  <w:footnote w:id="20">
    <w:p w:rsidR="005A63D1" w:rsidRDefault="00DB5899" w14:paraId="00000422" w14:textId="77777777">
      <w:pPr>
        <w:pStyle w:val="Normal2"/>
        <w:spacing w:after="0"/>
        <w:rPr>
          <w:sz w:val="20"/>
          <w:szCs w:val="20"/>
        </w:rPr>
      </w:pPr>
      <w:r>
        <w:rPr>
          <w:vertAlign w:val="superscript"/>
        </w:rPr>
        <w:footnoteRef/>
      </w:r>
      <w:r>
        <w:rPr>
          <w:sz w:val="20"/>
          <w:szCs w:val="20"/>
        </w:rPr>
        <w:t xml:space="preserve"> It is still to be determined whether Indigenous Peoples could be affected by the project (please see ESS4 above).</w:t>
      </w:r>
    </w:p>
  </w:footnote>
  <w:footnote w:id="21">
    <w:p w:rsidR="005A63D1" w:rsidRDefault="00DB5899" w14:paraId="00000423" w14:textId="77777777">
      <w:pPr>
        <w:pStyle w:val="Normal2"/>
        <w:spacing w:after="0"/>
        <w:rPr>
          <w:sz w:val="20"/>
          <w:szCs w:val="20"/>
        </w:rPr>
      </w:pPr>
      <w:r>
        <w:rPr>
          <w:vertAlign w:val="superscript"/>
        </w:rPr>
        <w:footnoteRef/>
      </w:r>
      <w:r>
        <w:rPr>
          <w:sz w:val="20"/>
          <w:szCs w:val="20"/>
        </w:rPr>
        <w:t xml:space="preserve"> Please note that this box has been ticked "yes" since Output</w:t>
      </w:r>
      <w:r>
        <w:rPr>
          <w:sz w:val="19"/>
          <w:szCs w:val="19"/>
        </w:rPr>
        <w:t xml:space="preserve"> 2.1.1.</w:t>
      </w:r>
      <w:r>
        <w:rPr>
          <w:sz w:val="20"/>
          <w:szCs w:val="20"/>
        </w:rPr>
        <w:t xml:space="preserve"> will include a climate change assessment (i.e. vulnerability assessment) but it will not include modelling. This will be done by the IKI Save the Blue Five project.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63D1" w:rsidRDefault="00DB5899" w14:paraId="00000429" w14:textId="77777777">
    <w:pPr>
      <w:pStyle w:val="Normal2"/>
      <w:pBdr>
        <w:top w:val="nil"/>
        <w:left w:val="nil"/>
        <w:bottom w:val="nil"/>
        <w:right w:val="nil"/>
        <w:between w:val="nil"/>
      </w:pBdr>
      <w:tabs>
        <w:tab w:val="center" w:pos="4680"/>
        <w:tab w:val="right" w:pos="9360"/>
      </w:tabs>
      <w:spacing w:after="0"/>
      <w:rPr>
        <w:rFonts w:cs="Calibri"/>
        <w:color w:val="000000"/>
      </w:rPr>
    </w:pPr>
    <w:r>
      <w:pict w14:anchorId="4E7EE9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style="position:absolute;left:0;text-align:left;margin-left:0;margin-top:0;width:492.1pt;height:169.75pt;rotation:315;z-index:-251657216;mso-position-horizontal:center;mso-position-horizontal-relative:margin;mso-position-vertical:center;mso-position-vertical-relative:margin" o:spid="_x0000_s1025" fillcolor="#e8eaed" stroked="f" type="#_x0000_t136">
          <v:textpath style="font-family:&quot;&amp;quo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5A63D1" w:rsidRDefault="00DB5899" w14:paraId="00000427" w14:textId="77777777">
    <w:pPr>
      <w:pStyle w:val="Normal2"/>
      <w:pBdr>
        <w:top w:val="nil"/>
        <w:left w:val="nil"/>
        <w:bottom w:val="nil"/>
        <w:right w:val="nil"/>
        <w:between w:val="nil"/>
      </w:pBdr>
      <w:tabs>
        <w:tab w:val="center" w:pos="4680"/>
        <w:tab w:val="right" w:pos="9360"/>
      </w:tabs>
      <w:spacing w:after="0"/>
      <w:ind w:left="0" w:firstLine="0"/>
      <w:rPr>
        <w:rFonts w:cs="Calibri"/>
        <w:color w:val="000000"/>
      </w:rPr>
    </w:pPr>
    <w:r>
      <w:pict w14:anchorId="0E1966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style="position:absolute;margin-left:0;margin-top:0;width:492.1pt;height:169.75pt;rotation:315;z-index:-251659264;mso-position-horizontal:center;mso-position-horizontal-relative:margin;mso-position-vertical:center;mso-position-vertical-relative:margin" o:spid="_x0000_s1027" fillcolor="#e8eaed" stroked="f" type="#_x0000_t136">
          <v:textpath style="font-family:&quot;&amp;quot&quot;;font-size:1pt" string="DRAFT"/>
          <w10:wrap anchorx="margin" anchory="margin"/>
        </v:shape>
      </w:pict>
    </w:r>
    <w:r>
      <w:rPr>
        <w:rFonts w:cs="Calibri"/>
        <w:color w:val="000000"/>
      </w:rPr>
      <w:t xml:space="preserve">                     </w:t>
    </w:r>
    <w:r>
      <w:rPr>
        <w:noProof/>
      </w:rPr>
      <w:drawing>
        <wp:anchor distT="0" distB="0" distL="114300" distR="114300" simplePos="0" relativeHeight="251656192" behindDoc="0" locked="0" layoutInCell="1" hidden="0" allowOverlap="1" wp14:anchorId="55C526B5" wp14:editId="07777777">
          <wp:simplePos x="0" y="0"/>
          <wp:positionH relativeFrom="column">
            <wp:posOffset>2162175</wp:posOffset>
          </wp:positionH>
          <wp:positionV relativeFrom="paragraph">
            <wp:posOffset>-302892</wp:posOffset>
          </wp:positionV>
          <wp:extent cx="1619250" cy="668655"/>
          <wp:effectExtent l="0" t="0" r="0" b="0"/>
          <wp:wrapSquare wrapText="bothSides" distT="0" distB="0" distL="114300" distR="114300"/>
          <wp:docPr id="34" name="image2.png" descr="A close up of a logo&#10;&#10;Description generated with very high confidence"/>
          <wp:cNvGraphicFramePr/>
          <a:graphic xmlns:a="http://schemas.openxmlformats.org/drawingml/2006/main">
            <a:graphicData uri="http://schemas.openxmlformats.org/drawingml/2006/picture">
              <pic:pic xmlns:pic="http://schemas.openxmlformats.org/drawingml/2006/picture">
                <pic:nvPicPr>
                  <pic:cNvPr id="0" name="image2.png" descr="A close up of a logo&#10;&#10;Description generated with very high confidence"/>
                  <pic:cNvPicPr preferRelativeResize="0"/>
                </pic:nvPicPr>
                <pic:blipFill>
                  <a:blip r:embed="rId1"/>
                  <a:srcRect l="67223" t="1847" r="4582" b="89147"/>
                  <a:stretch>
                    <a:fillRect/>
                  </a:stretch>
                </pic:blipFill>
                <pic:spPr>
                  <a:xfrm>
                    <a:off x="0" y="0"/>
                    <a:ext cx="1619250" cy="66865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A63D1" w:rsidRDefault="00DB5899" w14:paraId="00000428" w14:textId="77777777">
    <w:pPr>
      <w:pStyle w:val="Normal2"/>
      <w:pBdr>
        <w:top w:val="nil"/>
        <w:left w:val="nil"/>
        <w:bottom w:val="nil"/>
        <w:right w:val="nil"/>
        <w:between w:val="nil"/>
      </w:pBdr>
      <w:tabs>
        <w:tab w:val="center" w:pos="4680"/>
        <w:tab w:val="right" w:pos="9360"/>
      </w:tabs>
      <w:spacing w:after="0"/>
      <w:rPr>
        <w:rFonts w:cs="Calibri"/>
        <w:color w:val="000000"/>
      </w:rPr>
    </w:pPr>
    <w:r>
      <w:pict w14:anchorId="41A056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style="position:absolute;left:0;text-align:left;margin-left:0;margin-top:0;width:492.1pt;height:169.75pt;rotation:315;z-index:-251658240;mso-position-horizontal:center;mso-position-horizontal-relative:margin;mso-position-vertical:center;mso-position-vertical-relative:margin" o:spid="_x0000_s1026" fillcolor="#e8eaed" stroked="f" type="#_x0000_t136">
          <v:textpath style="font-family:&quot;&amp;quo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7D0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524E01"/>
    <w:multiLevelType w:val="multilevel"/>
    <w:tmpl w:val="FFFFFFFF"/>
    <w:lvl w:ilvl="0">
      <w:start w:val="1"/>
      <w:numFmt w:val="decimal"/>
      <w:lvlText w:val="%1."/>
      <w:lvlJc w:val="left"/>
      <w:pPr>
        <w:ind w:left="360" w:hanging="360"/>
      </w:pPr>
      <w:rPr>
        <w:b w:val="0"/>
        <w:i w:val="0"/>
        <w:smallCaps w:val="0"/>
        <w:strike w:val="0"/>
        <w:color w:val="00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583F47"/>
    <w:multiLevelType w:val="multilevel"/>
    <w:tmpl w:val="FFFFFFFF"/>
    <w:lvl w:ilvl="0">
      <w:start w:val="1"/>
      <w:numFmt w:val="upperRoman"/>
      <w:lvlText w:val="%1."/>
      <w:lvlJc w:val="right"/>
      <w:pPr>
        <w:ind w:left="789" w:hanging="359"/>
      </w:pPr>
      <w:rPr>
        <w:sz w:val="18"/>
        <w:szCs w:val="18"/>
      </w:r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08EC7B37"/>
    <w:multiLevelType w:val="multilevel"/>
    <w:tmpl w:val="FFFFFFFF"/>
    <w:lvl w:ilvl="0">
      <w:start w:val="1"/>
      <w:numFmt w:val="bullet"/>
      <w:lvlText w:val="●"/>
      <w:lvlJc w:val="left"/>
      <w:pPr>
        <w:ind w:left="810" w:hanging="360"/>
      </w:pPr>
      <w:rPr>
        <w:rFonts w:ascii="Noto Sans Symbols" w:hAnsi="Noto Sans Symbols" w:eastAsia="Noto Sans Symbols" w:cs="Noto Sans Symbols"/>
      </w:rPr>
    </w:lvl>
    <w:lvl w:ilvl="1">
      <w:start w:val="1"/>
      <w:numFmt w:val="bullet"/>
      <w:lvlText w:val="o"/>
      <w:lvlJc w:val="left"/>
      <w:pPr>
        <w:ind w:left="1530" w:hanging="360"/>
      </w:pPr>
      <w:rPr>
        <w:rFonts w:ascii="Courier New" w:hAnsi="Courier New" w:eastAsia="Courier New" w:cs="Courier New"/>
      </w:rPr>
    </w:lvl>
    <w:lvl w:ilvl="2">
      <w:start w:val="1"/>
      <w:numFmt w:val="bullet"/>
      <w:lvlText w:val="▪"/>
      <w:lvlJc w:val="left"/>
      <w:pPr>
        <w:ind w:left="2250" w:hanging="360"/>
      </w:pPr>
      <w:rPr>
        <w:rFonts w:ascii="Noto Sans Symbols" w:hAnsi="Noto Sans Symbols" w:eastAsia="Noto Sans Symbols" w:cs="Noto Sans Symbols"/>
      </w:rPr>
    </w:lvl>
    <w:lvl w:ilvl="3">
      <w:start w:val="1"/>
      <w:numFmt w:val="bullet"/>
      <w:lvlText w:val="●"/>
      <w:lvlJc w:val="left"/>
      <w:pPr>
        <w:ind w:left="2970" w:hanging="360"/>
      </w:pPr>
      <w:rPr>
        <w:rFonts w:ascii="Noto Sans Symbols" w:hAnsi="Noto Sans Symbols" w:eastAsia="Noto Sans Symbols" w:cs="Noto Sans Symbols"/>
      </w:rPr>
    </w:lvl>
    <w:lvl w:ilvl="4">
      <w:start w:val="1"/>
      <w:numFmt w:val="bullet"/>
      <w:lvlText w:val="o"/>
      <w:lvlJc w:val="left"/>
      <w:pPr>
        <w:ind w:left="3690" w:hanging="360"/>
      </w:pPr>
      <w:rPr>
        <w:rFonts w:ascii="Courier New" w:hAnsi="Courier New" w:eastAsia="Courier New" w:cs="Courier New"/>
      </w:rPr>
    </w:lvl>
    <w:lvl w:ilvl="5">
      <w:start w:val="1"/>
      <w:numFmt w:val="bullet"/>
      <w:lvlText w:val="▪"/>
      <w:lvlJc w:val="left"/>
      <w:pPr>
        <w:ind w:left="4410" w:hanging="360"/>
      </w:pPr>
      <w:rPr>
        <w:rFonts w:ascii="Noto Sans Symbols" w:hAnsi="Noto Sans Symbols" w:eastAsia="Noto Sans Symbols" w:cs="Noto Sans Symbols"/>
      </w:rPr>
    </w:lvl>
    <w:lvl w:ilvl="6">
      <w:start w:val="1"/>
      <w:numFmt w:val="bullet"/>
      <w:lvlText w:val="●"/>
      <w:lvlJc w:val="left"/>
      <w:pPr>
        <w:ind w:left="5130" w:hanging="360"/>
      </w:pPr>
      <w:rPr>
        <w:rFonts w:ascii="Noto Sans Symbols" w:hAnsi="Noto Sans Symbols" w:eastAsia="Noto Sans Symbols" w:cs="Noto Sans Symbols"/>
      </w:rPr>
    </w:lvl>
    <w:lvl w:ilvl="7">
      <w:start w:val="1"/>
      <w:numFmt w:val="bullet"/>
      <w:lvlText w:val="o"/>
      <w:lvlJc w:val="left"/>
      <w:pPr>
        <w:ind w:left="5850" w:hanging="360"/>
      </w:pPr>
      <w:rPr>
        <w:rFonts w:ascii="Courier New" w:hAnsi="Courier New" w:eastAsia="Courier New" w:cs="Courier New"/>
      </w:rPr>
    </w:lvl>
    <w:lvl w:ilvl="8">
      <w:start w:val="1"/>
      <w:numFmt w:val="bullet"/>
      <w:lvlText w:val="▪"/>
      <w:lvlJc w:val="left"/>
      <w:pPr>
        <w:ind w:left="6570" w:hanging="360"/>
      </w:pPr>
      <w:rPr>
        <w:rFonts w:ascii="Noto Sans Symbols" w:hAnsi="Noto Sans Symbols" w:eastAsia="Noto Sans Symbols" w:cs="Noto Sans Symbols"/>
      </w:rPr>
    </w:lvl>
  </w:abstractNum>
  <w:abstractNum w:abstractNumId="4" w15:restartNumberingAfterBreak="0">
    <w:nsid w:val="0C666852"/>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467C2A"/>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6E3857"/>
    <w:multiLevelType w:val="multilevel"/>
    <w:tmpl w:val="FFFFFFFF"/>
    <w:lvl w:ilvl="0">
      <w:start w:val="1"/>
      <w:numFmt w:val="decimal"/>
      <w:lvlText w:val="%1."/>
      <w:lvlJc w:val="left"/>
      <w:pPr>
        <w:ind w:left="283" w:hanging="283"/>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C9D6142"/>
    <w:multiLevelType w:val="multilevel"/>
    <w:tmpl w:val="FFFFFFFF"/>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8" w15:restartNumberingAfterBreak="0">
    <w:nsid w:val="2AF36C1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17F4B36"/>
    <w:multiLevelType w:val="multilevel"/>
    <w:tmpl w:val="FFFFFFFF"/>
    <w:lvl w:ilvl="0">
      <w:start w:val="1"/>
      <w:numFmt w:val="bullet"/>
      <w:lvlText w:val="●"/>
      <w:lvlJc w:val="left"/>
      <w:pPr>
        <w:ind w:left="810" w:hanging="360"/>
      </w:pPr>
      <w:rPr>
        <w:rFonts w:ascii="Noto Sans Symbols" w:hAnsi="Noto Sans Symbols" w:eastAsia="Noto Sans Symbols" w:cs="Noto Sans Symbols"/>
      </w:rPr>
    </w:lvl>
    <w:lvl w:ilvl="1">
      <w:start w:val="1"/>
      <w:numFmt w:val="bullet"/>
      <w:lvlText w:val="o"/>
      <w:lvlJc w:val="left"/>
      <w:pPr>
        <w:ind w:left="1530" w:hanging="360"/>
      </w:pPr>
      <w:rPr>
        <w:rFonts w:ascii="Courier New" w:hAnsi="Courier New" w:eastAsia="Courier New" w:cs="Courier New"/>
      </w:rPr>
    </w:lvl>
    <w:lvl w:ilvl="2">
      <w:start w:val="1"/>
      <w:numFmt w:val="bullet"/>
      <w:lvlText w:val="▪"/>
      <w:lvlJc w:val="left"/>
      <w:pPr>
        <w:ind w:left="2250" w:hanging="360"/>
      </w:pPr>
      <w:rPr>
        <w:rFonts w:ascii="Noto Sans Symbols" w:hAnsi="Noto Sans Symbols" w:eastAsia="Noto Sans Symbols" w:cs="Noto Sans Symbols"/>
      </w:rPr>
    </w:lvl>
    <w:lvl w:ilvl="3">
      <w:start w:val="1"/>
      <w:numFmt w:val="bullet"/>
      <w:lvlText w:val="●"/>
      <w:lvlJc w:val="left"/>
      <w:pPr>
        <w:ind w:left="2970" w:hanging="360"/>
      </w:pPr>
      <w:rPr>
        <w:rFonts w:ascii="Noto Sans Symbols" w:hAnsi="Noto Sans Symbols" w:eastAsia="Noto Sans Symbols" w:cs="Noto Sans Symbols"/>
      </w:rPr>
    </w:lvl>
    <w:lvl w:ilvl="4">
      <w:start w:val="1"/>
      <w:numFmt w:val="bullet"/>
      <w:lvlText w:val="o"/>
      <w:lvlJc w:val="left"/>
      <w:pPr>
        <w:ind w:left="3690" w:hanging="360"/>
      </w:pPr>
      <w:rPr>
        <w:rFonts w:ascii="Courier New" w:hAnsi="Courier New" w:eastAsia="Courier New" w:cs="Courier New"/>
      </w:rPr>
    </w:lvl>
    <w:lvl w:ilvl="5">
      <w:start w:val="1"/>
      <w:numFmt w:val="bullet"/>
      <w:lvlText w:val="▪"/>
      <w:lvlJc w:val="left"/>
      <w:pPr>
        <w:ind w:left="4410" w:hanging="360"/>
      </w:pPr>
      <w:rPr>
        <w:rFonts w:ascii="Noto Sans Symbols" w:hAnsi="Noto Sans Symbols" w:eastAsia="Noto Sans Symbols" w:cs="Noto Sans Symbols"/>
      </w:rPr>
    </w:lvl>
    <w:lvl w:ilvl="6">
      <w:start w:val="1"/>
      <w:numFmt w:val="bullet"/>
      <w:lvlText w:val="●"/>
      <w:lvlJc w:val="left"/>
      <w:pPr>
        <w:ind w:left="5130" w:hanging="360"/>
      </w:pPr>
      <w:rPr>
        <w:rFonts w:ascii="Noto Sans Symbols" w:hAnsi="Noto Sans Symbols" w:eastAsia="Noto Sans Symbols" w:cs="Noto Sans Symbols"/>
      </w:rPr>
    </w:lvl>
    <w:lvl w:ilvl="7">
      <w:start w:val="1"/>
      <w:numFmt w:val="bullet"/>
      <w:lvlText w:val="o"/>
      <w:lvlJc w:val="left"/>
      <w:pPr>
        <w:ind w:left="5850" w:hanging="360"/>
      </w:pPr>
      <w:rPr>
        <w:rFonts w:ascii="Courier New" w:hAnsi="Courier New" w:eastAsia="Courier New" w:cs="Courier New"/>
      </w:rPr>
    </w:lvl>
    <w:lvl w:ilvl="8">
      <w:start w:val="1"/>
      <w:numFmt w:val="bullet"/>
      <w:lvlText w:val="▪"/>
      <w:lvlJc w:val="left"/>
      <w:pPr>
        <w:ind w:left="6570" w:hanging="360"/>
      </w:pPr>
      <w:rPr>
        <w:rFonts w:ascii="Noto Sans Symbols" w:hAnsi="Noto Sans Symbols" w:eastAsia="Noto Sans Symbols" w:cs="Noto Sans Symbols"/>
      </w:rPr>
    </w:lvl>
  </w:abstractNum>
  <w:abstractNum w:abstractNumId="10" w15:restartNumberingAfterBreak="0">
    <w:nsid w:val="58F56E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C3B5353"/>
    <w:multiLevelType w:val="multilevel"/>
    <w:tmpl w:val="FFFFFFFF"/>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12" w15:restartNumberingAfterBreak="0">
    <w:nsid w:val="7131292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7A95350"/>
    <w:multiLevelType w:val="multilevel"/>
    <w:tmpl w:val="FFFFFFFF"/>
    <w:lvl w:ilvl="0">
      <w:start w:val="1"/>
      <w:numFmt w:val="decimal"/>
      <w:lvlText w:val="%1."/>
      <w:lvlJc w:val="left"/>
      <w:pPr>
        <w:ind w:left="360" w:hanging="360"/>
      </w:pPr>
      <w:rPr>
        <w:rFonts w:ascii="Calibri" w:hAnsi="Calibri" w:eastAsia="Calibri" w:cs="Calibri"/>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57897610">
    <w:abstractNumId w:val="1"/>
  </w:num>
  <w:num w:numId="2" w16cid:durableId="1780486856">
    <w:abstractNumId w:val="9"/>
  </w:num>
  <w:num w:numId="3" w16cid:durableId="724986756">
    <w:abstractNumId w:val="3"/>
  </w:num>
  <w:num w:numId="4" w16cid:durableId="31998659">
    <w:abstractNumId w:val="10"/>
  </w:num>
  <w:num w:numId="5" w16cid:durableId="1480074762">
    <w:abstractNumId w:val="0"/>
  </w:num>
  <w:num w:numId="6" w16cid:durableId="831914720">
    <w:abstractNumId w:val="12"/>
  </w:num>
  <w:num w:numId="7" w16cid:durableId="1187671368">
    <w:abstractNumId w:val="2"/>
  </w:num>
  <w:num w:numId="8" w16cid:durableId="1684362318">
    <w:abstractNumId w:val="11"/>
  </w:num>
  <w:num w:numId="9" w16cid:durableId="1990209736">
    <w:abstractNumId w:val="5"/>
  </w:num>
  <w:num w:numId="10" w16cid:durableId="499544482">
    <w:abstractNumId w:val="7"/>
  </w:num>
  <w:num w:numId="11" w16cid:durableId="1176849900">
    <w:abstractNumId w:val="6"/>
  </w:num>
  <w:num w:numId="12" w16cid:durableId="1050763004">
    <w:abstractNumId w:val="13"/>
  </w:num>
  <w:num w:numId="13" w16cid:durableId="837421105">
    <w:abstractNumId w:val="8"/>
  </w:num>
  <w:num w:numId="14" w16cid:durableId="852719272">
    <w:abstractNumId w:val="4"/>
  </w:num>
</w:numbering>
</file>

<file path=word/people.xml><?xml version="1.0" encoding="utf-8"?>
<w15:people xmlns:mc="http://schemas.openxmlformats.org/markup-compatibility/2006" xmlns:w15="http://schemas.microsoft.com/office/word/2012/wordml" mc:Ignorable="w15">
  <w15:person w15:author="Juliana Rios">
    <w15:presenceInfo w15:providerId="AD" w15:userId="S::jrios@conservation.org::7f802b20-653b-4317-b977-b365ca234392"/>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embedTrueTypeFonts/>
  <w:trackRevisions w:val="false"/>
  <w:defaultTabStop w:val="720"/>
  <w:characterSpacingControl w:val="doNotCompress"/>
  <w:hdrShapeDefaults>
    <o:shapedefaults v:ext="edit" spidmax="102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3D1"/>
    <w:rsid w:val="005A63D1"/>
    <w:rsid w:val="0097753E"/>
    <w:rsid w:val="00DB5899"/>
    <w:rsid w:val="03D33B6F"/>
    <w:rsid w:val="18CCB783"/>
    <w:rsid w:val="447DE7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BEE2615"/>
  <w15:docId w15:val="{9AA7AA0C-B581-42A4-AA0F-9A011C8959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Calibri"/>
        <w:sz w:val="22"/>
        <w:szCs w:val="22"/>
        <w:lang w:val="en-GB" w:eastAsia="ja-JP" w:bidi="ar-SA"/>
      </w:rPr>
    </w:rPrDefault>
    <w:pPrDefault>
      <w:pPr>
        <w:spacing w:after="120"/>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outlineLvl w:val="0"/>
    </w:pPr>
    <w:rPr>
      <w:b/>
    </w:rPr>
  </w:style>
  <w:style w:type="paragraph" w:styleId="Heading2">
    <w:name w:val="heading 2"/>
    <w:basedOn w:val="Normal"/>
    <w:next w:val="Normal"/>
    <w:uiPriority w:val="9"/>
    <w:semiHidden/>
    <w:unhideWhenUsed/>
    <w:qFormat/>
    <w:pPr>
      <w:keepNext/>
      <w:keepLines/>
      <w:outlineLvl w:val="1"/>
    </w:pPr>
    <w:rPr>
      <w:b/>
    </w:rPr>
  </w:style>
  <w:style w:type="paragraph" w:styleId="Heading3">
    <w:name w:val="heading 3"/>
    <w:basedOn w:val="Normal"/>
    <w:next w:val="Normal"/>
    <w:uiPriority w:val="9"/>
    <w:semiHidden/>
    <w:unhideWhenUsed/>
    <w:qFormat/>
    <w:pPr>
      <w:keepNext/>
      <w:keepLines/>
      <w:spacing w:before="200" w:after="0"/>
      <w:outlineLvl w:val="2"/>
    </w:pPr>
    <w:rPr>
      <w:b/>
    </w:rPr>
  </w:style>
  <w:style w:type="paragraph" w:styleId="Heading4">
    <w:name w:val="heading 4"/>
    <w:basedOn w:val="Normal"/>
    <w:next w:val="Normal"/>
    <w:uiPriority w:val="9"/>
    <w:semiHidden/>
    <w:unhideWhenUsed/>
    <w:qFormat/>
    <w:pPr>
      <w:keepNext/>
      <w:widowControl w:val="0"/>
      <w:tabs>
        <w:tab w:val="left" w:pos="0"/>
        <w:tab w:val="right" w:pos="73"/>
        <w:tab w:val="right" w:pos="1712"/>
        <w:tab w:val="right" w:pos="4160"/>
        <w:tab w:val="right" w:pos="6528"/>
        <w:tab w:val="right" w:pos="9384"/>
      </w:tabs>
      <w:spacing w:after="0"/>
      <w:jc w:val="both"/>
      <w:outlineLvl w:val="3"/>
    </w:pPr>
    <w:rPr>
      <w:rFonts w:ascii="Times New Roman" w:hAnsi="Times New Roman" w:eastAsia="Times New Roman" w:cs="Times New Roman"/>
      <w:sz w:val="20"/>
      <w:szCs w:val="20"/>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0" w:line="276" w:lineRule="auto"/>
      <w:ind w:left="0"/>
      <w:outlineLvl w:val="5"/>
    </w:pPr>
    <w:rPr>
      <w:rFonts w:ascii="Cambria" w:hAnsi="Cambria" w:eastAsia="Cambria" w:cs="Cambria"/>
      <w:i/>
      <w:color w:val="243F6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pBdr>
        <w:bottom w:val="single" w:color="4F81BD" w:sz="8" w:space="4"/>
      </w:pBdr>
      <w:spacing w:after="300"/>
    </w:pPr>
    <w:rPr>
      <w:rFonts w:ascii="Cambria" w:hAnsi="Cambria" w:eastAsia="Cambria" w:cs="Cambria"/>
      <w:color w:val="17365D"/>
      <w:sz w:val="52"/>
      <w:szCs w:val="52"/>
    </w:rPr>
  </w:style>
  <w:style w:type="paragraph" w:styleId="Normal0" w:customStyle="1">
    <w:name w:val="Normal0"/>
  </w:style>
  <w:style w:type="table" w:styleId="NormalTable0" w:customStyle="1">
    <w:name w:val="Normal Table0"/>
    <w:tblPr>
      <w:tblCellMar>
        <w:top w:w="0" w:type="dxa"/>
        <w:left w:w="0" w:type="dxa"/>
        <w:bottom w:w="0" w:type="dxa"/>
        <w:right w:w="0" w:type="dxa"/>
      </w:tblCellMar>
    </w:tblPr>
  </w:style>
  <w:style w:type="paragraph" w:styleId="heading10" w:customStyle="1">
    <w:name w:val="heading 10"/>
    <w:basedOn w:val="Normal0"/>
    <w:next w:val="Normal0"/>
    <w:pPr>
      <w:keepNext/>
      <w:keepLines/>
    </w:pPr>
    <w:rPr>
      <w:b/>
    </w:rPr>
  </w:style>
  <w:style w:type="paragraph" w:styleId="heading20" w:customStyle="1">
    <w:name w:val="heading 20"/>
    <w:basedOn w:val="Normal0"/>
    <w:next w:val="Normal0"/>
    <w:pPr>
      <w:keepNext/>
      <w:keepLines/>
    </w:pPr>
    <w:rPr>
      <w:b/>
    </w:rPr>
  </w:style>
  <w:style w:type="paragraph" w:styleId="heading30" w:customStyle="1">
    <w:name w:val="heading 30"/>
    <w:basedOn w:val="Normal0"/>
    <w:next w:val="Normal0"/>
    <w:pPr>
      <w:keepNext/>
      <w:keepLines/>
      <w:spacing w:before="200" w:after="0"/>
    </w:pPr>
    <w:rPr>
      <w:b/>
    </w:rPr>
  </w:style>
  <w:style w:type="paragraph" w:styleId="heading40" w:customStyle="1">
    <w:name w:val="heading 40"/>
    <w:basedOn w:val="Normal0"/>
    <w:next w:val="Normal0"/>
    <w:pPr>
      <w:keepNext/>
      <w:widowControl w:val="0"/>
      <w:tabs>
        <w:tab w:val="left" w:pos="0"/>
        <w:tab w:val="right" w:pos="73"/>
        <w:tab w:val="right" w:pos="1712"/>
        <w:tab w:val="right" w:pos="4160"/>
        <w:tab w:val="right" w:pos="6528"/>
        <w:tab w:val="right" w:pos="9384"/>
      </w:tabs>
      <w:spacing w:after="0"/>
      <w:jc w:val="both"/>
    </w:pPr>
    <w:rPr>
      <w:rFonts w:ascii="Times New Roman" w:hAnsi="Times New Roman" w:eastAsia="Times New Roman" w:cs="Times New Roman"/>
      <w:sz w:val="20"/>
      <w:szCs w:val="20"/>
    </w:rPr>
  </w:style>
  <w:style w:type="paragraph" w:styleId="heading50" w:customStyle="1">
    <w:name w:val="heading 50"/>
    <w:basedOn w:val="Normal0"/>
    <w:next w:val="Normal0"/>
    <w:pPr>
      <w:keepNext/>
      <w:keepLines/>
      <w:spacing w:before="220" w:after="40"/>
    </w:pPr>
    <w:rPr>
      <w:b/>
    </w:rPr>
  </w:style>
  <w:style w:type="paragraph" w:styleId="heading60" w:customStyle="1">
    <w:name w:val="heading 60"/>
    <w:basedOn w:val="Normal0"/>
    <w:next w:val="Normal0"/>
    <w:pPr>
      <w:keepNext/>
      <w:keepLines/>
      <w:spacing w:before="200" w:after="0" w:line="276" w:lineRule="auto"/>
      <w:ind w:left="0"/>
    </w:pPr>
    <w:rPr>
      <w:rFonts w:ascii="Cambria" w:hAnsi="Cambria" w:eastAsia="Cambria" w:cs="Cambria"/>
      <w:i/>
      <w:color w:val="243F60"/>
    </w:rPr>
  </w:style>
  <w:style w:type="paragraph" w:styleId="Title0" w:customStyle="1">
    <w:name w:val="Title0"/>
    <w:basedOn w:val="Normal0"/>
    <w:next w:val="Normal0"/>
    <w:pPr>
      <w:pBdr>
        <w:bottom w:val="single" w:color="4F81BD" w:sz="8" w:space="4"/>
      </w:pBdr>
      <w:spacing w:after="300"/>
    </w:pPr>
    <w:rPr>
      <w:rFonts w:ascii="Cambria" w:hAnsi="Cambria" w:eastAsia="Cambria" w:cs="Cambria"/>
      <w:color w:val="17365D"/>
      <w:sz w:val="52"/>
      <w:szCs w:val="52"/>
    </w:rPr>
  </w:style>
  <w:style w:type="paragraph" w:styleId="Normal1" w:customStyle="1">
    <w:name w:val="Normal1"/>
  </w:style>
  <w:style w:type="table" w:styleId="NormalTable1" w:customStyle="1">
    <w:name w:val="Normal Table1"/>
    <w:tblPr>
      <w:tblCellMar>
        <w:top w:w="0" w:type="dxa"/>
        <w:left w:w="0" w:type="dxa"/>
        <w:bottom w:w="0" w:type="dxa"/>
        <w:right w:w="0" w:type="dxa"/>
      </w:tblCellMar>
    </w:tblPr>
  </w:style>
  <w:style w:type="paragraph" w:styleId="heading11" w:customStyle="1">
    <w:name w:val="heading 11"/>
    <w:basedOn w:val="Normal1"/>
    <w:next w:val="Normal1"/>
    <w:pPr>
      <w:keepNext/>
      <w:keepLines/>
    </w:pPr>
    <w:rPr>
      <w:b/>
    </w:rPr>
  </w:style>
  <w:style w:type="paragraph" w:styleId="heading21" w:customStyle="1">
    <w:name w:val="heading 21"/>
    <w:basedOn w:val="Normal1"/>
    <w:next w:val="Normal1"/>
    <w:pPr>
      <w:keepNext/>
      <w:keepLines/>
    </w:pPr>
    <w:rPr>
      <w:b/>
    </w:rPr>
  </w:style>
  <w:style w:type="paragraph" w:styleId="heading31" w:customStyle="1">
    <w:name w:val="heading 31"/>
    <w:basedOn w:val="Normal1"/>
    <w:next w:val="Normal1"/>
    <w:pPr>
      <w:keepNext/>
      <w:keepLines/>
      <w:spacing w:before="200" w:after="0"/>
    </w:pPr>
    <w:rPr>
      <w:b/>
    </w:rPr>
  </w:style>
  <w:style w:type="paragraph" w:styleId="heading41" w:customStyle="1">
    <w:name w:val="heading 41"/>
    <w:basedOn w:val="Normal1"/>
    <w:next w:val="Normal1"/>
    <w:pPr>
      <w:keepNext/>
      <w:widowControl w:val="0"/>
      <w:tabs>
        <w:tab w:val="left" w:pos="0"/>
        <w:tab w:val="right" w:pos="73"/>
        <w:tab w:val="right" w:pos="1712"/>
        <w:tab w:val="right" w:pos="4160"/>
        <w:tab w:val="right" w:pos="6528"/>
        <w:tab w:val="right" w:pos="9384"/>
      </w:tabs>
      <w:spacing w:after="0"/>
      <w:jc w:val="both"/>
    </w:pPr>
    <w:rPr>
      <w:rFonts w:ascii="Times New Roman" w:hAnsi="Times New Roman" w:eastAsia="Times New Roman" w:cs="Times New Roman"/>
      <w:sz w:val="20"/>
      <w:szCs w:val="20"/>
    </w:rPr>
  </w:style>
  <w:style w:type="paragraph" w:styleId="heading51" w:customStyle="1">
    <w:name w:val="heading 51"/>
    <w:basedOn w:val="Normal1"/>
    <w:next w:val="Normal1"/>
    <w:pPr>
      <w:keepNext/>
      <w:keepLines/>
      <w:spacing w:before="220" w:after="40"/>
    </w:pPr>
    <w:rPr>
      <w:b/>
    </w:rPr>
  </w:style>
  <w:style w:type="paragraph" w:styleId="heading61" w:customStyle="1">
    <w:name w:val="heading 61"/>
    <w:basedOn w:val="Normal1"/>
    <w:next w:val="Normal1"/>
    <w:pPr>
      <w:keepNext/>
      <w:keepLines/>
      <w:spacing w:before="200" w:after="0" w:line="276" w:lineRule="auto"/>
      <w:ind w:left="0"/>
    </w:pPr>
    <w:rPr>
      <w:rFonts w:ascii="Cambria" w:hAnsi="Cambria" w:eastAsia="Cambria" w:cs="Cambria"/>
      <w:i/>
      <w:color w:val="243F60"/>
    </w:rPr>
  </w:style>
  <w:style w:type="paragraph" w:styleId="Title1" w:customStyle="1">
    <w:name w:val="Title1"/>
    <w:basedOn w:val="Normal1"/>
    <w:next w:val="Normal1"/>
    <w:pPr>
      <w:pBdr>
        <w:bottom w:val="single" w:color="4F81BD" w:sz="8" w:space="4"/>
      </w:pBdr>
      <w:spacing w:after="300"/>
    </w:pPr>
    <w:rPr>
      <w:rFonts w:ascii="Cambria" w:hAnsi="Cambria" w:eastAsia="Cambria" w:cs="Cambria"/>
      <w:color w:val="17365D"/>
      <w:sz w:val="52"/>
      <w:szCs w:val="52"/>
    </w:rPr>
  </w:style>
  <w:style w:type="paragraph" w:styleId="Normal2" w:customStyle="1">
    <w:name w:val="Normal2"/>
    <w:qFormat/>
    <w:rsid w:val="00B16E1D"/>
    <w:pPr>
      <w:ind w:hanging="360"/>
    </w:pPr>
    <w:rPr>
      <w:rFonts w:cs="Times New Roman"/>
    </w:rPr>
  </w:style>
  <w:style w:type="paragraph" w:styleId="heading12" w:customStyle="1">
    <w:name w:val="heading 12"/>
    <w:basedOn w:val="Normal2"/>
    <w:next w:val="Normal2"/>
    <w:link w:val="Ttulo1Car"/>
    <w:uiPriority w:val="99"/>
    <w:qFormat/>
    <w:rsid w:val="00B16E1D"/>
    <w:pPr>
      <w:keepNext/>
      <w:keepLines/>
      <w:outlineLvl w:val="0"/>
    </w:pPr>
    <w:rPr>
      <w:rFonts w:eastAsia="Times New Roman"/>
      <w:b/>
      <w:bCs/>
      <w:szCs w:val="28"/>
    </w:rPr>
  </w:style>
  <w:style w:type="paragraph" w:styleId="heading22" w:customStyle="1">
    <w:name w:val="heading 22"/>
    <w:basedOn w:val="Normal2"/>
    <w:next w:val="Normal2"/>
    <w:link w:val="Ttulo2Car"/>
    <w:uiPriority w:val="99"/>
    <w:qFormat/>
    <w:rsid w:val="00B16E1D"/>
    <w:pPr>
      <w:keepNext/>
      <w:keepLines/>
      <w:outlineLvl w:val="1"/>
    </w:pPr>
    <w:rPr>
      <w:rFonts w:eastAsia="Times New Roman"/>
      <w:b/>
      <w:bCs/>
      <w:szCs w:val="26"/>
    </w:rPr>
  </w:style>
  <w:style w:type="paragraph" w:styleId="heading32" w:customStyle="1">
    <w:name w:val="heading 32"/>
    <w:basedOn w:val="Normal2"/>
    <w:next w:val="Normal2"/>
    <w:link w:val="Ttulo3Car"/>
    <w:uiPriority w:val="99"/>
    <w:qFormat/>
    <w:rsid w:val="00B16E1D"/>
    <w:pPr>
      <w:keepNext/>
      <w:keepLines/>
      <w:spacing w:before="200" w:after="0"/>
      <w:outlineLvl w:val="2"/>
    </w:pPr>
    <w:rPr>
      <w:rFonts w:eastAsia="Times New Roman"/>
      <w:b/>
      <w:bCs/>
    </w:rPr>
  </w:style>
  <w:style w:type="paragraph" w:styleId="heading42" w:customStyle="1">
    <w:name w:val="heading 42"/>
    <w:basedOn w:val="Normal2"/>
    <w:next w:val="Normal2"/>
    <w:link w:val="Ttulo4Car"/>
    <w:qFormat/>
    <w:rsid w:val="00B16E1D"/>
    <w:pPr>
      <w:keepNext/>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outlineLvl w:val="3"/>
    </w:pPr>
    <w:rPr>
      <w:rFonts w:ascii="Times New Roman" w:hAnsi="Times New Roman" w:eastAsia="Times New Roman" w:cs="Courier New"/>
      <w:spacing w:val="-2"/>
      <w:sz w:val="20"/>
      <w:szCs w:val="20"/>
    </w:rPr>
  </w:style>
  <w:style w:type="paragraph" w:styleId="heading62" w:customStyle="1">
    <w:name w:val="heading 62"/>
    <w:basedOn w:val="Normal2"/>
    <w:next w:val="Normal2"/>
    <w:link w:val="Ttulo6Car"/>
    <w:uiPriority w:val="9"/>
    <w:qFormat/>
    <w:rsid w:val="00B16E1D"/>
    <w:pPr>
      <w:keepNext/>
      <w:keepLines/>
      <w:spacing w:before="200" w:after="0" w:line="276" w:lineRule="auto"/>
      <w:ind w:left="0" w:firstLine="0"/>
      <w:outlineLvl w:val="5"/>
    </w:pPr>
    <w:rPr>
      <w:rFonts w:ascii="Cambria" w:hAnsi="Cambria" w:eastAsia="Times New Roman"/>
      <w:i/>
      <w:iCs/>
      <w:color w:val="243F60"/>
    </w:rPr>
  </w:style>
  <w:style w:type="table" w:styleId="NormalTable2" w:customStyle="1">
    <w:name w:val="Normal Table2"/>
    <w:uiPriority w:val="99"/>
    <w:semiHidden/>
    <w:unhideWhenUsed/>
    <w:tblPr>
      <w:tblInd w:w="0" w:type="dxa"/>
      <w:tblCellMar>
        <w:top w:w="0" w:type="dxa"/>
        <w:left w:w="108" w:type="dxa"/>
        <w:bottom w:w="0" w:type="dxa"/>
        <w:right w:w="108" w:type="dxa"/>
      </w:tblCellMar>
    </w:tblPr>
  </w:style>
  <w:style w:type="character" w:styleId="Ttulo1Car" w:customStyle="1">
    <w:name w:val="Título 1 Car"/>
    <w:basedOn w:val="DefaultParagraphFont"/>
    <w:link w:val="heading12"/>
    <w:uiPriority w:val="99"/>
    <w:rsid w:val="00B16E1D"/>
    <w:rPr>
      <w:rFonts w:ascii="Calibri" w:hAnsi="Calibri" w:eastAsia="Times New Roman" w:cs="Times New Roman"/>
      <w:b/>
      <w:bCs/>
      <w:sz w:val="22"/>
      <w:szCs w:val="28"/>
    </w:rPr>
  </w:style>
  <w:style w:type="character" w:styleId="Ttulo2Car" w:customStyle="1">
    <w:name w:val="Título 2 Car"/>
    <w:basedOn w:val="DefaultParagraphFont"/>
    <w:link w:val="heading22"/>
    <w:uiPriority w:val="99"/>
    <w:rsid w:val="00B16E1D"/>
    <w:rPr>
      <w:rFonts w:ascii="Calibri" w:hAnsi="Calibri" w:eastAsia="Times New Roman" w:cs="Times New Roman"/>
      <w:b/>
      <w:bCs/>
      <w:sz w:val="22"/>
      <w:szCs w:val="26"/>
    </w:rPr>
  </w:style>
  <w:style w:type="character" w:styleId="Ttulo3Car" w:customStyle="1">
    <w:name w:val="Título 3 Car"/>
    <w:basedOn w:val="DefaultParagraphFont"/>
    <w:link w:val="heading32"/>
    <w:uiPriority w:val="99"/>
    <w:rsid w:val="00B16E1D"/>
    <w:rPr>
      <w:rFonts w:ascii="Calibri" w:hAnsi="Calibri" w:eastAsia="Times New Roman" w:cs="Times New Roman"/>
      <w:b/>
      <w:bCs/>
      <w:sz w:val="22"/>
      <w:szCs w:val="22"/>
    </w:rPr>
  </w:style>
  <w:style w:type="character" w:styleId="Ttulo4Car" w:customStyle="1">
    <w:name w:val="Título 4 Car"/>
    <w:basedOn w:val="DefaultParagraphFont"/>
    <w:link w:val="heading42"/>
    <w:rsid w:val="00B16E1D"/>
    <w:rPr>
      <w:rFonts w:ascii="Times New Roman" w:hAnsi="Times New Roman" w:eastAsia="Times New Roman" w:cs="Courier New"/>
      <w:spacing w:val="-2"/>
      <w:sz w:val="20"/>
      <w:szCs w:val="20"/>
    </w:rPr>
  </w:style>
  <w:style w:type="character" w:styleId="Ttulo6Car" w:customStyle="1">
    <w:name w:val="Título 6 Car"/>
    <w:basedOn w:val="DefaultParagraphFont"/>
    <w:link w:val="heading62"/>
    <w:uiPriority w:val="9"/>
    <w:rsid w:val="00B16E1D"/>
    <w:rPr>
      <w:rFonts w:ascii="Cambria" w:hAnsi="Cambria" w:eastAsia="Times New Roman" w:cs="Times New Roman"/>
      <w:i/>
      <w:iCs/>
      <w:color w:val="243F60"/>
      <w:sz w:val="22"/>
      <w:szCs w:val="22"/>
    </w:rPr>
  </w:style>
  <w:style w:type="paragraph" w:styleId="BalloonText">
    <w:name w:val="Balloon Text"/>
    <w:basedOn w:val="Normal2"/>
    <w:link w:val="BalloonTextChar"/>
    <w:uiPriority w:val="99"/>
    <w:semiHidden/>
    <w:rsid w:val="00B16E1D"/>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B16E1D"/>
    <w:rPr>
      <w:rFonts w:ascii="Tahoma" w:hAnsi="Tahoma" w:eastAsia="Calibri" w:cs="Tahoma"/>
      <w:sz w:val="16"/>
      <w:szCs w:val="16"/>
    </w:rPr>
  </w:style>
  <w:style w:type="paragraph" w:styleId="ListParagraph">
    <w:name w:val="List Paragraph"/>
    <w:aliases w:val="List Paragraph-ExecSummary,Bullets,List Paragraph (numbered (a)),Medium Grid 1 Accent 2,List Paragraph1,WB Para,Párrafo de lista1,Paragraphe de liste1,List Paragraph11,Numbered List Paragraph,ADB paragraph numbering,List bullet"/>
    <w:basedOn w:val="Normal2"/>
    <w:link w:val="ListParagraphChar"/>
    <w:uiPriority w:val="1"/>
    <w:qFormat/>
    <w:rsid w:val="00B16E1D"/>
    <w:pPr>
      <w:ind w:left="720"/>
      <w:contextualSpacing/>
    </w:p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
    <w:basedOn w:val="Normal2"/>
    <w:link w:val="FootnoteTextChar"/>
    <w:uiPriority w:val="99"/>
    <w:rsid w:val="00B16E1D"/>
    <w:pPr>
      <w:spacing w:after="0"/>
    </w:pPr>
    <w:rPr>
      <w:sz w:val="20"/>
      <w:szCs w:val="20"/>
    </w:rPr>
  </w:style>
  <w:style w:type="character" w:styleId="FootnoteTextChar" w:customStyle="1">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B16E1D"/>
    <w:rPr>
      <w:rFonts w:ascii="Calibri" w:hAnsi="Calibri" w:eastAsia="Calibri" w:cs="Times New Roman"/>
      <w:sz w:val="20"/>
      <w:szCs w:val="20"/>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
    <w:basedOn w:val="DefaultParagraphFont"/>
    <w:uiPriority w:val="99"/>
    <w:rsid w:val="00B16E1D"/>
    <w:rPr>
      <w:rFonts w:cs="Times New Roman"/>
      <w:vertAlign w:val="superscript"/>
    </w:rPr>
  </w:style>
  <w:style w:type="character" w:styleId="CommentReference">
    <w:name w:val="annotation reference"/>
    <w:basedOn w:val="DefaultParagraphFont"/>
    <w:uiPriority w:val="99"/>
    <w:rsid w:val="00B16E1D"/>
    <w:rPr>
      <w:rFonts w:cs="Times New Roman"/>
      <w:sz w:val="16"/>
      <w:szCs w:val="16"/>
    </w:rPr>
  </w:style>
  <w:style w:type="paragraph" w:styleId="CommentText">
    <w:name w:val="annotation text"/>
    <w:basedOn w:val="Normal2"/>
    <w:link w:val="CommentTextChar"/>
    <w:uiPriority w:val="99"/>
    <w:rsid w:val="00B16E1D"/>
    <w:rPr>
      <w:sz w:val="20"/>
      <w:szCs w:val="20"/>
    </w:rPr>
  </w:style>
  <w:style w:type="character" w:styleId="CommentTextChar" w:customStyle="1">
    <w:name w:val="Comment Text Char"/>
    <w:basedOn w:val="DefaultParagraphFont"/>
    <w:link w:val="CommentText"/>
    <w:uiPriority w:val="99"/>
    <w:rsid w:val="00B16E1D"/>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rsid w:val="00B16E1D"/>
    <w:rPr>
      <w:b/>
      <w:bCs/>
    </w:rPr>
  </w:style>
  <w:style w:type="character" w:styleId="CommentSubjectChar" w:customStyle="1">
    <w:name w:val="Comment Subject Char"/>
    <w:basedOn w:val="CommentTextChar"/>
    <w:link w:val="CommentSubject"/>
    <w:uiPriority w:val="99"/>
    <w:semiHidden/>
    <w:rsid w:val="00B16E1D"/>
    <w:rPr>
      <w:rFonts w:ascii="Calibri" w:hAnsi="Calibri" w:eastAsia="Calibri" w:cs="Times New Roman"/>
      <w:b/>
      <w:bCs/>
      <w:sz w:val="20"/>
      <w:szCs w:val="20"/>
    </w:rPr>
  </w:style>
  <w:style w:type="paragraph" w:styleId="Header">
    <w:name w:val="header"/>
    <w:basedOn w:val="Normal2"/>
    <w:link w:val="HeaderChar"/>
    <w:uiPriority w:val="99"/>
    <w:rsid w:val="00B16E1D"/>
    <w:pPr>
      <w:tabs>
        <w:tab w:val="center" w:pos="4680"/>
        <w:tab w:val="right" w:pos="9360"/>
      </w:tabs>
      <w:spacing w:after="0"/>
    </w:pPr>
  </w:style>
  <w:style w:type="character" w:styleId="HeaderChar" w:customStyle="1">
    <w:name w:val="Header Char"/>
    <w:basedOn w:val="DefaultParagraphFont"/>
    <w:link w:val="Header"/>
    <w:uiPriority w:val="99"/>
    <w:rsid w:val="00B16E1D"/>
    <w:rPr>
      <w:rFonts w:ascii="Calibri" w:hAnsi="Calibri" w:eastAsia="Calibri" w:cs="Times New Roman"/>
      <w:sz w:val="22"/>
      <w:szCs w:val="22"/>
    </w:rPr>
  </w:style>
  <w:style w:type="paragraph" w:styleId="Footer">
    <w:name w:val="footer"/>
    <w:basedOn w:val="Normal2"/>
    <w:link w:val="FooterChar"/>
    <w:uiPriority w:val="99"/>
    <w:rsid w:val="00B16E1D"/>
    <w:pPr>
      <w:tabs>
        <w:tab w:val="center" w:pos="4680"/>
        <w:tab w:val="right" w:pos="9360"/>
      </w:tabs>
      <w:spacing w:after="0"/>
    </w:pPr>
  </w:style>
  <w:style w:type="character" w:styleId="FooterChar" w:customStyle="1">
    <w:name w:val="Footer Char"/>
    <w:basedOn w:val="DefaultParagraphFont"/>
    <w:link w:val="Footer"/>
    <w:uiPriority w:val="99"/>
    <w:rsid w:val="00B16E1D"/>
    <w:rPr>
      <w:rFonts w:ascii="Calibri" w:hAnsi="Calibri" w:eastAsia="Calibri" w:cs="Times New Roman"/>
      <w:sz w:val="22"/>
      <w:szCs w:val="22"/>
    </w:rPr>
  </w:style>
  <w:style w:type="table" w:styleId="TableGrid">
    <w:name w:val="Table Grid"/>
    <w:basedOn w:val="NormalTable2"/>
    <w:rsid w:val="00B16E1D"/>
    <w:pPr>
      <w:ind w:hanging="360"/>
    </w:pPr>
    <w:rPr>
      <w:rFonts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rsid w:val="00B16E1D"/>
    <w:rPr>
      <w:rFonts w:cs="Times New Roman"/>
      <w:color w:val="0000FF"/>
      <w:u w:val="single"/>
    </w:rPr>
  </w:style>
  <w:style w:type="character" w:styleId="FollowedHyperlink">
    <w:name w:val="FollowedHyperlink"/>
    <w:basedOn w:val="DefaultParagraphFont"/>
    <w:uiPriority w:val="99"/>
    <w:rsid w:val="00B16E1D"/>
    <w:rPr>
      <w:rFonts w:cs="Times New Roman"/>
      <w:color w:val="800080"/>
      <w:u w:val="single"/>
    </w:rPr>
  </w:style>
  <w:style w:type="paragraph" w:styleId="Title2" w:customStyle="1">
    <w:name w:val="Title2"/>
    <w:basedOn w:val="Normal2"/>
    <w:next w:val="Normal2"/>
    <w:link w:val="TtuloCar"/>
    <w:uiPriority w:val="99"/>
    <w:qFormat/>
    <w:rsid w:val="00B16E1D"/>
    <w:pPr>
      <w:pBdr>
        <w:bottom w:val="single" w:color="4F81BD" w:sz="8" w:space="4"/>
      </w:pBdr>
      <w:spacing w:after="300"/>
      <w:contextualSpacing/>
    </w:pPr>
    <w:rPr>
      <w:rFonts w:ascii="Cambria" w:hAnsi="Cambria" w:eastAsia="Times New Roman"/>
      <w:color w:val="17365D"/>
      <w:spacing w:val="5"/>
      <w:kern w:val="28"/>
      <w:sz w:val="52"/>
      <w:szCs w:val="52"/>
    </w:rPr>
  </w:style>
  <w:style w:type="character" w:styleId="TtuloCar" w:customStyle="1">
    <w:name w:val="Título Car"/>
    <w:basedOn w:val="DefaultParagraphFont"/>
    <w:link w:val="Title2"/>
    <w:uiPriority w:val="99"/>
    <w:rsid w:val="00B16E1D"/>
    <w:rPr>
      <w:rFonts w:ascii="Cambria" w:hAnsi="Cambria" w:eastAsia="Times New Roman" w:cs="Times New Roman"/>
      <w:color w:val="17365D"/>
      <w:spacing w:val="5"/>
      <w:kern w:val="28"/>
      <w:sz w:val="52"/>
      <w:szCs w:val="52"/>
    </w:rPr>
  </w:style>
  <w:style w:type="character" w:styleId="BookTitle">
    <w:name w:val="Book Title"/>
    <w:basedOn w:val="DefaultParagraphFont"/>
    <w:uiPriority w:val="33"/>
    <w:qFormat/>
    <w:rsid w:val="00B16E1D"/>
    <w:rPr>
      <w:rFonts w:cs="Times New Roman"/>
      <w:b/>
      <w:bCs/>
      <w:smallCaps/>
      <w:spacing w:val="5"/>
    </w:rPr>
  </w:style>
  <w:style w:type="paragraph" w:styleId="TOCHeading">
    <w:name w:val="TOC Heading"/>
    <w:basedOn w:val="heading12"/>
    <w:next w:val="Normal2"/>
    <w:uiPriority w:val="39"/>
    <w:qFormat/>
    <w:rsid w:val="00B16E1D"/>
    <w:pPr>
      <w:outlineLvl w:val="9"/>
    </w:pPr>
  </w:style>
  <w:style w:type="paragraph" w:styleId="TOC1">
    <w:name w:val="toc 1"/>
    <w:basedOn w:val="Normal2"/>
    <w:next w:val="Normal2"/>
    <w:autoRedefine/>
    <w:uiPriority w:val="39"/>
    <w:qFormat/>
    <w:rsid w:val="00B16E1D"/>
    <w:pPr>
      <w:tabs>
        <w:tab w:val="right" w:leader="dot" w:pos="9350"/>
      </w:tabs>
    </w:pPr>
    <w:rPr>
      <w:b/>
    </w:rPr>
  </w:style>
  <w:style w:type="paragraph" w:styleId="TOC2">
    <w:name w:val="toc 2"/>
    <w:basedOn w:val="Normal2"/>
    <w:next w:val="Normal2"/>
    <w:autoRedefine/>
    <w:uiPriority w:val="39"/>
    <w:qFormat/>
    <w:rsid w:val="00B16E1D"/>
    <w:pPr>
      <w:tabs>
        <w:tab w:val="right" w:leader="dot" w:pos="9350"/>
      </w:tabs>
      <w:ind w:left="648"/>
    </w:pPr>
  </w:style>
  <w:style w:type="paragraph" w:styleId="TOC3">
    <w:name w:val="toc 3"/>
    <w:basedOn w:val="Normal2"/>
    <w:next w:val="Normal2"/>
    <w:autoRedefine/>
    <w:uiPriority w:val="39"/>
    <w:qFormat/>
    <w:rsid w:val="00B16E1D"/>
    <w:pPr>
      <w:spacing w:after="100"/>
      <w:ind w:left="440"/>
    </w:pPr>
  </w:style>
  <w:style w:type="paragraph" w:styleId="NoSpacing">
    <w:name w:val="No Spacing"/>
    <w:uiPriority w:val="1"/>
    <w:qFormat/>
    <w:rsid w:val="00B16E1D"/>
    <w:pPr>
      <w:ind w:hanging="360"/>
    </w:pPr>
    <w:rPr>
      <w:rFonts w:cs="Times New Roman"/>
    </w:rPr>
  </w:style>
  <w:style w:type="paragraph" w:styleId="Default" w:customStyle="1">
    <w:name w:val="Default"/>
    <w:rsid w:val="00B16E1D"/>
    <w:pPr>
      <w:autoSpaceDE w:val="0"/>
      <w:autoSpaceDN w:val="0"/>
      <w:adjustRightInd w:val="0"/>
      <w:ind w:hanging="360"/>
    </w:pPr>
    <w:rPr>
      <w:rFonts w:ascii="Times New Roman" w:hAnsi="Times New Roman" w:cs="Times New Roman"/>
      <w:color w:val="000000"/>
    </w:rPr>
  </w:style>
  <w:style w:type="paragraph" w:styleId="EndnoteText">
    <w:name w:val="endnote text"/>
    <w:basedOn w:val="Normal2"/>
    <w:link w:val="EndnoteTextChar"/>
    <w:uiPriority w:val="99"/>
    <w:semiHidden/>
    <w:rsid w:val="00B16E1D"/>
    <w:pPr>
      <w:spacing w:after="0"/>
    </w:pPr>
    <w:rPr>
      <w:sz w:val="20"/>
      <w:szCs w:val="20"/>
    </w:rPr>
  </w:style>
  <w:style w:type="character" w:styleId="EndnoteTextChar" w:customStyle="1">
    <w:name w:val="Endnote Text Char"/>
    <w:basedOn w:val="DefaultParagraphFont"/>
    <w:link w:val="EndnoteText"/>
    <w:uiPriority w:val="99"/>
    <w:semiHidden/>
    <w:rsid w:val="00B16E1D"/>
    <w:rPr>
      <w:rFonts w:ascii="Calibri" w:hAnsi="Calibri" w:eastAsia="Calibri" w:cs="Times New Roman"/>
      <w:sz w:val="20"/>
      <w:szCs w:val="20"/>
    </w:rPr>
  </w:style>
  <w:style w:type="character" w:styleId="EndnoteReference">
    <w:name w:val="endnote reference"/>
    <w:basedOn w:val="DefaultParagraphFont"/>
    <w:uiPriority w:val="99"/>
    <w:semiHidden/>
    <w:rsid w:val="00B16E1D"/>
    <w:rPr>
      <w:rFonts w:cs="Times New Roman"/>
      <w:vertAlign w:val="superscript"/>
    </w:rPr>
  </w:style>
  <w:style w:type="paragraph" w:styleId="NormalWeb">
    <w:name w:val="Normal (Web)"/>
    <w:basedOn w:val="Normal2"/>
    <w:uiPriority w:val="99"/>
    <w:rsid w:val="00B16E1D"/>
    <w:pPr>
      <w:spacing w:before="100" w:beforeAutospacing="1" w:after="100" w:afterAutospacing="1"/>
    </w:pPr>
    <w:rPr>
      <w:rFonts w:ascii="Times New Roman" w:hAnsi="Times New Roman" w:eastAsia="Times New Roman"/>
      <w:sz w:val="24"/>
      <w:szCs w:val="24"/>
    </w:rPr>
  </w:style>
  <w:style w:type="paragraph" w:styleId="BodyText">
    <w:name w:val="Body Text"/>
    <w:basedOn w:val="Normal2"/>
    <w:link w:val="BodyTextChar"/>
    <w:rsid w:val="00B16E1D"/>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pPr>
    <w:rPr>
      <w:rFonts w:ascii="Times New Roman" w:hAnsi="Times New Roman" w:eastAsia="Times New Roman" w:cs="Courier New"/>
      <w:b/>
      <w:bCs/>
      <w:spacing w:val="-2"/>
      <w:sz w:val="20"/>
      <w:szCs w:val="20"/>
    </w:rPr>
  </w:style>
  <w:style w:type="character" w:styleId="BodyTextChar" w:customStyle="1">
    <w:name w:val="Body Text Char"/>
    <w:basedOn w:val="DefaultParagraphFont"/>
    <w:link w:val="BodyText"/>
    <w:rsid w:val="00B16E1D"/>
    <w:rPr>
      <w:rFonts w:ascii="Times New Roman" w:hAnsi="Times New Roman" w:eastAsia="Times New Roman" w:cs="Courier New"/>
      <w:b/>
      <w:bCs/>
      <w:spacing w:val="-2"/>
      <w:sz w:val="20"/>
      <w:szCs w:val="20"/>
    </w:rPr>
  </w:style>
  <w:style w:type="character" w:styleId="PageNumber">
    <w:name w:val="page number"/>
    <w:basedOn w:val="DefaultParagraphFont"/>
    <w:uiPriority w:val="99"/>
    <w:rsid w:val="00B16E1D"/>
    <w:rPr>
      <w:rFonts w:cs="Times New Roman"/>
    </w:rPr>
  </w:style>
  <w:style w:type="paragraph" w:styleId="BodyText3">
    <w:name w:val="Body Text 3"/>
    <w:basedOn w:val="Normal2"/>
    <w:link w:val="BodyText3Char"/>
    <w:uiPriority w:val="99"/>
    <w:semiHidden/>
    <w:rsid w:val="00B16E1D"/>
    <w:rPr>
      <w:rFonts w:eastAsia="Times New Roman"/>
      <w:sz w:val="16"/>
      <w:szCs w:val="16"/>
    </w:rPr>
  </w:style>
  <w:style w:type="character" w:styleId="BodyText3Char" w:customStyle="1">
    <w:name w:val="Body Text 3 Char"/>
    <w:basedOn w:val="DefaultParagraphFont"/>
    <w:link w:val="BodyText3"/>
    <w:uiPriority w:val="99"/>
    <w:semiHidden/>
    <w:rsid w:val="00B16E1D"/>
    <w:rPr>
      <w:rFonts w:ascii="Calibri" w:hAnsi="Calibri" w:eastAsia="Times New Roman" w:cs="Times New Roman"/>
      <w:sz w:val="16"/>
      <w:szCs w:val="16"/>
    </w:rPr>
  </w:style>
  <w:style w:type="paragraph" w:styleId="pabid4" w:customStyle="1">
    <w:name w:val="pabid4"/>
    <w:basedOn w:val="Normal2"/>
    <w:rsid w:val="00B16E1D"/>
    <w:pPr>
      <w:spacing w:before="100" w:beforeAutospacing="1" w:after="100" w:afterAutospacing="1"/>
    </w:pPr>
    <w:rPr>
      <w:rFonts w:ascii="Times New Roman" w:hAnsi="Times New Roman" w:eastAsia="Times New Roman"/>
      <w:sz w:val="24"/>
      <w:szCs w:val="24"/>
    </w:rPr>
  </w:style>
  <w:style w:type="paragraph" w:styleId="pabid6" w:customStyle="1">
    <w:name w:val="pabid6"/>
    <w:basedOn w:val="Normal2"/>
    <w:rsid w:val="00B16E1D"/>
    <w:pPr>
      <w:spacing w:before="100" w:beforeAutospacing="1" w:after="100" w:afterAutospacing="1"/>
    </w:pPr>
    <w:rPr>
      <w:rFonts w:ascii="Times New Roman" w:hAnsi="Times New Roman" w:eastAsia="Times New Roman"/>
      <w:sz w:val="24"/>
      <w:szCs w:val="24"/>
    </w:rPr>
  </w:style>
  <w:style w:type="paragraph" w:styleId="pabid5" w:customStyle="1">
    <w:name w:val="pabid5"/>
    <w:basedOn w:val="Normal2"/>
    <w:rsid w:val="00B16E1D"/>
    <w:pPr>
      <w:spacing w:before="100" w:beforeAutospacing="1" w:after="100" w:afterAutospacing="1"/>
    </w:pPr>
    <w:rPr>
      <w:rFonts w:ascii="Times New Roman" w:hAnsi="Times New Roman" w:eastAsia="Times New Roman"/>
      <w:sz w:val="24"/>
      <w:szCs w:val="24"/>
    </w:rPr>
  </w:style>
  <w:style w:type="paragraph" w:styleId="pabid8" w:customStyle="1">
    <w:name w:val="pabid8"/>
    <w:basedOn w:val="Normal2"/>
    <w:rsid w:val="00B16E1D"/>
    <w:pPr>
      <w:spacing w:before="100" w:beforeAutospacing="1" w:after="100" w:afterAutospacing="1"/>
    </w:pPr>
    <w:rPr>
      <w:rFonts w:ascii="Times New Roman" w:hAnsi="Times New Roman" w:eastAsia="Times New Roman"/>
      <w:sz w:val="24"/>
      <w:szCs w:val="24"/>
    </w:rPr>
  </w:style>
  <w:style w:type="paragraph" w:styleId="TOC4">
    <w:name w:val="toc 4"/>
    <w:basedOn w:val="Normal2"/>
    <w:next w:val="Normal2"/>
    <w:autoRedefine/>
    <w:uiPriority w:val="39"/>
    <w:rsid w:val="00B16E1D"/>
    <w:pPr>
      <w:widowControl w:val="0"/>
      <w:tabs>
        <w:tab w:val="right" w:leader="dot" w:pos="9360"/>
      </w:tabs>
      <w:suppressAutoHyphens/>
      <w:autoSpaceDE w:val="0"/>
      <w:autoSpaceDN w:val="0"/>
      <w:adjustRightInd w:val="0"/>
      <w:spacing w:after="0" w:line="240" w:lineRule="atLeast"/>
      <w:ind w:left="2880" w:right="720" w:hanging="720"/>
    </w:pPr>
    <w:rPr>
      <w:rFonts w:ascii="Courier New" w:hAnsi="Courier New" w:eastAsia="Times New Roman" w:cs="Courier New"/>
      <w:sz w:val="20"/>
      <w:szCs w:val="20"/>
    </w:rPr>
  </w:style>
  <w:style w:type="paragraph" w:styleId="TOC5">
    <w:name w:val="toc 5"/>
    <w:basedOn w:val="Normal2"/>
    <w:next w:val="Normal2"/>
    <w:autoRedefine/>
    <w:uiPriority w:val="39"/>
    <w:rsid w:val="00B16E1D"/>
    <w:pPr>
      <w:widowControl w:val="0"/>
      <w:tabs>
        <w:tab w:val="right" w:leader="dot" w:pos="9360"/>
      </w:tabs>
      <w:suppressAutoHyphens/>
      <w:autoSpaceDE w:val="0"/>
      <w:autoSpaceDN w:val="0"/>
      <w:adjustRightInd w:val="0"/>
      <w:spacing w:after="0" w:line="240" w:lineRule="atLeast"/>
      <w:ind w:left="3600" w:right="720" w:hanging="720"/>
    </w:pPr>
    <w:rPr>
      <w:rFonts w:ascii="Courier New" w:hAnsi="Courier New" w:eastAsia="Times New Roman" w:cs="Courier New"/>
      <w:sz w:val="20"/>
      <w:szCs w:val="20"/>
    </w:rPr>
  </w:style>
  <w:style w:type="paragraph" w:styleId="TOC6">
    <w:name w:val="toc 6"/>
    <w:basedOn w:val="Normal2"/>
    <w:next w:val="Normal2"/>
    <w:autoRedefine/>
    <w:uiPriority w:val="39"/>
    <w:rsid w:val="00B16E1D"/>
    <w:pPr>
      <w:widowControl w:val="0"/>
      <w:tabs>
        <w:tab w:val="right" w:pos="9360"/>
      </w:tabs>
      <w:suppressAutoHyphens/>
      <w:autoSpaceDE w:val="0"/>
      <w:autoSpaceDN w:val="0"/>
      <w:adjustRightInd w:val="0"/>
      <w:spacing w:after="0" w:line="240" w:lineRule="atLeast"/>
      <w:ind w:left="720" w:hanging="720"/>
    </w:pPr>
    <w:rPr>
      <w:rFonts w:ascii="Courier New" w:hAnsi="Courier New" w:eastAsia="Times New Roman" w:cs="Courier New"/>
      <w:sz w:val="20"/>
      <w:szCs w:val="20"/>
    </w:rPr>
  </w:style>
  <w:style w:type="paragraph" w:styleId="TOC7">
    <w:name w:val="toc 7"/>
    <w:basedOn w:val="Normal2"/>
    <w:next w:val="Normal2"/>
    <w:autoRedefine/>
    <w:uiPriority w:val="39"/>
    <w:rsid w:val="00B16E1D"/>
    <w:pPr>
      <w:widowControl w:val="0"/>
      <w:suppressAutoHyphens/>
      <w:autoSpaceDE w:val="0"/>
      <w:autoSpaceDN w:val="0"/>
      <w:adjustRightInd w:val="0"/>
      <w:spacing w:after="0" w:line="240" w:lineRule="atLeast"/>
      <w:ind w:left="720" w:hanging="720"/>
    </w:pPr>
    <w:rPr>
      <w:rFonts w:ascii="Courier New" w:hAnsi="Courier New" w:eastAsia="Times New Roman" w:cs="Courier New"/>
      <w:sz w:val="20"/>
      <w:szCs w:val="20"/>
    </w:rPr>
  </w:style>
  <w:style w:type="paragraph" w:styleId="TOC8">
    <w:name w:val="toc 8"/>
    <w:basedOn w:val="Normal2"/>
    <w:next w:val="Normal2"/>
    <w:autoRedefine/>
    <w:uiPriority w:val="39"/>
    <w:rsid w:val="00B16E1D"/>
    <w:pPr>
      <w:widowControl w:val="0"/>
      <w:tabs>
        <w:tab w:val="right" w:pos="9360"/>
      </w:tabs>
      <w:suppressAutoHyphens/>
      <w:autoSpaceDE w:val="0"/>
      <w:autoSpaceDN w:val="0"/>
      <w:adjustRightInd w:val="0"/>
      <w:spacing w:after="0" w:line="240" w:lineRule="atLeast"/>
      <w:ind w:left="720" w:hanging="720"/>
    </w:pPr>
    <w:rPr>
      <w:rFonts w:ascii="Courier New" w:hAnsi="Courier New" w:eastAsia="Times New Roman" w:cs="Courier New"/>
      <w:sz w:val="20"/>
      <w:szCs w:val="20"/>
    </w:rPr>
  </w:style>
  <w:style w:type="paragraph" w:styleId="TOC9">
    <w:name w:val="toc 9"/>
    <w:basedOn w:val="Normal2"/>
    <w:next w:val="Normal2"/>
    <w:autoRedefine/>
    <w:uiPriority w:val="39"/>
    <w:rsid w:val="00B16E1D"/>
    <w:pPr>
      <w:widowControl w:val="0"/>
      <w:tabs>
        <w:tab w:val="right" w:leader="dot" w:pos="9360"/>
      </w:tabs>
      <w:suppressAutoHyphens/>
      <w:autoSpaceDE w:val="0"/>
      <w:autoSpaceDN w:val="0"/>
      <w:adjustRightInd w:val="0"/>
      <w:spacing w:after="0" w:line="240" w:lineRule="atLeast"/>
      <w:ind w:left="720" w:hanging="720"/>
    </w:pPr>
    <w:rPr>
      <w:rFonts w:ascii="Courier New" w:hAnsi="Courier New" w:eastAsia="Times New Roman" w:cs="Courier New"/>
      <w:sz w:val="20"/>
      <w:szCs w:val="20"/>
    </w:rPr>
  </w:style>
  <w:style w:type="paragraph" w:styleId="Index1">
    <w:name w:val="index 1"/>
    <w:basedOn w:val="Normal2"/>
    <w:next w:val="Normal2"/>
    <w:autoRedefine/>
    <w:semiHidden/>
    <w:rsid w:val="00B16E1D"/>
    <w:pPr>
      <w:widowControl w:val="0"/>
      <w:tabs>
        <w:tab w:val="right" w:leader="dot" w:pos="9360"/>
      </w:tabs>
      <w:suppressAutoHyphens/>
      <w:autoSpaceDE w:val="0"/>
      <w:autoSpaceDN w:val="0"/>
      <w:adjustRightInd w:val="0"/>
      <w:spacing w:after="0" w:line="240" w:lineRule="atLeast"/>
      <w:ind w:left="1440" w:right="720" w:hanging="1440"/>
    </w:pPr>
    <w:rPr>
      <w:rFonts w:ascii="Courier New" w:hAnsi="Courier New" w:eastAsia="Times New Roman" w:cs="Courier New"/>
      <w:sz w:val="20"/>
      <w:szCs w:val="20"/>
    </w:rPr>
  </w:style>
  <w:style w:type="paragraph" w:styleId="Index2">
    <w:name w:val="index 2"/>
    <w:basedOn w:val="Normal2"/>
    <w:next w:val="Normal2"/>
    <w:autoRedefine/>
    <w:semiHidden/>
    <w:rsid w:val="00B16E1D"/>
    <w:pPr>
      <w:widowControl w:val="0"/>
      <w:tabs>
        <w:tab w:val="right" w:leader="dot" w:pos="9360"/>
      </w:tabs>
      <w:suppressAutoHyphens/>
      <w:autoSpaceDE w:val="0"/>
      <w:autoSpaceDN w:val="0"/>
      <w:adjustRightInd w:val="0"/>
      <w:spacing w:after="0" w:line="240" w:lineRule="atLeast"/>
      <w:ind w:left="1440" w:right="720" w:hanging="720"/>
    </w:pPr>
    <w:rPr>
      <w:rFonts w:ascii="Courier New" w:hAnsi="Courier New" w:eastAsia="Times New Roman" w:cs="Courier New"/>
      <w:sz w:val="20"/>
      <w:szCs w:val="20"/>
    </w:rPr>
  </w:style>
  <w:style w:type="paragraph" w:styleId="TOAHeading">
    <w:name w:val="toa heading"/>
    <w:basedOn w:val="Normal2"/>
    <w:next w:val="Normal2"/>
    <w:semiHidden/>
    <w:rsid w:val="00B16E1D"/>
    <w:pPr>
      <w:widowControl w:val="0"/>
      <w:tabs>
        <w:tab w:val="right" w:pos="9360"/>
      </w:tabs>
      <w:suppressAutoHyphens/>
      <w:autoSpaceDE w:val="0"/>
      <w:autoSpaceDN w:val="0"/>
      <w:adjustRightInd w:val="0"/>
      <w:spacing w:after="0" w:line="240" w:lineRule="atLeast"/>
    </w:pPr>
    <w:rPr>
      <w:rFonts w:ascii="Courier New" w:hAnsi="Courier New" w:eastAsia="Times New Roman" w:cs="Courier New"/>
      <w:sz w:val="20"/>
      <w:szCs w:val="20"/>
    </w:rPr>
  </w:style>
  <w:style w:type="paragraph" w:styleId="Caption">
    <w:name w:val="caption"/>
    <w:basedOn w:val="Normal2"/>
    <w:next w:val="Normal2"/>
    <w:qFormat/>
    <w:rsid w:val="00B16E1D"/>
    <w:pPr>
      <w:widowControl w:val="0"/>
      <w:autoSpaceDE w:val="0"/>
      <w:autoSpaceDN w:val="0"/>
      <w:adjustRightInd w:val="0"/>
      <w:spacing w:after="0"/>
    </w:pPr>
    <w:rPr>
      <w:rFonts w:ascii="Courier New" w:hAnsi="Courier New" w:eastAsia="Times New Roman"/>
      <w:sz w:val="20"/>
      <w:szCs w:val="24"/>
    </w:rPr>
  </w:style>
  <w:style w:type="character" w:styleId="EquationCaption" w:customStyle="1">
    <w:name w:val="_Equation Caption"/>
    <w:rsid w:val="00B16E1D"/>
  </w:style>
  <w:style w:type="paragraph" w:styleId="BodyTextIndent">
    <w:name w:val="Body Text Indent"/>
    <w:basedOn w:val="Normal2"/>
    <w:link w:val="BodyTextIndentChar"/>
    <w:rsid w:val="00B16E1D"/>
    <w:pPr>
      <w:widowControl w:val="0"/>
      <w:tabs>
        <w:tab w:val="left" w:pos="0"/>
        <w:tab w:val="right" w:leader="dot" w:pos="73"/>
        <w:tab w:val="left" w:pos="180"/>
        <w:tab w:val="right" w:leader="dot" w:pos="1712"/>
        <w:tab w:val="right" w:leader="dot" w:pos="4160"/>
        <w:tab w:val="right" w:leader="dot" w:pos="6528"/>
        <w:tab w:val="right" w:leader="dot" w:pos="9384"/>
      </w:tabs>
      <w:suppressAutoHyphens/>
      <w:autoSpaceDE w:val="0"/>
      <w:autoSpaceDN w:val="0"/>
      <w:adjustRightInd w:val="0"/>
      <w:spacing w:after="0" w:line="240" w:lineRule="atLeast"/>
      <w:ind w:left="270" w:hanging="270"/>
      <w:jc w:val="both"/>
    </w:pPr>
    <w:rPr>
      <w:rFonts w:ascii="Times New Roman" w:hAnsi="Times New Roman" w:eastAsia="Times New Roman" w:cs="Courier New"/>
      <w:b/>
      <w:bCs/>
      <w:spacing w:val="-2"/>
      <w:sz w:val="20"/>
      <w:szCs w:val="20"/>
    </w:rPr>
  </w:style>
  <w:style w:type="character" w:styleId="BodyTextIndentChar" w:customStyle="1">
    <w:name w:val="Body Text Indent Char"/>
    <w:basedOn w:val="DefaultParagraphFont"/>
    <w:link w:val="BodyTextIndent"/>
    <w:rsid w:val="00B16E1D"/>
    <w:rPr>
      <w:rFonts w:ascii="Times New Roman" w:hAnsi="Times New Roman" w:eastAsia="Times New Roman" w:cs="Courier New"/>
      <w:b/>
      <w:bCs/>
      <w:spacing w:val="-2"/>
      <w:sz w:val="20"/>
      <w:szCs w:val="20"/>
    </w:rPr>
  </w:style>
  <w:style w:type="paragraph" w:styleId="BodyText2">
    <w:name w:val="Body Text 2"/>
    <w:basedOn w:val="Normal2"/>
    <w:link w:val="BodyText2Char"/>
    <w:rsid w:val="00B16E1D"/>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after="0" w:line="240" w:lineRule="atLeast"/>
      <w:jc w:val="both"/>
    </w:pPr>
    <w:rPr>
      <w:rFonts w:ascii="Times New Roman" w:hAnsi="Times New Roman" w:eastAsia="Times New Roman" w:cs="Courier New"/>
      <w:spacing w:val="-2"/>
      <w:sz w:val="24"/>
      <w:szCs w:val="20"/>
    </w:rPr>
  </w:style>
  <w:style w:type="character" w:styleId="BodyText2Char" w:customStyle="1">
    <w:name w:val="Body Text 2 Char"/>
    <w:basedOn w:val="DefaultParagraphFont"/>
    <w:link w:val="BodyText2"/>
    <w:rsid w:val="00B16E1D"/>
    <w:rPr>
      <w:rFonts w:ascii="Times New Roman" w:hAnsi="Times New Roman" w:eastAsia="Times New Roman" w:cs="Courier New"/>
      <w:spacing w:val="-2"/>
      <w:szCs w:val="20"/>
    </w:rPr>
  </w:style>
  <w:style w:type="table" w:styleId="TableGrid1" w:customStyle="1">
    <w:name w:val="Table Grid1"/>
    <w:uiPriority w:val="99"/>
    <w:rsid w:val="00B16E1D"/>
    <w:pPr>
      <w:widowControl w:val="0"/>
      <w:autoSpaceDE w:val="0"/>
      <w:autoSpaceDN w:val="0"/>
      <w:adjustRightInd w:val="0"/>
      <w:ind w:hanging="360"/>
    </w:pPr>
    <w:rPr>
      <w:rFonts w:ascii="Times New Roman" w:hAnsi="Times New Roman" w:eastAsia="Times New Roman" w:cs="Times New Roman"/>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PDSAnnexHeading" w:customStyle="1">
    <w:name w:val="PDS Annex Heading"/>
    <w:next w:val="Normal2"/>
    <w:rsid w:val="00B16E1D"/>
    <w:pPr>
      <w:keepNext/>
      <w:ind w:hanging="360"/>
      <w:jc w:val="center"/>
    </w:pPr>
    <w:rPr>
      <w:rFonts w:ascii="Times New Roman" w:hAnsi="Times New Roman" w:eastAsia="Times New Roman" w:cs="Times New Roman"/>
      <w:b/>
      <w:szCs w:val="20"/>
    </w:rPr>
  </w:style>
  <w:style w:type="paragraph" w:styleId="DocumentMap">
    <w:name w:val="Document Map"/>
    <w:basedOn w:val="Normal2"/>
    <w:link w:val="DocumentMapChar"/>
    <w:uiPriority w:val="99"/>
    <w:semiHidden/>
    <w:rsid w:val="00B16E1D"/>
    <w:pPr>
      <w:spacing w:after="0"/>
    </w:pPr>
    <w:rPr>
      <w:rFonts w:ascii="Tahoma" w:hAnsi="Tahoma" w:eastAsia="Times New Roman" w:cs="Tahoma"/>
      <w:sz w:val="16"/>
      <w:szCs w:val="16"/>
    </w:rPr>
  </w:style>
  <w:style w:type="character" w:styleId="DocumentMapChar" w:customStyle="1">
    <w:name w:val="Document Map Char"/>
    <w:basedOn w:val="DefaultParagraphFont"/>
    <w:link w:val="DocumentMap"/>
    <w:uiPriority w:val="99"/>
    <w:semiHidden/>
    <w:rsid w:val="00B16E1D"/>
    <w:rPr>
      <w:rFonts w:ascii="Tahoma" w:hAnsi="Tahoma" w:eastAsia="Times New Roman" w:cs="Tahoma"/>
      <w:sz w:val="16"/>
      <w:szCs w:val="16"/>
    </w:rPr>
  </w:style>
  <w:style w:type="paragraph" w:styleId="Revision">
    <w:name w:val="Revision"/>
    <w:hidden/>
    <w:uiPriority w:val="99"/>
    <w:semiHidden/>
    <w:rsid w:val="00B16E1D"/>
    <w:pPr>
      <w:ind w:hanging="360"/>
    </w:pPr>
    <w:rPr>
      <w:rFonts w:ascii="Times New Roman" w:hAnsi="Times New Roman" w:eastAsia="Times New Roman" w:cs="Times New Roman"/>
    </w:rPr>
  </w:style>
  <w:style w:type="character" w:styleId="Strong">
    <w:name w:val="Strong"/>
    <w:basedOn w:val="DefaultParagraphFont"/>
    <w:uiPriority w:val="22"/>
    <w:qFormat/>
    <w:rsid w:val="00B16E1D"/>
    <w:rPr>
      <w:rFonts w:cs="Times New Roman"/>
      <w:b/>
      <w:bCs/>
    </w:rPr>
  </w:style>
  <w:style w:type="character" w:styleId="apple-converted-space" w:customStyle="1">
    <w:name w:val="apple-converted-space"/>
    <w:basedOn w:val="DefaultParagraphFont"/>
    <w:rsid w:val="00B16E1D"/>
    <w:rPr>
      <w:rFonts w:cs="Times New Roman"/>
    </w:rPr>
  </w:style>
  <w:style w:type="paragraph" w:styleId="PlainText">
    <w:name w:val="Plain Text"/>
    <w:basedOn w:val="Normal2"/>
    <w:link w:val="PlainTextChar"/>
    <w:uiPriority w:val="99"/>
    <w:rsid w:val="00B16E1D"/>
    <w:pPr>
      <w:spacing w:after="0"/>
    </w:pPr>
    <w:rPr>
      <w:rFonts w:ascii="Consolas" w:hAnsi="Consolas" w:cs="Consolas"/>
      <w:sz w:val="21"/>
      <w:szCs w:val="21"/>
    </w:rPr>
  </w:style>
  <w:style w:type="character" w:styleId="PlainTextChar" w:customStyle="1">
    <w:name w:val="Plain Text Char"/>
    <w:basedOn w:val="DefaultParagraphFont"/>
    <w:link w:val="PlainText"/>
    <w:uiPriority w:val="99"/>
    <w:rsid w:val="00B16E1D"/>
    <w:rPr>
      <w:rFonts w:ascii="Consolas" w:hAnsi="Consolas" w:eastAsia="Calibri" w:cs="Consolas"/>
      <w:sz w:val="21"/>
      <w:szCs w:val="21"/>
    </w:rPr>
  </w:style>
  <w:style w:type="table" w:styleId="LightShading1" w:customStyle="1">
    <w:name w:val="Light Shading1"/>
    <w:uiPriority w:val="60"/>
    <w:rsid w:val="00B16E1D"/>
    <w:pPr>
      <w:ind w:hanging="360"/>
    </w:pPr>
    <w:rPr>
      <w:rFonts w:cs="Times New Roman"/>
      <w:color w:val="000000"/>
      <w:sz w:val="20"/>
      <w:szCs w:val="20"/>
    </w:rPr>
    <w:tblPr>
      <w:tblStyleRowBandSize w:val="1"/>
      <w:tblStyleColBandSize w:val="1"/>
      <w:tblInd w:w="0" w:type="dxa"/>
      <w:tblBorders>
        <w:top w:val="single" w:color="000000" w:sz="8" w:space="0"/>
        <w:bottom w:val="single" w:color="000000" w:sz="8" w:space="0"/>
      </w:tblBorders>
      <w:tblCellMar>
        <w:top w:w="0" w:type="dxa"/>
        <w:left w:w="108" w:type="dxa"/>
        <w:bottom w:w="0" w:type="dxa"/>
        <w:right w:w="108" w:type="dxa"/>
      </w:tblCellMar>
    </w:tblPr>
  </w:style>
  <w:style w:type="paragraph" w:styleId="FreeForm" w:customStyle="1">
    <w:name w:val="Free Form"/>
    <w:uiPriority w:val="99"/>
    <w:rsid w:val="00B16E1D"/>
    <w:pPr>
      <w:ind w:hanging="360"/>
    </w:pPr>
    <w:rPr>
      <w:rFonts w:ascii="Helvetica" w:hAnsi="Helvetica" w:cs="Times New Roman"/>
      <w:color w:val="000000"/>
      <w:szCs w:val="20"/>
    </w:rPr>
  </w:style>
  <w:style w:type="paragraph" w:styleId="Heading110" w:customStyle="1">
    <w:name w:val="Heading 11"/>
    <w:next w:val="Normal2"/>
    <w:rsid w:val="00B16E1D"/>
    <w:pPr>
      <w:keepNext/>
      <w:keepLines/>
      <w:spacing w:before="480" w:line="276" w:lineRule="auto"/>
      <w:ind w:hanging="360"/>
      <w:outlineLvl w:val="0"/>
    </w:pPr>
    <w:rPr>
      <w:rFonts w:ascii="Lucida Grande" w:hAnsi="Lucida Grande" w:cs="Times New Roman"/>
      <w:b/>
      <w:color w:val="2A4982"/>
      <w:sz w:val="28"/>
      <w:szCs w:val="20"/>
    </w:rPr>
  </w:style>
  <w:style w:type="paragraph" w:styleId="NormalWeb1" w:customStyle="1">
    <w:name w:val="Normal (Web)1"/>
    <w:rsid w:val="00B16E1D"/>
    <w:pPr>
      <w:spacing w:before="100" w:after="100"/>
      <w:ind w:hanging="360"/>
    </w:pPr>
    <w:rPr>
      <w:rFonts w:ascii="Times New Roman" w:hAnsi="Times New Roman" w:cs="Times New Roman"/>
      <w:color w:val="000000"/>
      <w:szCs w:val="20"/>
    </w:rPr>
  </w:style>
  <w:style w:type="paragraph" w:styleId="Body" w:customStyle="1">
    <w:name w:val="Body"/>
    <w:rsid w:val="00B16E1D"/>
    <w:pPr>
      <w:ind w:hanging="360"/>
    </w:pPr>
    <w:rPr>
      <w:rFonts w:ascii="Helvetica" w:hAnsi="Helvetica" w:cs="Times New Roman"/>
      <w:color w:val="000000"/>
      <w:szCs w:val="20"/>
    </w:rPr>
  </w:style>
  <w:style w:type="table" w:styleId="LightList-Accent4">
    <w:name w:val="Light List Accent 4"/>
    <w:basedOn w:val="NormalTable2"/>
    <w:uiPriority w:val="61"/>
    <w:rsid w:val="00B16E1D"/>
    <w:pPr>
      <w:ind w:hanging="360"/>
    </w:pPr>
    <w:rPr>
      <w:rFonts w:cs="Times New Roman"/>
      <w:sz w:val="20"/>
      <w:szCs w:val="20"/>
    </w:rPr>
    <w:tblPr>
      <w:tblStyleRowBandSize w:val="1"/>
      <w:tblStyleColBandSize w:val="1"/>
      <w:tblBorders>
        <w:top w:val="single" w:color="8064A2" w:sz="8" w:space="0"/>
        <w:left w:val="single" w:color="8064A2" w:sz="8" w:space="0"/>
        <w:bottom w:val="single" w:color="8064A2" w:sz="8" w:space="0"/>
        <w:right w:val="single" w:color="8064A2" w:sz="8" w:space="0"/>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color="8064A2" w:sz="6" w:space="0"/>
          <w:left w:val="single" w:color="8064A2" w:sz="8" w:space="0"/>
          <w:bottom w:val="single" w:color="8064A2" w:sz="8" w:space="0"/>
          <w:right w:val="single" w:color="8064A2" w:sz="8" w:space="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color="8064A2" w:sz="8" w:space="0"/>
          <w:left w:val="single" w:color="8064A2" w:sz="8" w:space="0"/>
          <w:bottom w:val="single" w:color="8064A2" w:sz="8" w:space="0"/>
          <w:right w:val="single" w:color="8064A2" w:sz="8" w:space="0"/>
        </w:tcBorders>
      </w:tcPr>
    </w:tblStylePr>
    <w:tblStylePr w:type="band1Horz">
      <w:rPr>
        <w:rFonts w:cs="Times New Roman"/>
      </w:rPr>
      <w:tblPr/>
      <w:tcPr>
        <w:tcBorders>
          <w:top w:val="single" w:color="8064A2" w:sz="8" w:space="0"/>
          <w:left w:val="single" w:color="8064A2" w:sz="8" w:space="0"/>
          <w:bottom w:val="single" w:color="8064A2" w:sz="8" w:space="0"/>
          <w:right w:val="single" w:color="8064A2" w:sz="8" w:space="0"/>
        </w:tcBorders>
      </w:tcPr>
    </w:tblStylePr>
  </w:style>
  <w:style w:type="numbering" w:styleId="List47" w:customStyle="1">
    <w:name w:val="List 47"/>
    <w:rsid w:val="00B16E1D"/>
  </w:style>
  <w:style w:type="character" w:styleId="ms-rtecustom-brownfirstline" w:customStyle="1">
    <w:name w:val="ms-rtecustom-brownfirstline"/>
    <w:uiPriority w:val="99"/>
    <w:rsid w:val="00B16E1D"/>
  </w:style>
  <w:style w:type="character" w:styleId="Emphasis">
    <w:name w:val="Emphasis"/>
    <w:uiPriority w:val="99"/>
    <w:qFormat/>
    <w:rsid w:val="00B16E1D"/>
    <w:rPr>
      <w:rFonts w:cs="Times New Roman"/>
      <w:i/>
      <w:iCs/>
    </w:rPr>
  </w:style>
  <w:style w:type="table" w:styleId="LightList-Accent11" w:customStyle="1">
    <w:name w:val="Light List - Accent 11"/>
    <w:uiPriority w:val="99"/>
    <w:rsid w:val="00B16E1D"/>
    <w:rPr>
      <w:rFonts w:cs="Times New Roman"/>
      <w:sz w:val="20"/>
      <w:szCs w:val="20"/>
    </w:rPr>
    <w:tblPr>
      <w:tblStyleRowBandSize w:val="1"/>
      <w:tblStyleColBandSize w:val="1"/>
      <w:tblInd w:w="0" w:type="dxa"/>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style>
  <w:style w:type="paragraph" w:styleId="Normal10" w:customStyle="1">
    <w:name w:val="Normal10"/>
    <w:uiPriority w:val="99"/>
    <w:rsid w:val="00B16E1D"/>
    <w:pPr>
      <w:spacing w:line="276" w:lineRule="auto"/>
    </w:pPr>
    <w:rPr>
      <w:rFonts w:ascii="Arial" w:hAnsi="Arial" w:cs="Arial"/>
      <w:color w:val="000000"/>
    </w:rPr>
  </w:style>
  <w:style w:type="table" w:styleId="TableGrid2" w:customStyle="1">
    <w:name w:val="Table Grid2"/>
    <w:uiPriority w:val="99"/>
    <w:rsid w:val="00B16E1D"/>
    <w:rPr>
      <w:rFonts w:cs="Times New Roman"/>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BalloonTextChar1" w:customStyle="1">
    <w:name w:val="Balloon Text Char1"/>
    <w:uiPriority w:val="99"/>
    <w:semiHidden/>
    <w:rsid w:val="00B16E1D"/>
    <w:rPr>
      <w:rFonts w:ascii="Tahoma" w:hAnsi="Tahoma" w:cs="Tahoma"/>
      <w:sz w:val="16"/>
      <w:szCs w:val="16"/>
    </w:rPr>
  </w:style>
  <w:style w:type="character" w:styleId="style13" w:customStyle="1">
    <w:name w:val="style13"/>
    <w:uiPriority w:val="99"/>
    <w:rsid w:val="00B16E1D"/>
    <w:rPr>
      <w:rFonts w:cs="Times New Roman"/>
    </w:rPr>
  </w:style>
  <w:style w:type="character" w:styleId="FootnoteReference1" w:customStyle="1">
    <w:name w:val="Footnote Reference1"/>
    <w:uiPriority w:val="99"/>
    <w:rsid w:val="00B16E1D"/>
    <w:rPr>
      <w:rFonts w:cs="Times New Roman"/>
      <w:vertAlign w:val="superscript"/>
    </w:rPr>
  </w:style>
  <w:style w:type="character" w:styleId="FootnoteCharacters" w:customStyle="1">
    <w:name w:val="Footnote Characters"/>
    <w:uiPriority w:val="99"/>
    <w:rsid w:val="00B16E1D"/>
  </w:style>
  <w:style w:type="paragraph" w:styleId="FootnoteText1" w:customStyle="1">
    <w:name w:val="Footnote Text1"/>
    <w:basedOn w:val="Normal2"/>
    <w:uiPriority w:val="99"/>
    <w:rsid w:val="00B16E1D"/>
    <w:pPr>
      <w:suppressAutoHyphens/>
      <w:spacing w:after="0" w:line="100" w:lineRule="atLeast"/>
      <w:ind w:left="0" w:firstLine="0"/>
    </w:pPr>
    <w:rPr>
      <w:rFonts w:cs="Calibri"/>
      <w:color w:val="000000"/>
      <w:kern w:val="1"/>
      <w:sz w:val="20"/>
      <w:szCs w:val="20"/>
      <w:lang w:eastAsia="ar-SA"/>
    </w:rPr>
  </w:style>
  <w:style w:type="table" w:styleId="TableGrid3" w:customStyle="1">
    <w:name w:val="Table Grid3"/>
    <w:uiPriority w:val="99"/>
    <w:rsid w:val="00B16E1D"/>
    <w:rPr>
      <w:rFonts w:cs="Times New Roman"/>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styleId="Normal20" w:customStyle="1">
    <w:name w:val="Normal20"/>
    <w:uiPriority w:val="99"/>
    <w:rsid w:val="00B16E1D"/>
    <w:pPr>
      <w:spacing w:line="276" w:lineRule="auto"/>
    </w:pPr>
    <w:rPr>
      <w:rFonts w:ascii="Arial" w:hAnsi="Arial" w:cs="Arial"/>
      <w:color w:val="000000"/>
    </w:rPr>
  </w:style>
  <w:style w:type="character" w:styleId="PlaceholderText">
    <w:name w:val="Placeholder Text"/>
    <w:basedOn w:val="DefaultParagraphFont"/>
    <w:uiPriority w:val="99"/>
    <w:semiHidden/>
    <w:rsid w:val="00B16E1D"/>
    <w:rPr>
      <w:color w:val="808080"/>
    </w:rPr>
  </w:style>
  <w:style w:type="table" w:styleId="TableGrid4" w:customStyle="1">
    <w:name w:val="Table Grid4"/>
    <w:basedOn w:val="NormalTable2"/>
    <w:next w:val="TableGrid"/>
    <w:rsid w:val="00B16E1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light" w:customStyle="1">
    <w:name w:val="Body Text (light)"/>
    <w:basedOn w:val="Normal2"/>
    <w:rsid w:val="00B16E1D"/>
    <w:pPr>
      <w:spacing w:after="0" w:line="288" w:lineRule="auto"/>
      <w:ind w:left="0" w:firstLine="0"/>
    </w:pPr>
    <w:rPr>
      <w:rFonts w:ascii="Arial" w:hAnsi="Arial" w:eastAsia="Times New Roman" w:cs="Arial"/>
      <w:color w:val="000000"/>
      <w:kern w:val="28"/>
      <w:sz w:val="20"/>
      <w:szCs w:val="20"/>
    </w:rPr>
  </w:style>
  <w:style w:type="paragraph" w:styleId="paragraph" w:customStyle="1">
    <w:name w:val="paragraph"/>
    <w:basedOn w:val="Normal2"/>
    <w:rsid w:val="007C1F40"/>
    <w:pPr>
      <w:spacing w:before="100" w:beforeAutospacing="1" w:after="100" w:afterAutospacing="1"/>
      <w:ind w:left="0" w:firstLine="0"/>
    </w:pPr>
    <w:rPr>
      <w:rFonts w:ascii="Times New Roman" w:hAnsi="Times New Roman" w:eastAsia="Times New Roman"/>
      <w:sz w:val="24"/>
      <w:szCs w:val="24"/>
    </w:rPr>
  </w:style>
  <w:style w:type="character" w:styleId="normaltextrun" w:customStyle="1">
    <w:name w:val="normaltextrun"/>
    <w:basedOn w:val="DefaultParagraphFont"/>
    <w:rsid w:val="007C1F40"/>
  </w:style>
  <w:style w:type="character" w:styleId="eop" w:customStyle="1">
    <w:name w:val="eop"/>
    <w:basedOn w:val="DefaultParagraphFont"/>
    <w:rsid w:val="007C1F40"/>
  </w:style>
  <w:style w:type="character" w:styleId="contextualspellingandgrammarerror" w:customStyle="1">
    <w:name w:val="contextualspellingandgrammarerror"/>
    <w:basedOn w:val="DefaultParagraphFont"/>
    <w:rsid w:val="007C1F40"/>
  </w:style>
  <w:style w:type="character" w:styleId="advancedproofingissue" w:customStyle="1">
    <w:name w:val="advancedproofingissue"/>
    <w:basedOn w:val="DefaultParagraphFont"/>
    <w:rsid w:val="007C1F40"/>
  </w:style>
  <w:style w:type="character" w:styleId="UnresolvedMention">
    <w:name w:val="Unresolved Mention"/>
    <w:basedOn w:val="DefaultParagraphFont"/>
    <w:uiPriority w:val="99"/>
    <w:semiHidden/>
    <w:unhideWhenUsed/>
    <w:rsid w:val="00C34EAB"/>
    <w:rPr>
      <w:color w:val="605E5C"/>
      <w:shd w:val="clear" w:color="auto" w:fill="E1DFDD"/>
    </w:rPr>
  </w:style>
  <w:style w:type="character" w:styleId="ListParagraphChar" w:customStyle="1">
    <w:name w:val="List Paragraph Char"/>
    <w:aliases w:val="List Paragraph-ExecSummary Char,Bullets Char,List Paragraph (numbered (a)) Char,Medium Grid 1 Accent 2 Char,List Paragraph1 Char,WB Para Char,Párrafo de lista1 Char,Paragraphe de liste1 Char,List Paragraph11 Char,List bullet Char"/>
    <w:basedOn w:val="DefaultParagraphFont"/>
    <w:link w:val="ListParagraph"/>
    <w:uiPriority w:val="1"/>
    <w:qFormat/>
    <w:locked/>
    <w:rsid w:val="00881486"/>
    <w:rPr>
      <w:rFonts w:ascii="Calibri" w:hAnsi="Calibri" w:eastAsia="Calibri" w:cs="Times New Roman"/>
      <w:sz w:val="22"/>
      <w:szCs w:val="22"/>
    </w:rPr>
  </w:style>
  <w:style w:type="table" w:styleId="ControlRiskTable6" w:customStyle="1">
    <w:name w:val="~ControlRiskTable6"/>
    <w:basedOn w:val="NormalTable2"/>
    <w:uiPriority w:val="99"/>
    <w:rsid w:val="00881486"/>
    <w:rPr>
      <w:rFonts w:eastAsia="MS Mincho"/>
      <w:color w:val="000000"/>
      <w:sz w:val="20"/>
      <w:szCs w:val="20"/>
    </w:rPr>
    <w:tblPr>
      <w:tblBorders>
        <w:top w:val="single" w:color="A5A5A5" w:sz="2" w:space="0"/>
        <w:left w:val="single" w:color="A5A5A5" w:sz="2" w:space="0"/>
        <w:bottom w:val="single" w:color="A5A5A5" w:sz="2" w:space="0"/>
        <w:right w:val="single" w:color="A5A5A5" w:sz="2" w:space="0"/>
        <w:insideH w:val="single" w:color="A5A5A5" w:sz="2" w:space="0"/>
        <w:insideV w:val="single" w:color="A5A5A5" w:sz="2" w:space="0"/>
      </w:tblBorders>
    </w:tblPr>
    <w:tblStylePr w:type="firstRow">
      <w:tblPr/>
      <w:tcPr>
        <w:tcBorders>
          <w:top w:val="single" w:color="A5A5A5" w:sz="2" w:space="0"/>
          <w:left w:val="single" w:color="A5A5A5" w:sz="2" w:space="0"/>
          <w:bottom w:val="single" w:color="A5A5A5" w:sz="2" w:space="0"/>
          <w:right w:val="single" w:color="A5A5A5" w:sz="2" w:space="0"/>
          <w:insideH w:val="single" w:color="A5A5A5" w:sz="2" w:space="0"/>
          <w:insideV w:val="single" w:color="FFFFFF" w:sz="2" w:space="0"/>
          <w:tl2br w:val="nil"/>
          <w:tr2bl w:val="nil"/>
        </w:tcBorders>
        <w:shd w:val="clear" w:color="auto" w:fill="A5A5A5"/>
      </w:tcPr>
    </w:tblStylePr>
  </w:style>
  <w:style w:type="paragraph" w:styleId="Subtitle">
    <w:name w:val="Subtitle"/>
    <w:basedOn w:val="Normal2"/>
    <w:next w:val="Normal2"/>
    <w:uiPriority w:val="11"/>
    <w:qFormat/>
    <w:pPr>
      <w:keepNext/>
      <w:keepLines/>
      <w:spacing w:before="360" w:after="80"/>
    </w:pPr>
    <w:rPr>
      <w:rFonts w:ascii="Georgia" w:hAnsi="Georgia" w:eastAsia="Georgia" w:cs="Georgia"/>
      <w:i/>
      <w:color w:val="666666"/>
      <w:sz w:val="48"/>
      <w:szCs w:val="48"/>
    </w:rPr>
  </w:style>
  <w:style w:type="table" w:styleId="a" w:customStyle="1">
    <w:basedOn w:val="NormalTable1"/>
    <w:pPr>
      <w:ind w:hanging="360"/>
    </w:pPr>
    <w:rPr>
      <w:color w:val="000000"/>
      <w:sz w:val="20"/>
      <w:szCs w:val="20"/>
    </w:rPr>
    <w:tblPr>
      <w:tblStyleRowBandSize w:val="1"/>
      <w:tblStyleColBandSize w:val="1"/>
      <w:tblCellMar>
        <w:top w:w="0" w:type="dxa"/>
        <w:left w:w="108" w:type="dxa"/>
        <w:bottom w:w="0" w:type="dxa"/>
        <w:right w:w="108" w:type="dxa"/>
      </w:tblCellMar>
    </w:tblPr>
  </w:style>
  <w:style w:type="table" w:styleId="a0" w:customStyle="1">
    <w:basedOn w:val="NormalTable1"/>
    <w:tblPr>
      <w:tblStyleRowBandSize w:val="1"/>
      <w:tblStyleColBandSize w:val="1"/>
      <w:tblCellMar>
        <w:top w:w="43" w:type="dxa"/>
        <w:left w:w="115" w:type="dxa"/>
        <w:bottom w:w="43" w:type="dxa"/>
        <w:right w:w="115" w:type="dxa"/>
      </w:tblCellMar>
    </w:tblPr>
  </w:style>
  <w:style w:type="table" w:styleId="a1" w:customStyle="1">
    <w:basedOn w:val="NormalTable1"/>
    <w:tblPr>
      <w:tblStyleRowBandSize w:val="1"/>
      <w:tblStyleColBandSize w:val="1"/>
      <w:tblCellMar>
        <w:top w:w="43" w:type="dxa"/>
        <w:left w:w="115" w:type="dxa"/>
        <w:bottom w:w="43" w:type="dxa"/>
        <w:right w:w="115" w:type="dxa"/>
      </w:tblCellMar>
    </w:tblPr>
  </w:style>
  <w:style w:type="table" w:styleId="a2" w:customStyle="1">
    <w:basedOn w:val="NormalTable1"/>
    <w:tblPr>
      <w:tblStyleRowBandSize w:val="1"/>
      <w:tblStyleColBandSize w:val="1"/>
      <w:tblCellMar>
        <w:top w:w="100" w:type="dxa"/>
        <w:left w:w="100" w:type="dxa"/>
        <w:bottom w:w="100" w:type="dxa"/>
        <w:right w:w="100" w:type="dxa"/>
      </w:tblCellMar>
    </w:tblPr>
  </w:style>
  <w:style w:type="table" w:styleId="a3" w:customStyle="1">
    <w:basedOn w:val="NormalTable1"/>
    <w:pPr>
      <w:ind w:hanging="360"/>
    </w:pPr>
    <w:rPr>
      <w:color w:val="000000"/>
      <w:sz w:val="20"/>
      <w:szCs w:val="20"/>
    </w:rPr>
    <w:tblPr>
      <w:tblStyleRowBandSize w:val="1"/>
      <w:tblStyleColBandSize w:val="1"/>
      <w:tblCellMar>
        <w:top w:w="0" w:type="dxa"/>
        <w:left w:w="108" w:type="dxa"/>
        <w:bottom w:w="0" w:type="dxa"/>
        <w:right w:w="108" w:type="dxa"/>
      </w:tblCellMar>
    </w:tblPr>
  </w:style>
  <w:style w:type="table" w:styleId="a4" w:customStyle="1">
    <w:basedOn w:val="NormalTable1"/>
    <w:pPr>
      <w:ind w:hanging="360"/>
    </w:pPr>
    <w:rPr>
      <w:color w:val="000000"/>
      <w:sz w:val="20"/>
      <w:szCs w:val="20"/>
    </w:rPr>
    <w:tblPr>
      <w:tblStyleRowBandSize w:val="1"/>
      <w:tblStyleColBandSize w:val="1"/>
      <w:tblCellMar>
        <w:top w:w="0" w:type="dxa"/>
        <w:left w:w="108" w:type="dxa"/>
        <w:bottom w:w="0" w:type="dxa"/>
        <w:right w:w="108" w:type="dxa"/>
      </w:tblCellMar>
    </w:tblPr>
  </w:style>
  <w:style w:type="table" w:styleId="a5" w:customStyle="1">
    <w:basedOn w:val="NormalTable1"/>
    <w:tblPr>
      <w:tblStyleRowBandSize w:val="1"/>
      <w:tblStyleColBandSize w:val="1"/>
      <w:tblCellMar>
        <w:top w:w="43" w:type="dxa"/>
        <w:left w:w="115" w:type="dxa"/>
        <w:bottom w:w="43" w:type="dxa"/>
        <w:right w:w="115" w:type="dxa"/>
      </w:tblCellMar>
    </w:tblPr>
  </w:style>
  <w:style w:type="table" w:styleId="a6" w:customStyle="1">
    <w:basedOn w:val="NormalTable1"/>
    <w:tblPr>
      <w:tblStyleRowBandSize w:val="1"/>
      <w:tblStyleColBandSize w:val="1"/>
      <w:tblCellMar>
        <w:top w:w="43" w:type="dxa"/>
        <w:left w:w="43" w:type="dxa"/>
        <w:bottom w:w="43" w:type="dxa"/>
        <w:right w:w="43" w:type="dxa"/>
      </w:tblCellMar>
    </w:tblPr>
  </w:style>
  <w:style w:type="table" w:styleId="a7" w:customStyle="1">
    <w:basedOn w:val="NormalTable1"/>
    <w:tblPr>
      <w:tblStyleRowBandSize w:val="1"/>
      <w:tblStyleColBandSize w:val="1"/>
      <w:tblCellMar>
        <w:top w:w="43" w:type="dxa"/>
        <w:left w:w="115" w:type="dxa"/>
        <w:bottom w:w="43" w:type="dxa"/>
        <w:right w:w="115" w:type="dxa"/>
      </w:tblCellMar>
    </w:tblPr>
  </w:style>
  <w:style w:type="table" w:styleId="a8" w:customStyle="1">
    <w:basedOn w:val="NormalTable1"/>
    <w:tblPr>
      <w:tblStyleRowBandSize w:val="1"/>
      <w:tblStyleColBandSize w:val="1"/>
      <w:tblCellMar>
        <w:top w:w="0" w:type="dxa"/>
        <w:left w:w="0" w:type="dxa"/>
        <w:bottom w:w="0" w:type="dxa"/>
        <w:right w:w="0" w:type="dxa"/>
      </w:tblCellMar>
    </w:tblPr>
  </w:style>
  <w:style w:type="table" w:styleId="a9" w:customStyle="1">
    <w:basedOn w:val="NormalTable1"/>
    <w:tblPr>
      <w:tblStyleRowBandSize w:val="1"/>
      <w:tblStyleColBandSize w:val="1"/>
      <w:tblCellMar>
        <w:top w:w="43" w:type="dxa"/>
        <w:left w:w="115" w:type="dxa"/>
        <w:bottom w:w="43" w:type="dxa"/>
        <w:right w:w="115" w:type="dxa"/>
      </w:tblCellMar>
    </w:tblPr>
  </w:style>
  <w:style w:type="table" w:styleId="aa" w:customStyle="1">
    <w:basedOn w:val="NormalTable1"/>
    <w:tblPr>
      <w:tblStyleRowBandSize w:val="1"/>
      <w:tblStyleColBandSize w:val="1"/>
      <w:tblCellMar>
        <w:top w:w="43" w:type="dxa"/>
        <w:left w:w="115" w:type="dxa"/>
        <w:bottom w:w="43" w:type="dxa"/>
        <w:right w:w="115" w:type="dxa"/>
      </w:tblCellMar>
    </w:tblPr>
  </w:style>
  <w:style w:type="table" w:styleId="ab" w:customStyle="1">
    <w:basedOn w:val="NormalTable1"/>
    <w:tblPr>
      <w:tblStyleRowBandSize w:val="1"/>
      <w:tblStyleColBandSize w:val="1"/>
      <w:tblCellMar>
        <w:top w:w="43" w:type="dxa"/>
        <w:left w:w="115" w:type="dxa"/>
        <w:bottom w:w="43" w:type="dxa"/>
        <w:right w:w="115" w:type="dxa"/>
      </w:tblCellMar>
    </w:tblPr>
  </w:style>
  <w:style w:type="table" w:styleId="ac" w:customStyle="1">
    <w:basedOn w:val="NormalTable1"/>
    <w:tblPr>
      <w:tblStyleRowBandSize w:val="1"/>
      <w:tblStyleColBandSize w:val="1"/>
      <w:tblCellMar>
        <w:top w:w="43" w:type="dxa"/>
        <w:left w:w="115" w:type="dxa"/>
        <w:bottom w:w="43" w:type="dxa"/>
        <w:right w:w="115" w:type="dxa"/>
      </w:tblCellMar>
    </w:tblPr>
  </w:style>
  <w:style w:type="table" w:styleId="ad" w:customStyle="1">
    <w:basedOn w:val="NormalTable1"/>
    <w:tblPr>
      <w:tblStyleRowBandSize w:val="1"/>
      <w:tblStyleColBandSize w:val="1"/>
      <w:tblCellMar>
        <w:top w:w="43" w:type="dxa"/>
        <w:left w:w="115" w:type="dxa"/>
        <w:bottom w:w="43" w:type="dxa"/>
        <w:right w:w="115" w:type="dxa"/>
      </w:tblCellMar>
    </w:tblPr>
  </w:style>
  <w:style w:type="table" w:styleId="ae" w:customStyle="1">
    <w:basedOn w:val="NormalTable1"/>
    <w:tblPr>
      <w:tblStyleRowBandSize w:val="1"/>
      <w:tblStyleColBandSize w:val="1"/>
      <w:tblCellMar>
        <w:top w:w="43" w:type="dxa"/>
        <w:left w:w="115" w:type="dxa"/>
        <w:bottom w:w="43" w:type="dxa"/>
        <w:right w:w="115" w:type="dxa"/>
      </w:tblCellMar>
    </w:tblPr>
  </w:style>
  <w:style w:type="table" w:styleId="af" w:customStyle="1">
    <w:basedOn w:val="NormalTable1"/>
    <w:tblPr>
      <w:tblStyleRowBandSize w:val="1"/>
      <w:tblStyleColBandSize w:val="1"/>
      <w:tblCellMar>
        <w:top w:w="43" w:type="dxa"/>
        <w:left w:w="115" w:type="dxa"/>
        <w:bottom w:w="43" w:type="dxa"/>
        <w:right w:w="115" w:type="dxa"/>
      </w:tblCellMar>
    </w:tblPr>
  </w:style>
  <w:style w:type="table" w:styleId="af0" w:customStyle="1">
    <w:basedOn w:val="NormalTable1"/>
    <w:tblPr>
      <w:tblStyleRowBandSize w:val="1"/>
      <w:tblStyleColBandSize w:val="1"/>
      <w:tblCellMar>
        <w:top w:w="43" w:type="dxa"/>
        <w:left w:w="115" w:type="dxa"/>
        <w:bottom w:w="43" w:type="dxa"/>
        <w:right w:w="115" w:type="dxa"/>
      </w:tblCellMar>
    </w:tblPr>
  </w:style>
  <w:style w:type="table" w:styleId="af1" w:customStyle="1">
    <w:basedOn w:val="NormalTable1"/>
    <w:pPr>
      <w:ind w:hanging="360"/>
    </w:pPr>
    <w:rPr>
      <w:color w:val="000000"/>
      <w:sz w:val="20"/>
      <w:szCs w:val="20"/>
    </w:rPr>
    <w:tblPr>
      <w:tblStyleRowBandSize w:val="1"/>
      <w:tblStyleColBandSize w:val="1"/>
      <w:tblCellMar>
        <w:top w:w="0" w:type="dxa"/>
        <w:left w:w="108" w:type="dxa"/>
        <w:bottom w:w="0" w:type="dxa"/>
        <w:right w:w="108" w:type="dxa"/>
      </w:tblCellMar>
    </w:tblPr>
    <w:tblStylePr w:type="firstRow">
      <w:tblPr/>
      <w:tcPr>
        <w:tcBorders>
          <w:top w:val="single" w:color="A5A5A5" w:sz="4" w:space="0"/>
          <w:left w:val="single" w:color="A5A5A5" w:sz="4" w:space="0"/>
          <w:bottom w:val="single" w:color="A5A5A5" w:sz="4" w:space="0"/>
          <w:right w:val="single" w:color="A5A5A5" w:sz="4" w:space="0"/>
          <w:insideH w:val="single" w:color="A5A5A5" w:sz="4" w:space="0"/>
          <w:insideV w:val="single" w:color="FFFFFF" w:sz="4" w:space="0"/>
        </w:tcBorders>
        <w:shd w:val="clear" w:color="auto" w:fill="A5A5A5"/>
      </w:tcPr>
    </w:tblStylePr>
  </w:style>
  <w:style w:type="table" w:styleId="af2" w:customStyle="1">
    <w:basedOn w:val="NormalTable1"/>
    <w:tblPr>
      <w:tblStyleRowBandSize w:val="1"/>
      <w:tblStyleColBandSize w:val="1"/>
      <w:tblCellMar>
        <w:top w:w="43" w:type="dxa"/>
        <w:left w:w="115" w:type="dxa"/>
        <w:bottom w:w="43" w:type="dxa"/>
        <w:right w:w="115" w:type="dxa"/>
      </w:tblCellMar>
    </w:tblPr>
  </w:style>
  <w:style w:type="table" w:styleId="af3" w:customStyle="1">
    <w:basedOn w:val="NormalTable1"/>
    <w:tblPr>
      <w:tblStyleRowBandSize w:val="1"/>
      <w:tblStyleColBandSize w:val="1"/>
      <w:tblCellMar>
        <w:top w:w="43" w:type="dxa"/>
        <w:left w:w="115" w:type="dxa"/>
        <w:bottom w:w="43" w:type="dxa"/>
        <w:right w:w="115" w:type="dxa"/>
      </w:tblCellMar>
    </w:tblPr>
  </w:style>
  <w:style w:type="table" w:styleId="af4" w:customStyle="1">
    <w:basedOn w:val="NormalTable1"/>
    <w:tblPr>
      <w:tblStyleRowBandSize w:val="1"/>
      <w:tblStyleColBandSize w:val="1"/>
      <w:tblCellMar>
        <w:top w:w="0" w:type="dxa"/>
        <w:left w:w="115" w:type="dxa"/>
        <w:bottom w:w="0" w:type="dxa"/>
        <w:right w:w="115" w:type="dxa"/>
      </w:tblCellMar>
    </w:tblPr>
  </w:style>
  <w:style w:type="paragraph" w:styleId="Subtitle0" w:customStyle="1">
    <w:name w:val="Subtitle0"/>
    <w:basedOn w:val="Normal2"/>
    <w:next w:val="Normal2"/>
    <w:pPr>
      <w:keepNext/>
      <w:keepLines/>
      <w:spacing w:before="360" w:after="80"/>
    </w:pPr>
    <w:rPr>
      <w:rFonts w:ascii="Georgia" w:hAnsi="Georgia" w:eastAsia="Georgia" w:cs="Georgia"/>
      <w:i/>
      <w:color w:val="666666"/>
      <w:sz w:val="48"/>
      <w:szCs w:val="48"/>
    </w:rPr>
  </w:style>
  <w:style w:type="table" w:styleId="af5"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6"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7"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8"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9"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a"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b"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c"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d"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e"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0"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1"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2"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3"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4"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5"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6"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7"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tblStylePr w:type="firstRow">
      <w:tblPr/>
      <w:tcPr>
        <w:tcBorders>
          <w:top w:val="single" w:color="A5A5A5" w:sz="4" w:space="0"/>
          <w:left w:val="single" w:color="A5A5A5" w:sz="4" w:space="0"/>
          <w:bottom w:val="single" w:color="A5A5A5" w:sz="4" w:space="0"/>
          <w:right w:val="single" w:color="A5A5A5" w:sz="4" w:space="0"/>
          <w:insideH w:val="single" w:color="A5A5A5" w:sz="4" w:space="0"/>
          <w:insideV w:val="single" w:color="FFFFFF" w:sz="4" w:space="0"/>
        </w:tcBorders>
        <w:shd w:val="clear" w:color="auto" w:fill="A5A5A5"/>
      </w:tcPr>
    </w:tblStylePr>
  </w:style>
  <w:style w:type="table" w:styleId="aff8"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9"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a"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paragraph" w:styleId="Subtitle1" w:customStyle="1">
    <w:name w:val="Subtitle1"/>
    <w:basedOn w:val="Normal2"/>
    <w:next w:val="Normal2"/>
    <w:pPr>
      <w:keepNext/>
      <w:keepLines/>
      <w:spacing w:before="360" w:after="80"/>
    </w:pPr>
    <w:rPr>
      <w:rFonts w:ascii="Georgia" w:hAnsi="Georgia" w:eastAsia="Georgia" w:cs="Georgia"/>
      <w:i/>
      <w:color w:val="666666"/>
      <w:sz w:val="48"/>
      <w:szCs w:val="48"/>
    </w:rPr>
  </w:style>
  <w:style w:type="table" w:styleId="affb"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c"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d"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e"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0"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1"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2"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3"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4"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5"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6"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7"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8"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9"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a"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b"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c"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d"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tblStylePr w:type="firstRow">
      <w:tblPr/>
      <w:tcPr>
        <w:tcBorders>
          <w:top w:val="single" w:color="A5A5A5" w:sz="4" w:space="0"/>
          <w:left w:val="single" w:color="A5A5A5" w:sz="4" w:space="0"/>
          <w:bottom w:val="single" w:color="A5A5A5" w:sz="4" w:space="0"/>
          <w:right w:val="single" w:color="A5A5A5" w:sz="4" w:space="0"/>
          <w:insideH w:val="single" w:color="A5A5A5" w:sz="4" w:space="0"/>
          <w:insideV w:val="single" w:color="FFFFFF" w:sz="4" w:space="0"/>
        </w:tcBorders>
        <w:shd w:val="clear" w:color="auto" w:fill="A5A5A5"/>
      </w:tcPr>
    </w:tblStylePr>
  </w:style>
  <w:style w:type="table" w:styleId="afffe"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f"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w:type="table" w:styleId="affff0" w:customStyle="1">
    <w:basedOn w:val="NormalTable1"/>
    <w:pPr>
      <w:ind w:hanging="360"/>
    </w:pPr>
    <w:rPr>
      <w:color w:val="000000"/>
      <w:sz w:val="20"/>
      <w:szCs w:val="20"/>
    </w:rPr>
    <w:tblPr>
      <w:tblStyleRowBandSize w:val="1"/>
      <w:tblStyleColBandSize w:val="1"/>
      <w:tblCellMar>
        <w:top w:w="0" w:type="dxa"/>
        <w:left w:w="115" w:type="dxa"/>
        <w:bottom w:w="0" w:type="dxa"/>
        <w:right w:w="115" w:type="dxa"/>
      </w:tblCellMar>
    </w:tblPr>
  </w:style>
  <w:style xmlns:w14="http://schemas.microsoft.com/office/word/2010/wordml" xmlns:mc="http://schemas.openxmlformats.org/markup-compatibility/2006" xmlns:w="http://schemas.openxmlformats.org/wordprocessingml/2006/main" w:type="character" w:styleId="Mention" w:default="1" mc:Ignorable="w14">
    <w:name xmlns:w="http://schemas.openxmlformats.org/wordprocessingml/2006/main" w:val="Mention"/>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2B579A"/>
      <w:shd w:val="clear" w:color="auto" w:fill="E6E6E6"/>
    </w:rPr>
  </w:style>
</w:styles>
</file>

<file path=word/tasks.xml><?xml version="1.0" encoding="utf-8"?>
<t:Tasks xmlns:t="http://schemas.microsoft.com/office/tasks/2019/documenttasks" xmlns:oel="http://schemas.microsoft.com/office/2019/extlst">
  <t:Task id="{27AE5C98-50D9-4AFE-89BF-2E054A07782B}">
    <t:Anchor>
      <t:Comment id="873606452"/>
    </t:Anchor>
    <t:History>
      <t:Event id="{49A0B871-8DB7-486C-A2DE-DD6612947FDC}" time="2024-06-10T19:44:17.646Z">
        <t:Attribution userId="S::jrios@conservation.org::7f802b20-653b-4317-b977-b365ca234392" userProvider="AD" userName="Juliana Rios"/>
        <t:Anchor>
          <t:Comment id="873606452"/>
        </t:Anchor>
        <t:Create/>
      </t:Event>
      <t:Event id="{EBBD37D2-85BB-4595-8C3C-C6125ADB3A78}" time="2024-06-10T19:44:17.646Z">
        <t:Attribution userId="S::jrios@conservation.org::7f802b20-653b-4317-b977-b365ca234392" userProvider="AD" userName="Juliana Rios"/>
        <t:Anchor>
          <t:Comment id="873606452"/>
        </t:Anchor>
        <t:Assign userId="S::ybejarano@conservation.org::5e83cf51-0c5f-4608-a2de-58b3cd0a4232" userProvider="AD" userName="Yaisa Bejarano"/>
      </t:Event>
      <t:Event id="{AE591E14-6ABB-4798-BDE8-4F5C9C8D8D3B}" time="2024-06-10T19:44:17.646Z">
        <t:Attribution userId="S::jrios@conservation.org::7f802b20-653b-4317-b977-b365ca234392" userProvider="AD" userName="Juliana Rios"/>
        <t:Anchor>
          <t:Comment id="873606452"/>
        </t:Anchor>
        <t:SetTitle title="@Yaisa Bejarano do you have approximate dates for this or should we just leave it TBD?"/>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mailto:ikissoon@conservation.org" TargetMode="External" Id="rId13" /><Relationship Type="http://schemas.openxmlformats.org/officeDocument/2006/relationships/image" Target="media/image5.png" Id="rId18" /><Relationship Type="http://schemas.openxmlformats.org/officeDocument/2006/relationships/footer" Target="footer2.xml" Id="rId26" /><Relationship Type="http://schemas.openxmlformats.org/officeDocument/2006/relationships/hyperlink" Target="https://news.climate.columbia.edu/2019/06/24/pacific-ocean-cold-tongue/" TargetMode="External" Id="rId39" /><Relationship Type="http://schemas.openxmlformats.org/officeDocument/2006/relationships/image" Target="media/image8.png" Id="rId21" /><Relationship Type="http://schemas.openxmlformats.org/officeDocument/2006/relationships/hyperlink" Target="https://www.cmarpacifico.org/donde-trabajamos/areas-nucleo/parque-nacional-natural-gorgona" TargetMode="External" Id="rId34" /><Relationship Type="http://schemas.openxmlformats.org/officeDocument/2006/relationships/hyperlink" Target="https://www.ecuadorencifras.gob.ec/documentos/web-inec/Bibliotecas/Libros/Memoria_Estadistica_Galapagos_2017.pdf" TargetMode="External" Id="rId42" /><Relationship Type="http://schemas.openxmlformats.org/officeDocument/2006/relationships/hyperlink" Target="https://old.parquesnacionales.gov.co/portal/es/ecoturismo/parques/region-pacifico/santuario-de-flora-y-fauna-malpelo/" TargetMode="External" Id="rId47" /><Relationship Type="http://schemas.openxmlformats.org/officeDocument/2006/relationships/hyperlink" Target="https://www.theguardian.com/environment/2021/nov/02/four-latin-american-countries-join-protected-marine-reserves-to-create-mega-mpa" TargetMode="External" Id="rId50" /><Relationship Type="http://schemas.openxmlformats.org/officeDocument/2006/relationships/hyperlink" Target="https://www.wysscampaign.org/project-list/2021/8/17/cordillera-de-coiba-marine-protected-area-panama" TargetMode="Externa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image" Target="media/image11.png" Id="rId29" /><Relationship Type="http://schemas.openxmlformats.org/officeDocument/2006/relationships/hyperlink" Target="https://www.conservation.org/docs/default-source/gef-documents/20201116-ci_gef_gcf-esmf-v7.pdf?sfvrsn=c5710ec9_0" TargetMode="External" Id="rId11" /><Relationship Type="http://schemas.openxmlformats.org/officeDocument/2006/relationships/header" Target="header2.xml" Id="rId24" /><Relationship Type="http://schemas.openxmlformats.org/officeDocument/2006/relationships/hyperlink" Target="https://oig.cepal.org/es/paises" TargetMode="External" Id="rId32" /><Relationship Type="http://schemas.openxmlformats.org/officeDocument/2006/relationships/hyperlink" Target="https://www.cocosisland.org/area-marina-manejo-montes-submarinos-isla-del-coco/" TargetMode="External" Id="rId37" /><Relationship Type="http://schemas.openxmlformats.org/officeDocument/2006/relationships/hyperlink" Target="https://www.ecuadorencifras.gob.ec/wp-content/descargas/Manu-lateral/Resultados-provinciales/galapagos.pdf" TargetMode="External" Id="rId40" /><Relationship Type="http://schemas.openxmlformats.org/officeDocument/2006/relationships/hyperlink" Target="https://sanctuaries.noaa.gov/management/international/mpa_epacific.html" TargetMode="External" Id="rId45" /><Relationship Type="http://schemas.openxmlformats.org/officeDocument/2006/relationships/hyperlink" Target="https://banyanglobal.com/wp-content/uploads/2023/07/USAID-South-America-Region-Gender-and-Fisheries-Analysis.pdf" TargetMode="External" Id="rId53" /><Relationship Type="http://schemas.openxmlformats.org/officeDocument/2006/relationships/theme" Target="theme/theme1.xml" Id="rId58" /><Relationship Type="http://schemas.openxmlformats.org/officeDocument/2006/relationships/numbering" Target="numbering.xml" Id="rId5" /><Relationship Type="http://schemas.openxmlformats.org/officeDocument/2006/relationships/image" Target="media/image6.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png" Id="rId14" /><Relationship Type="http://schemas.openxmlformats.org/officeDocument/2006/relationships/image" Target="media/image9.png" Id="rId22" /><Relationship Type="http://schemas.openxmlformats.org/officeDocument/2006/relationships/header" Target="header3.xml" Id="rId27" /><Relationship Type="http://schemas.openxmlformats.org/officeDocument/2006/relationships/image" Target="media/image12.png" Id="rId30" /><Relationship Type="http://schemas.openxmlformats.org/officeDocument/2006/relationships/hyperlink" Target="https://www.cmarpacifico.org/donde-trabajamos/areas-nucleo/parque-nacional-isla-del-coco" TargetMode="External" Id="rId35" /><Relationship Type="http://schemas.openxmlformats.org/officeDocument/2006/relationships/hyperlink" Target="https://www.climate.gov/news-features/featured-images/el-ni%C3%B1o-weakens-cool-surface-waters-emerge-eastern-tropical-pacific" TargetMode="External" Id="rId43" /><Relationship Type="http://schemas.openxmlformats.org/officeDocument/2006/relationships/hyperlink" Target="https://old.parquesnacionales.gov.co/portal/es/ecoturismo/parques/region-pacifico/parque-nacional-natural-gorgona/actividades/" TargetMode="External" Id="rId48" /><Relationship Type="http://schemas.openxmlformats.org/officeDocument/2006/relationships/hyperlink" Target="https://www.wwf.org.co/?362790/Un-impulso-para-las-Platoneras-de-Buenaventura-en-la-temporada-de-veda" TargetMode="External" Id="rId56" /><Relationship Type="http://schemas.openxmlformats.org/officeDocument/2006/relationships/webSettings" Target="webSettings.xml" Id="rId8" /><Relationship Type="http://schemas.openxmlformats.org/officeDocument/2006/relationships/hyperlink" Target="https://es.unesco.org/biosphere/lac/galapagos" TargetMode="External" Id="rId51" /><Relationship Type="http://schemas.openxmlformats.org/officeDocument/2006/relationships/customXml" Target="../customXml/item3.xml" Id="rId3" /><Relationship Type="http://schemas.openxmlformats.org/officeDocument/2006/relationships/hyperlink" Target="https://www.conservation.org/docs/default-source/gef-documents/20201116-ci_gef_gcf-esmf-v7.pdf?sfvrsn=c5710ec9_0" TargetMode="External" Id="rId12" /><Relationship Type="http://schemas.openxmlformats.org/officeDocument/2006/relationships/image" Target="media/image4.png" Id="rId17" /><Relationship Type="http://schemas.openxmlformats.org/officeDocument/2006/relationships/footer" Target="footer1.xml" Id="rId25" /><Relationship Type="http://schemas.openxmlformats.org/officeDocument/2006/relationships/hyperlink" Target="https://www.youtube.com/watch?v=VUF-WG1Uzp8&amp;t=710s" TargetMode="External" Id="rId33" /><Relationship Type="http://schemas.openxmlformats.org/officeDocument/2006/relationships/hyperlink" Target="https://yaleclimateconnections.org/2023/04/a-mystery-in-the-pacific-is-complicating-climate-projections/" TargetMode="External" Id="rId38" /><Relationship Type="http://schemas.openxmlformats.org/officeDocument/2006/relationships/hyperlink" Target="https://www.parquesnacionales.gov.co/nuestros-parques/dmi-yurupari-malpelo/" TargetMode="External" Id="rId46" /><Relationship Type="http://schemas.openxmlformats.org/officeDocument/2006/relationships/image" Target="media/image7.png" Id="rId20" /><Relationship Type="http://schemas.openxmlformats.org/officeDocument/2006/relationships/hyperlink" Target="https://www.ecuadorencifras.gob.ec/documentos/web-inec/Poblacion_y_Demografia/CPV_Galapagos_2015/Presentacion_CPVG15.pdf" TargetMode="External" Id="rId41" /><Relationship Type="http://schemas.openxmlformats.org/officeDocument/2006/relationships/hyperlink" Target="https://islagorgona.co/turismo-sostenible/" TargetMode="Externa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2.png" Id="rId15" /><Relationship Type="http://schemas.openxmlformats.org/officeDocument/2006/relationships/header" Target="header1.xml" Id="rId23" /><Relationship Type="http://schemas.openxmlformats.org/officeDocument/2006/relationships/footer" Target="footer3.xml" Id="rId28" /><Relationship Type="http://schemas.openxmlformats.org/officeDocument/2006/relationships/hyperlink" Target="http://www.coibanationalpark.com/prison.html" TargetMode="External" Id="rId36" /><Relationship Type="http://schemas.openxmlformats.org/officeDocument/2006/relationships/hyperlink" Target="https://womensmajorgroup.org/wp-content/uploads/2014/05/Fisheries_and_gender_equality.pdf" TargetMode="External" Id="rId49" /><Relationship Type="http://schemas.openxmlformats.org/officeDocument/2006/relationships/fontTable" Target="fontTable.xml" Id="rId57" /><Relationship Type="http://schemas.openxmlformats.org/officeDocument/2006/relationships/endnotes" Target="endnotes.xml" Id="rId10" /><Relationship Type="http://schemas.openxmlformats.org/officeDocument/2006/relationships/image" Target="media/image13.png" Id="rId31" /><Relationship Type="http://schemas.openxmlformats.org/officeDocument/2006/relationships/hyperlink" Target="https://earthobservatory.nasa.gov/images/148298/early-storm-in-the-eastern-pacific" TargetMode="External" Id="rId44" /><Relationship Type="http://schemas.openxmlformats.org/officeDocument/2006/relationships/hyperlink" Target="https://whc.unesco.org/en/list/1216/" TargetMode="External" Id="rId52" /><Relationship Type="http://schemas.openxmlformats.org/officeDocument/2006/relationships/comments" Target="comments.xml" Id="Ref13ce1c1a1c4400" /><Relationship Type="http://schemas.microsoft.com/office/2011/relationships/people" Target="people.xml" Id="R673803fb3ffe4578" /><Relationship Type="http://schemas.microsoft.com/office/2011/relationships/commentsExtended" Target="commentsExtended.xml" Id="Rd6b713bda6914fdc" /><Relationship Type="http://schemas.microsoft.com/office/2016/09/relationships/commentsIds" Target="commentsIds.xml" Id="R676a3366f5ec41b2" /><Relationship Type="http://schemas.microsoft.com/office/2018/08/relationships/commentsExtensible" Target="commentsExtensible.xml" Id="R887be98ca3ee4882" /><Relationship Type="http://schemas.microsoft.com/office/2019/05/relationships/documenttasks" Target="tasks.xml" Id="R0259ab5783ce45cd"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3" Type="http://schemas.openxmlformats.org/officeDocument/2006/relationships/hyperlink" Target="https://repositorio.udd.cl/server/api/core/bitstreams/6ad9fa2a-68ee-426c-9579-2f5abb1226a3/content" TargetMode="External"/><Relationship Id="rId2" Type="http://schemas.openxmlformats.org/officeDocument/2006/relationships/hyperlink" Target="https://www.metropolitan-touring.com/es/blog/cultura/quien-vive-en-las-islas-galapagos/" TargetMode="External"/><Relationship Id="rId1" Type="http://schemas.openxmlformats.org/officeDocument/2006/relationships/hyperlink" Target="https://iwlearn.net/resolveuid/3910fbfb-e29e-4ca0-87bd-dc690d81ed88" TargetMode="External"/><Relationship Id="rId4" Type="http://schemas.openxmlformats.org/officeDocument/2006/relationships/hyperlink" Target="https://www.worldbank.org/en/news/factsheet/2022/05/02/fact-sheet-an-adjustment-to-global-poverty-lin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wetkmayqQHPCd/Aj6qLyjxy+I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</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_ip_UnifiedCompliancePolicyProperties xmlns="http://schemas.microsoft.com/sharepoint/v3" xsi:nil="true"/>
    <DocType xmlns="fd35fde0-7421-4a34-a774-f438bb92962e" xsi:nil="true"/>
    <SubmittedtotheProgram_x003f_Yes_x002f_No xmlns="6d32a6d6-1a42-4ee3-96ac-b6b2542cab14">true</SubmittedtotheProgram_x003f_Yes_x002f_No>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e21795ee418932e15c464de7656a7f73">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e77cbd7888ec5f13a516528e76be6014"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806548-5D17-4591-ABD3-0DA5036FCD15}">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C49ECB24-FA86-401A-BAA4-7B5413A06A37}">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customXml/itemProps4.xml><?xml version="1.0" encoding="utf-8"?>
<ds:datastoreItem xmlns:ds="http://schemas.openxmlformats.org/officeDocument/2006/customXml" ds:itemID="{DD2098F9-4418-4497-858B-647341F33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Orissa Samaroo</dc:creator>
  <cp:lastModifiedBy>Ian Kissoon</cp:lastModifiedBy>
  <cp:revision>3</cp:revision>
  <dcterms:created xsi:type="dcterms:W3CDTF">2024-06-10T19:42:00Z</dcterms:created>
  <dcterms:modified xsi:type="dcterms:W3CDTF">2024-06-12T23:07:49Z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ies>
</file>