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490D7E" w:rsidRDefault="00707826">
      <w:pPr>
        <w:pBdr>
          <w:top w:val="nil"/>
          <w:left w:val="nil"/>
          <w:bottom w:val="nil"/>
          <w:right w:val="nil"/>
          <w:between w:val="nil"/>
        </w:pBdr>
        <w:tabs>
          <w:tab w:val="center" w:pos="4680"/>
          <w:tab w:val="right" w:pos="9360"/>
        </w:tabs>
        <w:spacing w:line="240" w:lineRule="auto"/>
        <w:jc w:val="center"/>
        <w:rPr>
          <w:rFonts w:ascii="Calibri" w:eastAsia="Calibri" w:hAnsi="Calibri" w:cs="Calibri"/>
          <w:b/>
          <w:color w:val="000000"/>
          <w:sz w:val="32"/>
          <w:szCs w:val="32"/>
        </w:rPr>
      </w:pPr>
      <w:r>
        <w:rPr>
          <w:rFonts w:ascii="Calibri" w:eastAsia="Calibri" w:hAnsi="Calibri" w:cs="Calibri"/>
          <w:b/>
          <w:color w:val="000000"/>
          <w:sz w:val="32"/>
          <w:szCs w:val="32"/>
        </w:rPr>
        <w:t>CI-GEF/GCF PROJECT AGENCIES</w:t>
      </w:r>
    </w:p>
    <w:p w14:paraId="00000002"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center"/>
        <w:rPr>
          <w:rFonts w:ascii="Calibri" w:eastAsia="Calibri" w:hAnsi="Calibri" w:cs="Calibri"/>
          <w:color w:val="000000"/>
          <w:sz w:val="32"/>
          <w:szCs w:val="32"/>
        </w:rPr>
      </w:pPr>
      <w:r>
        <w:rPr>
          <w:rFonts w:ascii="Calibri" w:eastAsia="Calibri" w:hAnsi="Calibri" w:cs="Calibri"/>
          <w:b/>
          <w:color w:val="000000"/>
          <w:sz w:val="32"/>
          <w:szCs w:val="32"/>
        </w:rPr>
        <w:t>CI-GEF GENDER MAINSTREAMING PLAN (GMP)</w:t>
      </w:r>
    </w:p>
    <w:p w14:paraId="00000003"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p>
    <w:p w14:paraId="00000004"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r>
        <w:rPr>
          <w:rFonts w:ascii="Calibri" w:eastAsia="Calibri" w:hAnsi="Calibri" w:cs="Calibri"/>
          <w:color w:val="000000"/>
        </w:rPr>
        <w:t xml:space="preserve">The </w:t>
      </w:r>
      <w:r>
        <w:rPr>
          <w:rFonts w:ascii="Calibri" w:eastAsia="Calibri" w:hAnsi="Calibri" w:cs="Calibri"/>
          <w:b/>
          <w:color w:val="000000"/>
        </w:rPr>
        <w:t>Gender Mainstreaming Plan</w:t>
      </w:r>
      <w:r>
        <w:rPr>
          <w:rFonts w:ascii="Calibri" w:eastAsia="Calibri" w:hAnsi="Calibri" w:cs="Calibri"/>
          <w:color w:val="000000"/>
        </w:rPr>
        <w:t xml:space="preserve"> provides information, analysis, and specific actions to ensure that gender dimensions are fully integrated into the project. It consists of two parts: (1) a Gender Analysis/Assessment, and (2) a Gender Action Plan. The </w:t>
      </w:r>
      <w:r>
        <w:rPr>
          <w:rFonts w:ascii="Calibri" w:eastAsia="Calibri" w:hAnsi="Calibri" w:cs="Calibri"/>
          <w:b/>
          <w:color w:val="000000"/>
        </w:rPr>
        <w:t>Gender Analysis/Assessment</w:t>
      </w:r>
      <w:r>
        <w:rPr>
          <w:rFonts w:ascii="Calibri" w:eastAsia="Calibri" w:hAnsi="Calibri" w:cs="Calibri"/>
          <w:color w:val="000000"/>
        </w:rPr>
        <w:t xml:space="preserve"> identifies and describes relevant gender imbalance, gender differentiated impacts and risks, and opportunities to address gender gaps and promote the empowerment of men and women within the project context. The </w:t>
      </w:r>
      <w:r>
        <w:rPr>
          <w:rFonts w:ascii="Calibri" w:eastAsia="Calibri" w:hAnsi="Calibri" w:cs="Calibri"/>
          <w:b/>
          <w:color w:val="000000"/>
        </w:rPr>
        <w:t>Gender</w:t>
      </w:r>
      <w:r>
        <w:rPr>
          <w:rFonts w:ascii="Calibri" w:eastAsia="Calibri" w:hAnsi="Calibri" w:cs="Calibri"/>
          <w:color w:val="000000"/>
        </w:rPr>
        <w:t xml:space="preserve"> </w:t>
      </w:r>
      <w:r>
        <w:rPr>
          <w:rFonts w:ascii="Calibri" w:eastAsia="Calibri" w:hAnsi="Calibri" w:cs="Calibri"/>
          <w:b/>
          <w:color w:val="000000"/>
        </w:rPr>
        <w:t>Action Plan</w:t>
      </w:r>
      <w:r>
        <w:rPr>
          <w:rFonts w:ascii="Calibri" w:eastAsia="Calibri" w:hAnsi="Calibri" w:cs="Calibri"/>
          <w:color w:val="000000"/>
        </w:rPr>
        <w:t xml:space="preserve"> details any corresponding gender-responsive measures to address those differences, impacts and risks, and opportunities. Completion of a Gender Analysis/Assessment and Gender Action Plan is a requirement for all GEF and GCF funded projects as described under the CI-GEF/GCF Project Agencies’ Policy on Gender Mainstreaming. </w:t>
      </w:r>
    </w:p>
    <w:p w14:paraId="00000005"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p>
    <w:p w14:paraId="00000006"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r>
        <w:rPr>
          <w:rFonts w:ascii="Calibri" w:eastAsia="Calibri" w:hAnsi="Calibri" w:cs="Calibri"/>
          <w:color w:val="000000"/>
        </w:rPr>
        <w:t>The CI-GEF/GCF Agencies recognize the wide range of projects and this GMP is designed to be flexible and adaptable to the project size, scope, and context. For additional guidance on gender requirements within GEF + GCF projects, please also refer to:</w:t>
      </w:r>
    </w:p>
    <w:p w14:paraId="00000007"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p>
    <w:p w14:paraId="00000008" w14:textId="77777777" w:rsidR="00490D7E" w:rsidRDefault="00000000">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b/>
          <w:color w:val="000000"/>
        </w:rPr>
      </w:pPr>
      <w:hyperlink r:id="rId11">
        <w:r w:rsidR="00707826">
          <w:rPr>
            <w:rFonts w:ascii="Calibri" w:eastAsia="Calibri" w:hAnsi="Calibri" w:cs="Calibri"/>
            <w:color w:val="000000"/>
          </w:rPr>
          <w:t>Guidance to Advance Gender Equality in GEF Projects + Programs</w:t>
        </w:r>
      </w:hyperlink>
      <w:r w:rsidR="00707826">
        <w:rPr>
          <w:rFonts w:ascii="Calibri" w:eastAsia="Calibri" w:hAnsi="Calibri" w:cs="Calibri"/>
          <w:color w:val="000000"/>
        </w:rPr>
        <w:t xml:space="preserve">: </w:t>
      </w:r>
      <w:hyperlink r:id="rId12">
        <w:r w:rsidR="00707826">
          <w:rPr>
            <w:rFonts w:ascii="Calibri" w:eastAsia="Calibri" w:hAnsi="Calibri" w:cs="Calibri"/>
            <w:b/>
            <w:color w:val="0000FF"/>
            <w:u w:val="single"/>
          </w:rPr>
          <w:t>https://www.thegef.org/sites/default/files/publications/GEF%20Guidance%20on%20Gender.pdf</w:t>
        </w:r>
      </w:hyperlink>
    </w:p>
    <w:p w14:paraId="00000009"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ind w:left="720" w:hanging="720"/>
        <w:jc w:val="both"/>
        <w:rPr>
          <w:rFonts w:ascii="Calibri" w:eastAsia="Calibri" w:hAnsi="Calibri" w:cs="Calibri"/>
          <w:color w:val="000000"/>
        </w:rPr>
      </w:pPr>
    </w:p>
    <w:p w14:paraId="0000000A"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ind w:left="720" w:hanging="720"/>
        <w:jc w:val="both"/>
        <w:rPr>
          <w:rFonts w:ascii="Calibri" w:eastAsia="Calibri" w:hAnsi="Calibri" w:cs="Calibri"/>
          <w:color w:val="000000"/>
        </w:rPr>
      </w:pPr>
      <w:r>
        <w:rPr>
          <w:rFonts w:ascii="Calibri" w:eastAsia="Calibri" w:hAnsi="Calibri" w:cs="Calibri"/>
          <w:color w:val="000000"/>
        </w:rPr>
        <w:t xml:space="preserve">Mainstreaming Gender in GCF Projects: </w:t>
      </w:r>
    </w:p>
    <w:p w14:paraId="0000000B" w14:textId="77777777" w:rsidR="00490D7E" w:rsidRDefault="00000000">
      <w:pPr>
        <w:widowControl w:val="0"/>
        <w:pBdr>
          <w:top w:val="nil"/>
          <w:left w:val="nil"/>
          <w:bottom w:val="nil"/>
          <w:right w:val="nil"/>
          <w:between w:val="nil"/>
        </w:pBdr>
        <w:tabs>
          <w:tab w:val="right" w:pos="73"/>
          <w:tab w:val="right" w:pos="1712"/>
          <w:tab w:val="right" w:pos="4160"/>
          <w:tab w:val="right" w:pos="6528"/>
          <w:tab w:val="right" w:pos="9384"/>
        </w:tabs>
        <w:spacing w:line="240" w:lineRule="auto"/>
        <w:ind w:left="720" w:hanging="720"/>
        <w:jc w:val="both"/>
        <w:rPr>
          <w:rFonts w:ascii="Calibri" w:eastAsia="Calibri" w:hAnsi="Calibri" w:cs="Calibri"/>
          <w:color w:val="000000"/>
        </w:rPr>
      </w:pPr>
      <w:hyperlink r:id="rId13">
        <w:r w:rsidR="00707826">
          <w:rPr>
            <w:rFonts w:ascii="Calibri" w:eastAsia="Calibri" w:hAnsi="Calibri" w:cs="Calibri"/>
            <w:b/>
            <w:color w:val="0000FF"/>
            <w:u w:val="single"/>
          </w:rPr>
          <w:t>https://www.greenclimate.fund/sites/default/files/document/guidelines-gcf-toolkit-mainstreaming-gender_0.pdf</w:t>
        </w:r>
      </w:hyperlink>
    </w:p>
    <w:p w14:paraId="0000000C" w14:textId="77777777" w:rsidR="00490D7E" w:rsidRDefault="00490D7E">
      <w:pPr>
        <w:widowControl w:val="0"/>
        <w:pBdr>
          <w:top w:val="nil"/>
          <w:left w:val="nil"/>
          <w:bottom w:val="single" w:sz="4" w:space="1" w:color="000000"/>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b/>
          <w:color w:val="000000"/>
        </w:rPr>
      </w:pPr>
    </w:p>
    <w:p w14:paraId="0000000D" w14:textId="77777777" w:rsidR="00490D7E" w:rsidRDefault="00707826">
      <w:pPr>
        <w:widowControl w:val="0"/>
        <w:pBdr>
          <w:top w:val="nil"/>
          <w:left w:val="nil"/>
          <w:bottom w:val="single" w:sz="4" w:space="1" w:color="000000"/>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sz w:val="28"/>
          <w:szCs w:val="28"/>
        </w:rPr>
      </w:pPr>
      <w:r>
        <w:rPr>
          <w:rFonts w:ascii="Calibri" w:eastAsia="Calibri" w:hAnsi="Calibri" w:cs="Calibri"/>
          <w:b/>
          <w:color w:val="000000"/>
          <w:sz w:val="28"/>
          <w:szCs w:val="28"/>
        </w:rPr>
        <w:t>SECTION I: Project Information</w:t>
      </w:r>
    </w:p>
    <w:p w14:paraId="0000000E"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b/>
          <w:color w:val="000000"/>
        </w:rPr>
      </w:pPr>
    </w:p>
    <w:tbl>
      <w:tblPr>
        <w:tblW w:w="10148"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3" w:type="dxa"/>
          <w:left w:w="115" w:type="dxa"/>
          <w:bottom w:w="43" w:type="dxa"/>
          <w:right w:w="115" w:type="dxa"/>
        </w:tblCellMar>
        <w:tblLook w:val="0400" w:firstRow="0" w:lastRow="0" w:firstColumn="0" w:lastColumn="0" w:noHBand="0" w:noVBand="1"/>
      </w:tblPr>
      <w:tblGrid>
        <w:gridCol w:w="3911"/>
        <w:gridCol w:w="1912"/>
        <w:gridCol w:w="2003"/>
        <w:gridCol w:w="2322"/>
      </w:tblGrid>
      <w:tr w:rsidR="00490D7E" w14:paraId="7B9C62A9" w14:textId="77777777">
        <w:trPr>
          <w:trHeight w:val="358"/>
        </w:trPr>
        <w:tc>
          <w:tcPr>
            <w:tcW w:w="3911" w:type="dxa"/>
            <w:shd w:val="clear" w:color="auto" w:fill="D5DCE4"/>
            <w:vAlign w:val="center"/>
          </w:tcPr>
          <w:p w14:paraId="0000000F"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b/>
                <w:color w:val="000000"/>
              </w:rPr>
              <w:t>PROJECT TITLE:</w:t>
            </w:r>
          </w:p>
        </w:tc>
        <w:tc>
          <w:tcPr>
            <w:tcW w:w="6237" w:type="dxa"/>
            <w:gridSpan w:val="3"/>
            <w:vAlign w:val="center"/>
          </w:tcPr>
          <w:p w14:paraId="00000010" w14:textId="5A6CA74C" w:rsidR="00490D7E" w:rsidRDefault="00000000">
            <w:pPr>
              <w:pBdr>
                <w:top w:val="nil"/>
                <w:left w:val="nil"/>
                <w:bottom w:val="nil"/>
                <w:right w:val="nil"/>
                <w:between w:val="nil"/>
              </w:pBdr>
              <w:shd w:val="clear" w:color="auto" w:fill="FFFFFF"/>
              <w:spacing w:line="240" w:lineRule="auto"/>
              <w:ind w:right="180"/>
              <w:rPr>
                <w:rFonts w:ascii="Calibri" w:eastAsia="Calibri" w:hAnsi="Calibri" w:cs="Calibri"/>
                <w:b/>
                <w:color w:val="000000"/>
              </w:rPr>
            </w:pPr>
            <w:sdt>
              <w:sdtPr>
                <w:tag w:val="goog_rdk_1"/>
                <w:id w:val="-2138088475"/>
              </w:sdtPr>
              <w:sdtContent>
                <w:r w:rsidR="00707826">
                  <w:rPr>
                    <w:rFonts w:ascii="Calibri" w:eastAsia="Calibri" w:hAnsi="Calibri" w:cs="Calibri"/>
                    <w:color w:val="000000"/>
                  </w:rPr>
                  <w:t>Restaura Biomas</w:t>
                </w:r>
              </w:sdtContent>
            </w:sdt>
            <w:sdt>
              <w:sdtPr>
                <w:tag w:val="goog_rdk_2"/>
                <w:id w:val="-1316402441"/>
                <w:showingPlcHdr/>
              </w:sdtPr>
              <w:sdtContent>
                <w:r w:rsidR="006E267A">
                  <w:t xml:space="preserve">     </w:t>
                </w:r>
              </w:sdtContent>
            </w:sdt>
            <w:r w:rsidR="00707826">
              <w:rPr>
                <w:rFonts w:ascii="Calibri" w:eastAsia="Calibri" w:hAnsi="Calibri" w:cs="Calibri"/>
                <w:color w:val="000000"/>
              </w:rPr>
              <w:t xml:space="preserve"> - Enabling large-scale restoration through National for Native Vegetation Recovery Policy in Brazil</w:t>
            </w:r>
            <w:sdt>
              <w:sdtPr>
                <w:tag w:val="goog_rdk_3"/>
                <w:id w:val="1111007882"/>
                <w:showingPlcHdr/>
              </w:sdtPr>
              <w:sdtContent>
                <w:r w:rsidR="006E267A">
                  <w:t xml:space="preserve">     </w:t>
                </w:r>
              </w:sdtContent>
            </w:sdt>
          </w:p>
        </w:tc>
      </w:tr>
      <w:tr w:rsidR="00490D7E" w14:paraId="7F3BC70F" w14:textId="77777777">
        <w:trPr>
          <w:trHeight w:val="358"/>
        </w:trPr>
        <w:tc>
          <w:tcPr>
            <w:tcW w:w="3911" w:type="dxa"/>
            <w:shd w:val="clear" w:color="auto" w:fill="D5DCE4"/>
            <w:vAlign w:val="center"/>
          </w:tcPr>
          <w:p w14:paraId="00000013"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b/>
                <w:color w:val="000000"/>
              </w:rPr>
              <w:t>GEF/GCF PROJECT ID:</w:t>
            </w:r>
          </w:p>
        </w:tc>
        <w:tc>
          <w:tcPr>
            <w:tcW w:w="1912" w:type="dxa"/>
            <w:vAlign w:val="center"/>
          </w:tcPr>
          <w:p w14:paraId="00000014" w14:textId="77777777" w:rsidR="00490D7E" w:rsidRDefault="00000000">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center"/>
              <w:rPr>
                <w:rFonts w:ascii="Calibri" w:eastAsia="Calibri" w:hAnsi="Calibri" w:cs="Calibri"/>
                <w:color w:val="000000"/>
              </w:rPr>
            </w:pPr>
            <w:sdt>
              <w:sdtPr>
                <w:tag w:val="goog_rdk_5"/>
                <w:id w:val="1929613278"/>
              </w:sdtPr>
              <w:sdtContent>
                <w:r w:rsidR="00707826">
                  <w:rPr>
                    <w:rFonts w:ascii="Calibri" w:eastAsia="Calibri" w:hAnsi="Calibri" w:cs="Calibri"/>
                    <w:color w:val="000000"/>
                  </w:rPr>
                  <w:t>11124</w:t>
                </w:r>
              </w:sdtContent>
            </w:sdt>
          </w:p>
        </w:tc>
        <w:tc>
          <w:tcPr>
            <w:tcW w:w="2003" w:type="dxa"/>
            <w:shd w:val="clear" w:color="auto" w:fill="D5DCE4"/>
            <w:vAlign w:val="center"/>
          </w:tcPr>
          <w:p w14:paraId="00000015"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center"/>
              <w:rPr>
                <w:rFonts w:ascii="Calibri" w:eastAsia="Calibri" w:hAnsi="Calibri" w:cs="Calibri"/>
                <w:b/>
                <w:color w:val="000000"/>
              </w:rPr>
            </w:pPr>
            <w:r>
              <w:rPr>
                <w:rFonts w:ascii="Calibri" w:eastAsia="Calibri" w:hAnsi="Calibri" w:cs="Calibri"/>
                <w:b/>
                <w:color w:val="000000"/>
              </w:rPr>
              <w:t>PROJECT DURATION:</w:t>
            </w:r>
          </w:p>
        </w:tc>
        <w:tc>
          <w:tcPr>
            <w:tcW w:w="2322" w:type="dxa"/>
            <w:vAlign w:val="center"/>
          </w:tcPr>
          <w:p w14:paraId="00000016" w14:textId="2A49A2BE" w:rsidR="00490D7E" w:rsidRDefault="00000000">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center"/>
              <w:rPr>
                <w:rFonts w:ascii="Calibri" w:eastAsia="Calibri" w:hAnsi="Calibri" w:cs="Calibri"/>
                <w:color w:val="000000"/>
              </w:rPr>
            </w:pPr>
            <w:sdt>
              <w:sdtPr>
                <w:tag w:val="goog_rdk_7"/>
                <w:id w:val="-1975749010"/>
              </w:sdtPr>
              <w:sdtContent>
                <w:r w:rsidR="00707826">
                  <w:rPr>
                    <w:rFonts w:ascii="Calibri" w:eastAsia="Calibri" w:hAnsi="Calibri" w:cs="Calibri"/>
                    <w:color w:val="000000"/>
                  </w:rPr>
                  <w:t>60</w:t>
                </w:r>
              </w:sdtContent>
            </w:sdt>
            <w:r w:rsidR="00707826">
              <w:rPr>
                <w:rFonts w:ascii="Calibri" w:eastAsia="Calibri" w:hAnsi="Calibri" w:cs="Calibri"/>
                <w:color w:val="000000"/>
              </w:rPr>
              <w:t xml:space="preserve"> months</w:t>
            </w:r>
          </w:p>
        </w:tc>
      </w:tr>
      <w:tr w:rsidR="00490D7E" w14:paraId="3350821C" w14:textId="77777777">
        <w:trPr>
          <w:trHeight w:val="358"/>
        </w:trPr>
        <w:tc>
          <w:tcPr>
            <w:tcW w:w="3911" w:type="dxa"/>
            <w:shd w:val="clear" w:color="auto" w:fill="D5DCE4"/>
            <w:vAlign w:val="center"/>
          </w:tcPr>
          <w:p w14:paraId="00000017"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b/>
                <w:color w:val="000000"/>
              </w:rPr>
              <w:t>EXECUTING AGENCY/ENTITY:</w:t>
            </w:r>
          </w:p>
        </w:tc>
        <w:tc>
          <w:tcPr>
            <w:tcW w:w="6237" w:type="dxa"/>
            <w:gridSpan w:val="3"/>
            <w:vAlign w:val="center"/>
          </w:tcPr>
          <w:p w14:paraId="00000018"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center"/>
              <w:rPr>
                <w:rFonts w:ascii="Calibri" w:eastAsia="Calibri" w:hAnsi="Calibri" w:cs="Calibri"/>
                <w:color w:val="000000"/>
              </w:rPr>
            </w:pPr>
            <w:r>
              <w:rPr>
                <w:rFonts w:ascii="Calibri" w:eastAsia="Calibri" w:hAnsi="Calibri" w:cs="Calibri"/>
                <w:color w:val="000000"/>
              </w:rPr>
              <w:t>World Resources Institute (WRI-Brasil)</w:t>
            </w:r>
          </w:p>
        </w:tc>
      </w:tr>
      <w:tr w:rsidR="00490D7E" w14:paraId="50AE07D2" w14:textId="77777777">
        <w:trPr>
          <w:trHeight w:val="358"/>
        </w:trPr>
        <w:tc>
          <w:tcPr>
            <w:tcW w:w="3911" w:type="dxa"/>
            <w:shd w:val="clear" w:color="auto" w:fill="D5DCE4"/>
            <w:vAlign w:val="center"/>
          </w:tcPr>
          <w:p w14:paraId="0000001B"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b/>
                <w:color w:val="000000"/>
              </w:rPr>
              <w:t>PROJECT ANTICIPATED START DATE</w:t>
            </w:r>
            <w:r>
              <w:rPr>
                <w:rFonts w:ascii="Calibri" w:eastAsia="Calibri" w:hAnsi="Calibri" w:cs="Calibri"/>
                <w:b/>
                <w:i/>
                <w:color w:val="000000"/>
              </w:rPr>
              <w:t>:</w:t>
            </w:r>
          </w:p>
        </w:tc>
        <w:tc>
          <w:tcPr>
            <w:tcW w:w="1912" w:type="dxa"/>
            <w:vAlign w:val="center"/>
          </w:tcPr>
          <w:p w14:paraId="0000001C" w14:textId="66E09859" w:rsidR="00490D7E" w:rsidRDefault="00000000">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sdt>
              <w:sdtPr>
                <w:tag w:val="goog_rdk_10"/>
                <w:id w:val="1698193758"/>
              </w:sdtPr>
              <w:sdtContent>
                <w:r w:rsidR="00707826">
                  <w:rPr>
                    <w:rFonts w:ascii="Calibri" w:eastAsia="Calibri" w:hAnsi="Calibri" w:cs="Calibri"/>
                    <w:color w:val="000000"/>
                  </w:rPr>
                  <w:t>January 2025</w:t>
                </w:r>
              </w:sdtContent>
            </w:sdt>
            <w:sdt>
              <w:sdtPr>
                <w:tag w:val="goog_rdk_11"/>
                <w:id w:val="-1442604587"/>
                <w:showingPlcHdr/>
              </w:sdtPr>
              <w:sdtContent>
                <w:r w:rsidR="006E267A">
                  <w:t xml:space="preserve">     </w:t>
                </w:r>
              </w:sdtContent>
            </w:sdt>
          </w:p>
        </w:tc>
        <w:tc>
          <w:tcPr>
            <w:tcW w:w="2003" w:type="dxa"/>
            <w:shd w:val="clear" w:color="auto" w:fill="D5DCE4"/>
            <w:vAlign w:val="center"/>
          </w:tcPr>
          <w:p w14:paraId="0000001D"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center"/>
              <w:rPr>
                <w:rFonts w:ascii="Calibri" w:eastAsia="Calibri" w:hAnsi="Calibri" w:cs="Calibri"/>
                <w:color w:val="000000"/>
              </w:rPr>
            </w:pPr>
            <w:r>
              <w:rPr>
                <w:rFonts w:ascii="Calibri" w:eastAsia="Calibri" w:hAnsi="Calibri" w:cs="Calibri"/>
                <w:b/>
                <w:color w:val="000000"/>
              </w:rPr>
              <w:t>PROJECT END DATE</w:t>
            </w:r>
            <w:r>
              <w:rPr>
                <w:rFonts w:ascii="Calibri" w:eastAsia="Calibri" w:hAnsi="Calibri" w:cs="Calibri"/>
                <w:b/>
                <w:i/>
                <w:color w:val="000000"/>
              </w:rPr>
              <w:t>:</w:t>
            </w:r>
          </w:p>
        </w:tc>
        <w:tc>
          <w:tcPr>
            <w:tcW w:w="2322" w:type="dxa"/>
            <w:vAlign w:val="center"/>
          </w:tcPr>
          <w:p w14:paraId="0000001E" w14:textId="5141713D" w:rsidR="00490D7E" w:rsidRDefault="00000000">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center"/>
              <w:rPr>
                <w:rFonts w:ascii="Calibri" w:eastAsia="Calibri" w:hAnsi="Calibri" w:cs="Calibri"/>
                <w:color w:val="000000"/>
              </w:rPr>
            </w:pPr>
            <w:sdt>
              <w:sdtPr>
                <w:tag w:val="goog_rdk_13"/>
                <w:id w:val="-458265977"/>
              </w:sdtPr>
              <w:sdtContent>
                <w:r w:rsidR="00707826">
                  <w:rPr>
                    <w:rFonts w:ascii="Calibri" w:eastAsia="Calibri" w:hAnsi="Calibri" w:cs="Calibri"/>
                    <w:color w:val="000000"/>
                  </w:rPr>
                  <w:t>December 2029</w:t>
                </w:r>
              </w:sdtContent>
            </w:sdt>
            <w:sdt>
              <w:sdtPr>
                <w:tag w:val="goog_rdk_14"/>
                <w:id w:val="366808798"/>
                <w:showingPlcHdr/>
              </w:sdtPr>
              <w:sdtContent>
                <w:r w:rsidR="006E267A">
                  <w:t xml:space="preserve">     </w:t>
                </w:r>
              </w:sdtContent>
            </w:sdt>
          </w:p>
        </w:tc>
      </w:tr>
      <w:tr w:rsidR="00490D7E" w14:paraId="3F6ED81C" w14:textId="77777777">
        <w:trPr>
          <w:trHeight w:val="358"/>
        </w:trPr>
        <w:tc>
          <w:tcPr>
            <w:tcW w:w="3911" w:type="dxa"/>
            <w:shd w:val="clear" w:color="auto" w:fill="D5DCE4"/>
            <w:vAlign w:val="center"/>
          </w:tcPr>
          <w:p w14:paraId="0000001F"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b/>
                <w:color w:val="000000"/>
              </w:rPr>
              <w:t>GMP PREPARED BY:</w:t>
            </w:r>
          </w:p>
        </w:tc>
        <w:tc>
          <w:tcPr>
            <w:tcW w:w="6237" w:type="dxa"/>
            <w:gridSpan w:val="3"/>
            <w:vAlign w:val="center"/>
          </w:tcPr>
          <w:p w14:paraId="00000020"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center"/>
              <w:rPr>
                <w:rFonts w:ascii="Calibri" w:eastAsia="Calibri" w:hAnsi="Calibri" w:cs="Calibri"/>
                <w:color w:val="000000"/>
              </w:rPr>
            </w:pPr>
            <w:r>
              <w:rPr>
                <w:rFonts w:ascii="Calibri" w:eastAsia="Calibri" w:hAnsi="Calibri" w:cs="Calibri"/>
                <w:color w:val="000000"/>
              </w:rPr>
              <w:t>Lauren Steensma, Ricardo Woldmar and Tom Chellew (Terranomics)</w:t>
            </w:r>
          </w:p>
        </w:tc>
      </w:tr>
      <w:tr w:rsidR="00490D7E" w14:paraId="1A657554" w14:textId="77777777">
        <w:trPr>
          <w:trHeight w:val="358"/>
        </w:trPr>
        <w:tc>
          <w:tcPr>
            <w:tcW w:w="3911" w:type="dxa"/>
            <w:shd w:val="clear" w:color="auto" w:fill="D5DCE4"/>
            <w:vAlign w:val="center"/>
          </w:tcPr>
          <w:p w14:paraId="00000023"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b/>
                <w:color w:val="000000"/>
              </w:rPr>
              <w:t>DATE OF (RE)SUBMISSION TO CI-GEF/GCF:</w:t>
            </w:r>
          </w:p>
        </w:tc>
        <w:tc>
          <w:tcPr>
            <w:tcW w:w="6237" w:type="dxa"/>
            <w:gridSpan w:val="3"/>
            <w:vAlign w:val="center"/>
          </w:tcPr>
          <w:p w14:paraId="00000024"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center"/>
              <w:rPr>
                <w:rFonts w:ascii="Calibri" w:eastAsia="Calibri" w:hAnsi="Calibri" w:cs="Calibri"/>
                <w:color w:val="000000"/>
              </w:rPr>
            </w:pPr>
            <w:r>
              <w:rPr>
                <w:rFonts w:ascii="Calibri" w:eastAsia="Calibri" w:hAnsi="Calibri" w:cs="Calibri"/>
                <w:color w:val="000000"/>
              </w:rPr>
              <w:t>15 March 2024, 17 May 2024; 1</w:t>
            </w:r>
            <w:r>
              <w:rPr>
                <w:rFonts w:ascii="Calibri" w:eastAsia="Calibri" w:hAnsi="Calibri" w:cs="Calibri"/>
              </w:rPr>
              <w:t>3</w:t>
            </w:r>
            <w:r>
              <w:rPr>
                <w:rFonts w:ascii="Calibri" w:eastAsia="Calibri" w:hAnsi="Calibri" w:cs="Calibri"/>
                <w:color w:val="000000"/>
              </w:rPr>
              <w:t xml:space="preserve"> June 2024</w:t>
            </w:r>
          </w:p>
        </w:tc>
      </w:tr>
      <w:tr w:rsidR="00490D7E" w:rsidRPr="00330F56" w14:paraId="4152D21C" w14:textId="77777777">
        <w:trPr>
          <w:trHeight w:val="358"/>
        </w:trPr>
        <w:tc>
          <w:tcPr>
            <w:tcW w:w="3911" w:type="dxa"/>
            <w:shd w:val="clear" w:color="auto" w:fill="D5DCE4"/>
            <w:vAlign w:val="center"/>
          </w:tcPr>
          <w:p w14:paraId="00000027"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b/>
                <w:color w:val="000000"/>
              </w:rPr>
              <w:t>GMP APPROVED BY:</w:t>
            </w:r>
          </w:p>
        </w:tc>
        <w:tc>
          <w:tcPr>
            <w:tcW w:w="6237" w:type="dxa"/>
            <w:gridSpan w:val="3"/>
            <w:vAlign w:val="center"/>
          </w:tcPr>
          <w:p w14:paraId="00000028" w14:textId="7E8D2B15" w:rsidR="00490D7E" w:rsidRPr="00330F56" w:rsidRDefault="0052709C">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iCs/>
                <w:color w:val="000000"/>
              </w:rPr>
            </w:pPr>
            <w:r w:rsidRPr="00330F56">
              <w:rPr>
                <w:rFonts w:ascii="Calibri" w:eastAsia="Calibri" w:hAnsi="Calibri" w:cs="Calibri"/>
                <w:iCs/>
                <w:color w:val="000000"/>
              </w:rPr>
              <w:t>Ian Kissoon, Senior Director, ESMF, CI</w:t>
            </w:r>
            <w:r w:rsidR="00330F56" w:rsidRPr="00330F56">
              <w:rPr>
                <w:rFonts w:ascii="Calibri" w:eastAsia="Calibri" w:hAnsi="Calibri" w:cs="Calibri"/>
                <w:iCs/>
                <w:color w:val="000000"/>
              </w:rPr>
              <w:t>-GEF Agency</w:t>
            </w:r>
          </w:p>
        </w:tc>
      </w:tr>
      <w:tr w:rsidR="004B5776" w:rsidRPr="004B5776" w14:paraId="43B54DF1" w14:textId="77777777" w:rsidTr="004B5776">
        <w:trPr>
          <w:trHeight w:val="358"/>
        </w:trPr>
        <w:tc>
          <w:tcPr>
            <w:tcW w:w="3911"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17F123C8" w14:textId="77777777" w:rsidR="004B5776" w:rsidRPr="004B5776" w:rsidRDefault="004B5776" w:rsidP="004B577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b/>
                <w:color w:val="000000"/>
              </w:rPr>
            </w:pPr>
            <w:r w:rsidRPr="004B5776">
              <w:rPr>
                <w:rFonts w:ascii="Calibri" w:eastAsia="Calibri" w:hAnsi="Calibri" w:cs="Calibri"/>
                <w:b/>
                <w:color w:val="000000"/>
              </w:rPr>
              <w:t>CONDITIONS: </w:t>
            </w:r>
          </w:p>
        </w:tc>
        <w:tc>
          <w:tcPr>
            <w:tcW w:w="623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8F680BB" w14:textId="24E01351" w:rsidR="004B5776" w:rsidRPr="004B5776" w:rsidRDefault="004B5776" w:rsidP="004B577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iCs/>
                <w:color w:val="000000"/>
              </w:rPr>
            </w:pPr>
            <w:r w:rsidRPr="004B5776">
              <w:rPr>
                <w:rFonts w:ascii="Calibri" w:eastAsia="Calibri" w:hAnsi="Calibri" w:cs="Calibri"/>
                <w:iCs/>
                <w:color w:val="000000"/>
              </w:rPr>
              <w:t xml:space="preserve">This GMP is to be </w:t>
            </w:r>
            <w:r w:rsidR="00B039AD">
              <w:rPr>
                <w:rFonts w:ascii="Calibri" w:eastAsia="Calibri" w:hAnsi="Calibri" w:cs="Calibri"/>
                <w:iCs/>
                <w:color w:val="000000"/>
              </w:rPr>
              <w:t>updated</w:t>
            </w:r>
            <w:r w:rsidRPr="004B5776">
              <w:rPr>
                <w:rFonts w:ascii="Calibri" w:eastAsia="Calibri" w:hAnsi="Calibri" w:cs="Calibri"/>
                <w:iCs/>
                <w:color w:val="000000"/>
              </w:rPr>
              <w:t xml:space="preserve"> during the first 6 months</w:t>
            </w:r>
            <w:r>
              <w:rPr>
                <w:rFonts w:ascii="Calibri" w:eastAsia="Calibri" w:hAnsi="Calibri" w:cs="Calibri"/>
                <w:iCs/>
                <w:color w:val="000000"/>
              </w:rPr>
              <w:t xml:space="preserve"> </w:t>
            </w:r>
            <w:r w:rsidR="00341213">
              <w:rPr>
                <w:rFonts w:ascii="Calibri" w:eastAsia="Calibri" w:hAnsi="Calibri" w:cs="Calibri"/>
                <w:iCs/>
                <w:color w:val="000000"/>
              </w:rPr>
              <w:t xml:space="preserve">of project implementation, </w:t>
            </w:r>
            <w:r>
              <w:rPr>
                <w:rFonts w:ascii="Calibri" w:eastAsia="Calibri" w:hAnsi="Calibri" w:cs="Calibri"/>
                <w:iCs/>
                <w:color w:val="000000"/>
              </w:rPr>
              <w:t xml:space="preserve">once the specific demonstration sites are </w:t>
            </w:r>
            <w:r w:rsidR="000E2506">
              <w:rPr>
                <w:rFonts w:ascii="Calibri" w:eastAsia="Calibri" w:hAnsi="Calibri" w:cs="Calibri"/>
                <w:iCs/>
                <w:color w:val="000000"/>
              </w:rPr>
              <w:t xml:space="preserve">identified, </w:t>
            </w:r>
            <w:r w:rsidR="00654866">
              <w:rPr>
                <w:rFonts w:ascii="Calibri" w:eastAsia="Calibri" w:hAnsi="Calibri" w:cs="Calibri"/>
                <w:iCs/>
                <w:color w:val="000000"/>
              </w:rPr>
              <w:t xml:space="preserve">so that the context specific gender analysis is strengthened, </w:t>
            </w:r>
            <w:r w:rsidR="00341213">
              <w:rPr>
                <w:rFonts w:ascii="Calibri" w:eastAsia="Calibri" w:hAnsi="Calibri" w:cs="Calibri"/>
                <w:iCs/>
                <w:color w:val="000000"/>
              </w:rPr>
              <w:t xml:space="preserve">together with </w:t>
            </w:r>
            <w:r w:rsidR="00F96548">
              <w:rPr>
                <w:rFonts w:ascii="Calibri" w:eastAsia="Calibri" w:hAnsi="Calibri" w:cs="Calibri"/>
                <w:iCs/>
                <w:color w:val="000000"/>
              </w:rPr>
              <w:t xml:space="preserve">the definition of </w:t>
            </w:r>
            <w:r w:rsidR="00341213">
              <w:rPr>
                <w:rFonts w:ascii="Calibri" w:eastAsia="Calibri" w:hAnsi="Calibri" w:cs="Calibri"/>
                <w:iCs/>
                <w:color w:val="000000"/>
              </w:rPr>
              <w:t>specific actions relevant to th</w:t>
            </w:r>
            <w:r w:rsidR="00F96548">
              <w:rPr>
                <w:rFonts w:ascii="Calibri" w:eastAsia="Calibri" w:hAnsi="Calibri" w:cs="Calibri"/>
                <w:iCs/>
                <w:color w:val="000000"/>
              </w:rPr>
              <w:t>ose</w:t>
            </w:r>
            <w:r w:rsidR="00341213">
              <w:rPr>
                <w:rFonts w:ascii="Calibri" w:eastAsia="Calibri" w:hAnsi="Calibri" w:cs="Calibri"/>
                <w:iCs/>
                <w:color w:val="000000"/>
              </w:rPr>
              <w:t xml:space="preserve"> </w:t>
            </w:r>
            <w:r w:rsidR="00791670">
              <w:rPr>
                <w:rFonts w:ascii="Calibri" w:eastAsia="Calibri" w:hAnsi="Calibri" w:cs="Calibri"/>
                <w:iCs/>
                <w:color w:val="000000"/>
              </w:rPr>
              <w:t>sites</w:t>
            </w:r>
            <w:r w:rsidRPr="004B5776">
              <w:rPr>
                <w:rFonts w:ascii="Calibri" w:eastAsia="Calibri" w:hAnsi="Calibri" w:cs="Calibri"/>
                <w:iCs/>
                <w:color w:val="000000"/>
              </w:rPr>
              <w:t>. </w:t>
            </w:r>
          </w:p>
        </w:tc>
      </w:tr>
      <w:tr w:rsidR="00490D7E" w14:paraId="215357A9" w14:textId="77777777">
        <w:trPr>
          <w:trHeight w:val="358"/>
        </w:trPr>
        <w:tc>
          <w:tcPr>
            <w:tcW w:w="3911" w:type="dxa"/>
            <w:shd w:val="clear" w:color="auto" w:fill="D5DCE4"/>
            <w:vAlign w:val="center"/>
          </w:tcPr>
          <w:p w14:paraId="0000002B"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b/>
                <w:color w:val="000000"/>
              </w:rPr>
              <w:lastRenderedPageBreak/>
              <w:t>DATE OF CI-GEF/GCF APPROVAL:</w:t>
            </w:r>
          </w:p>
        </w:tc>
        <w:tc>
          <w:tcPr>
            <w:tcW w:w="6237" w:type="dxa"/>
            <w:gridSpan w:val="3"/>
            <w:vAlign w:val="center"/>
          </w:tcPr>
          <w:p w14:paraId="0000002C" w14:textId="1C441466" w:rsidR="00490D7E" w:rsidRPr="00330F56" w:rsidRDefault="00330F5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iCs/>
                <w:color w:val="000000"/>
              </w:rPr>
            </w:pPr>
            <w:r w:rsidRPr="00330F56">
              <w:rPr>
                <w:rFonts w:ascii="Calibri" w:eastAsia="Calibri" w:hAnsi="Calibri" w:cs="Calibri"/>
                <w:iCs/>
                <w:color w:val="000000"/>
              </w:rPr>
              <w:t>June 19, 2024</w:t>
            </w:r>
          </w:p>
        </w:tc>
      </w:tr>
      <w:tr w:rsidR="00490D7E" w14:paraId="1556BFEB" w14:textId="77777777">
        <w:trPr>
          <w:trHeight w:val="600"/>
        </w:trPr>
        <w:tc>
          <w:tcPr>
            <w:tcW w:w="3911" w:type="dxa"/>
            <w:shd w:val="clear" w:color="auto" w:fill="D5DCE4"/>
            <w:vAlign w:val="center"/>
          </w:tcPr>
          <w:p w14:paraId="0000002F"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b/>
                <w:color w:val="000000"/>
              </w:rPr>
              <w:t>PERSON RESPONSIBLE FOR IMPLEMENTING AND MONITORING THE GMP:</w:t>
            </w:r>
          </w:p>
        </w:tc>
        <w:tc>
          <w:tcPr>
            <w:tcW w:w="6237" w:type="dxa"/>
            <w:gridSpan w:val="3"/>
            <w:vAlign w:val="center"/>
          </w:tcPr>
          <w:p w14:paraId="00000030"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r>
              <w:rPr>
                <w:rFonts w:ascii="Calibri" w:eastAsia="Calibri" w:hAnsi="Calibri" w:cs="Calibri"/>
                <w:color w:val="000000"/>
              </w:rPr>
              <w:t>Safeguards Specialist -To Be Hired</w:t>
            </w:r>
          </w:p>
        </w:tc>
      </w:tr>
      <w:tr w:rsidR="00490D7E" w14:paraId="78AB3E43" w14:textId="77777777">
        <w:trPr>
          <w:trHeight w:val="461"/>
        </w:trPr>
        <w:tc>
          <w:tcPr>
            <w:tcW w:w="3911" w:type="dxa"/>
            <w:shd w:val="clear" w:color="auto" w:fill="D5DCE4"/>
            <w:vAlign w:val="center"/>
          </w:tcPr>
          <w:p w14:paraId="00000033"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b/>
                <w:color w:val="000000"/>
              </w:rPr>
              <w:t>HOW/WHERE WILL THE APPROVED GMP BE DISCLOSED</w:t>
            </w:r>
            <w:r>
              <w:rPr>
                <w:rFonts w:ascii="Calibri" w:eastAsia="Calibri" w:hAnsi="Calibri" w:cs="Calibri"/>
                <w:b/>
                <w:color w:val="000000"/>
                <w:vertAlign w:val="superscript"/>
              </w:rPr>
              <w:footnoteReference w:id="2"/>
            </w:r>
            <w:r>
              <w:rPr>
                <w:rFonts w:ascii="Calibri" w:eastAsia="Calibri" w:hAnsi="Calibri" w:cs="Calibri"/>
                <w:b/>
                <w:color w:val="000000"/>
              </w:rPr>
              <w:t>:</w:t>
            </w:r>
          </w:p>
        </w:tc>
        <w:tc>
          <w:tcPr>
            <w:tcW w:w="6237" w:type="dxa"/>
            <w:gridSpan w:val="3"/>
            <w:vAlign w:val="center"/>
          </w:tcPr>
          <w:p w14:paraId="00000034"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r>
              <w:rPr>
                <w:rFonts w:ascii="Calibri" w:eastAsia="Calibri" w:hAnsi="Calibri" w:cs="Calibri"/>
                <w:color w:val="000000"/>
              </w:rPr>
              <w:t>Disclosed via the CI-GEF agency website and a summarized version on the Restaura Biomas website to be disclosed during implementation.</w:t>
            </w:r>
          </w:p>
        </w:tc>
      </w:tr>
      <w:tr w:rsidR="00490D7E" w14:paraId="6325AE99" w14:textId="77777777">
        <w:trPr>
          <w:trHeight w:val="455"/>
        </w:trPr>
        <w:tc>
          <w:tcPr>
            <w:tcW w:w="3911" w:type="dxa"/>
            <w:shd w:val="clear" w:color="auto" w:fill="D5DCE4"/>
            <w:vAlign w:val="center"/>
          </w:tcPr>
          <w:p w14:paraId="00000037"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b/>
                <w:color w:val="000000"/>
              </w:rPr>
              <w:t>WHEN WILL THE APPROVED GMP BE DISCLOSED:</w:t>
            </w:r>
          </w:p>
        </w:tc>
        <w:tc>
          <w:tcPr>
            <w:tcW w:w="6237" w:type="dxa"/>
            <w:gridSpan w:val="3"/>
            <w:vAlign w:val="center"/>
          </w:tcPr>
          <w:p w14:paraId="00000038" w14:textId="56A20202" w:rsidR="00490D7E" w:rsidRDefault="00000000">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i/>
                <w:color w:val="000000"/>
                <w:highlight w:val="yellow"/>
              </w:rPr>
            </w:pPr>
            <w:sdt>
              <w:sdtPr>
                <w:tag w:val="goog_rdk_16"/>
                <w:id w:val="-1191144352"/>
              </w:sdtPr>
              <w:sdtContent>
                <w:r w:rsidR="00707826">
                  <w:rPr>
                    <w:rFonts w:ascii="Calibri" w:eastAsia="Calibri" w:hAnsi="Calibri" w:cs="Calibri"/>
                    <w:color w:val="000000"/>
                  </w:rPr>
                  <w:t>Once CEO endorsement of the project has been attained.</w:t>
                </w:r>
              </w:sdtContent>
            </w:sdt>
            <w:sdt>
              <w:sdtPr>
                <w:tag w:val="goog_rdk_17"/>
                <w:id w:val="2052268058"/>
                <w:showingPlcHdr/>
              </w:sdtPr>
              <w:sdtContent>
                <w:r w:rsidR="006E267A">
                  <w:t xml:space="preserve">     </w:t>
                </w:r>
              </w:sdtContent>
            </w:sdt>
          </w:p>
        </w:tc>
      </w:tr>
    </w:tbl>
    <w:p w14:paraId="0000003B" w14:textId="77777777" w:rsidR="00490D7E" w:rsidRDefault="00490D7E">
      <w:pPr>
        <w:pBdr>
          <w:top w:val="nil"/>
          <w:left w:val="nil"/>
          <w:bottom w:val="single" w:sz="4" w:space="1" w:color="000000"/>
          <w:right w:val="nil"/>
          <w:between w:val="nil"/>
        </w:pBdr>
        <w:spacing w:after="120" w:line="240" w:lineRule="auto"/>
        <w:ind w:left="360" w:hanging="360"/>
        <w:rPr>
          <w:rFonts w:ascii="Calibri" w:eastAsia="Calibri" w:hAnsi="Calibri" w:cs="Calibri"/>
          <w:i/>
          <w:color w:val="000000"/>
          <w:sz w:val="20"/>
          <w:szCs w:val="20"/>
        </w:rPr>
      </w:pPr>
    </w:p>
    <w:p w14:paraId="0000003C" w14:textId="77777777" w:rsidR="00490D7E" w:rsidRDefault="00707826">
      <w:pPr>
        <w:pBdr>
          <w:top w:val="nil"/>
          <w:left w:val="nil"/>
          <w:bottom w:val="single" w:sz="4" w:space="1" w:color="000000"/>
          <w:right w:val="nil"/>
          <w:between w:val="nil"/>
        </w:pBdr>
        <w:spacing w:after="120" w:line="240" w:lineRule="auto"/>
        <w:ind w:left="360" w:hanging="360"/>
        <w:rPr>
          <w:rFonts w:ascii="Calibri" w:eastAsia="Calibri" w:hAnsi="Calibri" w:cs="Calibri"/>
          <w:b/>
          <w:color w:val="000000"/>
          <w:sz w:val="28"/>
          <w:szCs w:val="28"/>
        </w:rPr>
      </w:pPr>
      <w:r>
        <w:rPr>
          <w:rFonts w:ascii="Calibri" w:eastAsia="Calibri" w:hAnsi="Calibri" w:cs="Calibri"/>
          <w:b/>
          <w:color w:val="000000"/>
          <w:sz w:val="28"/>
          <w:szCs w:val="28"/>
        </w:rPr>
        <w:t>SECTION II: Gender Analysis/Assessment</w:t>
      </w:r>
    </w:p>
    <w:p w14:paraId="0000003D"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r>
        <w:rPr>
          <w:rFonts w:ascii="Calibri" w:eastAsia="Calibri" w:hAnsi="Calibri" w:cs="Calibri"/>
          <w:color w:val="000000"/>
        </w:rPr>
        <w:t xml:space="preserve">The project team is expected to conduct a Gender Analysis or Assessment that identifies and describes any gender differences, gender differentiated impacts and risks, and opportunities to address gender gaps and promote the empowerment of women as they relate to the project context.  The completion of the Gender Analysis should be done or guided by a gender or social specialist (e.g. through a consultant or in-house, depending on capacity). </w:t>
      </w:r>
    </w:p>
    <w:p w14:paraId="0000003E"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p>
    <w:p w14:paraId="0000003F"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r>
        <w:rPr>
          <w:rFonts w:ascii="Calibri" w:eastAsia="Calibri" w:hAnsi="Calibri" w:cs="Calibri"/>
          <w:color w:val="000000"/>
        </w:rPr>
        <w:t>The Analysis will vary in detail depending on project size, scope, and context. Furthermore, this Analysis should acknowledge and incorporate the concept of intersectionality and ensure that the specific needs of sub-groups (particularly those most vulnerable) have been taken into account (e.g. girls and boys, women and men with disabilities, elder men and women, widows).</w:t>
      </w:r>
    </w:p>
    <w:p w14:paraId="00000040"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p>
    <w:p w14:paraId="00000041"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r>
        <w:rPr>
          <w:rFonts w:ascii="Calibri" w:eastAsia="Calibri" w:hAnsi="Calibri" w:cs="Calibri"/>
          <w:color w:val="000000"/>
        </w:rPr>
        <w:t xml:space="preserve">Information on gender roles and cultural context specific to the site should be gathered through (a) </w:t>
      </w:r>
      <w:r>
        <w:rPr>
          <w:rFonts w:ascii="Calibri" w:eastAsia="Calibri" w:hAnsi="Calibri" w:cs="Calibri"/>
          <w:color w:val="000000"/>
          <w:u w:val="single"/>
        </w:rPr>
        <w:t>primary</w:t>
      </w:r>
      <w:r>
        <w:rPr>
          <w:rFonts w:ascii="Calibri" w:eastAsia="Calibri" w:hAnsi="Calibri" w:cs="Calibri"/>
          <w:color w:val="000000"/>
        </w:rPr>
        <w:t xml:space="preserve"> sources such as field visits, focus groups, interviews, meetings and consultations with target groups and local experts, and surveys, as well as (b) </w:t>
      </w:r>
      <w:r>
        <w:rPr>
          <w:rFonts w:ascii="Calibri" w:eastAsia="Calibri" w:hAnsi="Calibri" w:cs="Calibri"/>
          <w:color w:val="000000"/>
          <w:u w:val="single"/>
        </w:rPr>
        <w:t>secondary</w:t>
      </w:r>
      <w:r>
        <w:rPr>
          <w:rFonts w:ascii="Calibri" w:eastAsia="Calibri" w:hAnsi="Calibri" w:cs="Calibri"/>
          <w:color w:val="000000"/>
        </w:rPr>
        <w:t xml:space="preserve"> sources such as a desktop/literature review. For additional guidance on how to collect this type of information, please consult CI’s Gender and Social Equity Guidelines. </w:t>
      </w:r>
    </w:p>
    <w:p w14:paraId="00000042" w14:textId="77777777" w:rsidR="00490D7E" w:rsidRDefault="00490D7E">
      <w:pPr>
        <w:pBdr>
          <w:top w:val="nil"/>
          <w:left w:val="nil"/>
          <w:bottom w:val="nil"/>
          <w:right w:val="nil"/>
          <w:between w:val="nil"/>
        </w:pBdr>
        <w:spacing w:line="240" w:lineRule="auto"/>
        <w:rPr>
          <w:rFonts w:ascii="Calibri" w:eastAsia="Calibri" w:hAnsi="Calibri" w:cs="Calibri"/>
          <w:b/>
          <w:color w:val="000000"/>
        </w:rPr>
      </w:pPr>
    </w:p>
    <w:p w14:paraId="00000043"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b/>
          <w:color w:val="000000"/>
        </w:rPr>
      </w:pPr>
      <w:r>
        <w:rPr>
          <w:rFonts w:ascii="Calibri" w:eastAsia="Calibri" w:hAnsi="Calibri" w:cs="Calibri"/>
          <w:b/>
          <w:color w:val="000000"/>
        </w:rPr>
        <w:t>The general state of gender (~ 1 page)</w:t>
      </w:r>
    </w:p>
    <w:p w14:paraId="00000044"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i/>
          <w:color w:val="000000"/>
        </w:rPr>
      </w:pPr>
      <w:r>
        <w:rPr>
          <w:rFonts w:ascii="Calibri" w:eastAsia="Calibri" w:hAnsi="Calibri" w:cs="Calibri"/>
          <w:i/>
          <w:color w:val="000000"/>
        </w:rPr>
        <w:t xml:space="preserve">Please provide a broad overview of the gender dimensions and issues </w:t>
      </w:r>
      <w:r>
        <w:rPr>
          <w:rFonts w:ascii="Calibri" w:eastAsia="Calibri" w:hAnsi="Calibri" w:cs="Calibri"/>
          <w:i/>
          <w:color w:val="000000"/>
          <w:u w:val="single"/>
        </w:rPr>
        <w:t>within the context of your project</w:t>
      </w:r>
      <w:r>
        <w:rPr>
          <w:rFonts w:ascii="Calibri" w:eastAsia="Calibri" w:hAnsi="Calibri" w:cs="Calibri"/>
          <w:i/>
          <w:color w:val="000000"/>
        </w:rPr>
        <w:t xml:space="preserve"> (thematically + geographically). This section should include: </w:t>
      </w:r>
    </w:p>
    <w:p w14:paraId="00000045" w14:textId="77777777" w:rsidR="00490D7E" w:rsidRDefault="00707826">
      <w:pPr>
        <w:widowControl w:val="0"/>
        <w:numPr>
          <w:ilvl w:val="0"/>
          <w:numId w:val="1"/>
        </w:numPr>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i/>
          <w:color w:val="000000"/>
        </w:rPr>
      </w:pPr>
      <w:r>
        <w:rPr>
          <w:rFonts w:ascii="Calibri" w:eastAsia="Calibri" w:hAnsi="Calibri" w:cs="Calibri"/>
          <w:i/>
          <w:color w:val="000000"/>
        </w:rPr>
        <w:t>Population of men and women in the project area</w:t>
      </w:r>
    </w:p>
    <w:p w14:paraId="00000046" w14:textId="77777777" w:rsidR="00490D7E" w:rsidRDefault="00707826">
      <w:pPr>
        <w:widowControl w:val="0"/>
        <w:numPr>
          <w:ilvl w:val="0"/>
          <w:numId w:val="1"/>
        </w:numPr>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i/>
          <w:color w:val="000000"/>
        </w:rPr>
      </w:pPr>
      <w:r>
        <w:rPr>
          <w:rFonts w:ascii="Calibri" w:eastAsia="Calibri" w:hAnsi="Calibri" w:cs="Calibri"/>
          <w:i/>
          <w:color w:val="000000"/>
        </w:rPr>
        <w:t xml:space="preserve">Livelihoods of the men and women </w:t>
      </w:r>
    </w:p>
    <w:p w14:paraId="00000047" w14:textId="77777777" w:rsidR="00490D7E" w:rsidRDefault="00707826">
      <w:pPr>
        <w:widowControl w:val="0"/>
        <w:numPr>
          <w:ilvl w:val="0"/>
          <w:numId w:val="1"/>
        </w:numPr>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i/>
          <w:color w:val="000000"/>
        </w:rPr>
      </w:pPr>
      <w:r>
        <w:rPr>
          <w:rFonts w:ascii="Calibri" w:eastAsia="Calibri" w:hAnsi="Calibri" w:cs="Calibri"/>
          <w:i/>
          <w:color w:val="000000"/>
        </w:rPr>
        <w:t>Income/poverty, (un)employment and literacy rates for men and women</w:t>
      </w:r>
    </w:p>
    <w:p w14:paraId="00000048" w14:textId="77777777" w:rsidR="00490D7E" w:rsidRDefault="00707826">
      <w:pPr>
        <w:widowControl w:val="0"/>
        <w:numPr>
          <w:ilvl w:val="0"/>
          <w:numId w:val="1"/>
        </w:numPr>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i/>
          <w:color w:val="000000"/>
        </w:rPr>
      </w:pPr>
      <w:r>
        <w:rPr>
          <w:rFonts w:ascii="Calibri" w:eastAsia="Calibri" w:hAnsi="Calibri" w:cs="Calibri"/>
          <w:i/>
          <w:color w:val="000000"/>
        </w:rPr>
        <w:t>Men and women’s role in the household and community e.g. what types of decisions do men and women get to make in the household and community?</w:t>
      </w:r>
    </w:p>
    <w:p w14:paraId="00000049" w14:textId="77777777" w:rsidR="00490D7E" w:rsidRDefault="00707826">
      <w:pPr>
        <w:widowControl w:val="0"/>
        <w:numPr>
          <w:ilvl w:val="0"/>
          <w:numId w:val="1"/>
        </w:numPr>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i/>
          <w:color w:val="000000"/>
        </w:rPr>
      </w:pPr>
      <w:r>
        <w:rPr>
          <w:rFonts w:ascii="Calibri" w:eastAsia="Calibri" w:hAnsi="Calibri" w:cs="Calibri"/>
          <w:i/>
          <w:color w:val="000000"/>
        </w:rPr>
        <w:t>Social structure/order in the communities/project area: Do women attend meetings/participate in projects? Do women speak out in meetings before men/elders? Are women allowed to own land, have access to credit, can open a bank account on her own?</w:t>
      </w:r>
    </w:p>
    <w:p w14:paraId="0000004A" w14:textId="77777777" w:rsidR="00490D7E" w:rsidRDefault="00707826">
      <w:pPr>
        <w:widowControl w:val="0"/>
        <w:numPr>
          <w:ilvl w:val="0"/>
          <w:numId w:val="1"/>
        </w:numPr>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i/>
          <w:color w:val="000000"/>
        </w:rPr>
      </w:pPr>
      <w:r>
        <w:rPr>
          <w:rFonts w:ascii="Calibri" w:eastAsia="Calibri" w:hAnsi="Calibri" w:cs="Calibri"/>
          <w:i/>
          <w:color w:val="000000"/>
        </w:rPr>
        <w:t>Statistics and trends in sexual or gender-based violence (GBV)</w:t>
      </w:r>
    </w:p>
    <w:p w14:paraId="0000004B" w14:textId="77777777" w:rsidR="00490D7E" w:rsidRDefault="00707826">
      <w:pPr>
        <w:widowControl w:val="0"/>
        <w:numPr>
          <w:ilvl w:val="0"/>
          <w:numId w:val="1"/>
        </w:numPr>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i/>
          <w:color w:val="000000"/>
        </w:rPr>
      </w:pPr>
      <w:r>
        <w:rPr>
          <w:rFonts w:ascii="Calibri" w:eastAsia="Calibri" w:hAnsi="Calibri" w:cs="Calibri"/>
          <w:i/>
          <w:color w:val="000000"/>
        </w:rPr>
        <w:t>Commonly held beliefs, perceptions, and stereotypes related to gender</w:t>
      </w:r>
    </w:p>
    <w:p w14:paraId="0000004C" w14:textId="77777777" w:rsidR="00490D7E" w:rsidRDefault="00707826">
      <w:pPr>
        <w:widowControl w:val="0"/>
        <w:numPr>
          <w:ilvl w:val="0"/>
          <w:numId w:val="1"/>
        </w:numPr>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i/>
          <w:color w:val="000000"/>
        </w:rPr>
      </w:pPr>
      <w:r>
        <w:rPr>
          <w:rFonts w:ascii="Calibri" w:eastAsia="Calibri" w:hAnsi="Calibri" w:cs="Calibri"/>
          <w:i/>
          <w:color w:val="000000"/>
        </w:rPr>
        <w:t xml:space="preserve">Situation of people with diverse gender identities and sexual orientations in the context of the </w:t>
      </w:r>
      <w:r>
        <w:rPr>
          <w:rFonts w:ascii="Calibri" w:eastAsia="Calibri" w:hAnsi="Calibri" w:cs="Calibri"/>
          <w:i/>
          <w:color w:val="000000"/>
        </w:rPr>
        <w:lastRenderedPageBreak/>
        <w:t>project. Are they a disadvantaged group present in project areas or connected thematically to the project? Please provide an overview, including legal framework, advances or limits to their rights and self-identification, differentiated safeguard risks that apply to engaging them in project activities.</w:t>
      </w:r>
    </w:p>
    <w:p w14:paraId="0000004D"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i/>
          <w:color w:val="000000"/>
        </w:rPr>
      </w:pPr>
    </w:p>
    <w:p w14:paraId="0000004E" w14:textId="77777777" w:rsidR="00490D7E" w:rsidRDefault="00000000">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rPr>
          <w:rFonts w:ascii="Calibri" w:eastAsia="Calibri" w:hAnsi="Calibri" w:cs="Calibri"/>
          <w:b/>
          <w:color w:val="000000"/>
          <w:sz w:val="24"/>
          <w:szCs w:val="24"/>
        </w:rPr>
      </w:pPr>
      <w:sdt>
        <w:sdtPr>
          <w:tag w:val="goog_rdk_18"/>
          <w:id w:val="1867483985"/>
        </w:sdtPr>
        <w:sdtContent/>
      </w:sdt>
      <w:sdt>
        <w:sdtPr>
          <w:tag w:val="goog_rdk_19"/>
          <w:id w:val="-301530544"/>
        </w:sdtPr>
        <w:sdtContent/>
      </w:sdt>
      <w:r w:rsidR="00707826">
        <w:rPr>
          <w:rFonts w:ascii="Calibri" w:eastAsia="Calibri" w:hAnsi="Calibri" w:cs="Calibri"/>
          <w:b/>
          <w:color w:val="000000"/>
          <w:sz w:val="24"/>
          <w:szCs w:val="24"/>
        </w:rPr>
        <w:t>The general state of gender in Brazil</w:t>
      </w:r>
    </w:p>
    <w:p w14:paraId="0000004F"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As of 2022, there are 105,291,292 men (49% of the total population) and 109,034,931 women (51% of the total population) in Brazil.</w:t>
      </w:r>
      <w:r>
        <w:rPr>
          <w:rFonts w:ascii="Calibri" w:eastAsia="Calibri" w:hAnsi="Calibri" w:cs="Calibri"/>
          <w:color w:val="000000"/>
          <w:vertAlign w:val="superscript"/>
        </w:rPr>
        <w:footnoteReference w:id="3"/>
      </w:r>
      <w:r>
        <w:rPr>
          <w:rFonts w:ascii="Calibri" w:eastAsia="Calibri" w:hAnsi="Calibri" w:cs="Calibri"/>
          <w:color w:val="000000"/>
        </w:rPr>
        <w:t xml:space="preserve"> Whilst there are still substantial challenges related to gender equity in Brazil, the country has made progress on gender equality in recent years. For example, 91.7% of legal frameworks that promote, enforce, and monitor gender equality under SDG 5 Gender Equality, with a focus on violence against women, are in place.</w:t>
      </w:r>
      <w:r>
        <w:rPr>
          <w:rFonts w:ascii="Calibri" w:eastAsia="Calibri" w:hAnsi="Calibri" w:cs="Calibri"/>
          <w:color w:val="000000"/>
          <w:vertAlign w:val="superscript"/>
        </w:rPr>
        <w:footnoteReference w:id="4"/>
      </w:r>
      <w:r>
        <w:rPr>
          <w:rFonts w:ascii="Calibri" w:eastAsia="Calibri" w:hAnsi="Calibri" w:cs="Calibri"/>
          <w:color w:val="000000"/>
        </w:rPr>
        <w:t xml:space="preserve"> </w:t>
      </w:r>
    </w:p>
    <w:p w14:paraId="00000050"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Women enroll in tertiary education at higher rates than men (65% and 45%) but they work in areas of lower growth and lower wages.</w:t>
      </w:r>
      <w:r>
        <w:rPr>
          <w:rFonts w:ascii="Calibri" w:eastAsia="Calibri" w:hAnsi="Calibri" w:cs="Calibri"/>
          <w:color w:val="000000"/>
          <w:vertAlign w:val="superscript"/>
        </w:rPr>
        <w:footnoteReference w:id="5"/>
      </w:r>
      <w:r>
        <w:rPr>
          <w:rFonts w:ascii="Calibri" w:eastAsia="Calibri" w:hAnsi="Calibri" w:cs="Calibri"/>
          <w:color w:val="000000"/>
        </w:rPr>
        <w:t xml:space="preserve"> 95% of all adult (15 years or older) women and 94% of adult men are literate.</w:t>
      </w:r>
      <w:r>
        <w:rPr>
          <w:rFonts w:ascii="Calibri" w:eastAsia="Calibri" w:hAnsi="Calibri" w:cs="Calibri"/>
          <w:color w:val="000000"/>
          <w:vertAlign w:val="superscript"/>
        </w:rPr>
        <w:footnoteReference w:id="6"/>
      </w:r>
      <w:r>
        <w:rPr>
          <w:rFonts w:ascii="Calibri" w:eastAsia="Calibri" w:hAnsi="Calibri" w:cs="Calibri"/>
          <w:color w:val="000000"/>
          <w:vertAlign w:val="superscript"/>
        </w:rPr>
        <w:t xml:space="preserve"> </w:t>
      </w:r>
      <w:r>
        <w:rPr>
          <w:rFonts w:ascii="Calibri" w:eastAsia="Calibri" w:hAnsi="Calibri" w:cs="Calibri"/>
          <w:color w:val="000000"/>
        </w:rPr>
        <w:t>Women are less valued in their jobs and face more difficulties in accessing the labor market.</w:t>
      </w:r>
      <w:r>
        <w:rPr>
          <w:rFonts w:ascii="Calibri" w:eastAsia="Calibri" w:hAnsi="Calibri" w:cs="Calibri"/>
          <w:color w:val="000000"/>
          <w:vertAlign w:val="superscript"/>
        </w:rPr>
        <w:footnoteReference w:id="7"/>
      </w:r>
      <w:r>
        <w:rPr>
          <w:rFonts w:ascii="Calibri" w:eastAsia="Calibri" w:hAnsi="Calibri" w:cs="Calibri"/>
          <w:color w:val="000000"/>
        </w:rPr>
        <w:t xml:space="preserve"> The International Labor Organization (ILO) estimates that 17.7% of the female labor force is unemployed while 11.9% of the male labor force is unemployed.</w:t>
      </w:r>
      <w:r>
        <w:rPr>
          <w:rFonts w:ascii="Calibri" w:eastAsia="Calibri" w:hAnsi="Calibri" w:cs="Calibri"/>
          <w:color w:val="000000"/>
          <w:vertAlign w:val="superscript"/>
        </w:rPr>
        <w:footnoteReference w:id="8"/>
      </w:r>
      <w:r>
        <w:rPr>
          <w:rFonts w:ascii="Calibri" w:eastAsia="Calibri" w:hAnsi="Calibri" w:cs="Calibri"/>
          <w:color w:val="000000"/>
        </w:rPr>
        <w:t xml:space="preserve"> In 2021, women made up 43.5% of the labor force.</w:t>
      </w:r>
      <w:r>
        <w:rPr>
          <w:rFonts w:ascii="Calibri" w:eastAsia="Calibri" w:hAnsi="Calibri" w:cs="Calibri"/>
          <w:color w:val="000000"/>
          <w:vertAlign w:val="superscript"/>
        </w:rPr>
        <w:footnoteReference w:id="9"/>
      </w:r>
      <w:r>
        <w:rPr>
          <w:rFonts w:ascii="Calibri" w:eastAsia="Calibri" w:hAnsi="Calibri" w:cs="Calibri"/>
          <w:color w:val="000000"/>
        </w:rPr>
        <w:t xml:space="preserve"> However, women generally have more domestic and childcare responsibilities, thus limiting their ability to join the formal workforce.</w:t>
      </w:r>
    </w:p>
    <w:p w14:paraId="00000051"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vertAlign w:val="superscript"/>
        </w:rPr>
      </w:pPr>
      <w:r>
        <w:rPr>
          <w:rFonts w:ascii="Calibri" w:eastAsia="Calibri" w:hAnsi="Calibri" w:cs="Calibri"/>
          <w:color w:val="000000"/>
        </w:rPr>
        <w:t>Women in Brazil have the same legal protections as men, including financial freedoms, however, they participate in these freedoms at lower rates than men. In 2021, 80.9% of women-owned bank accounts while 87.1% of men-owned bank accounts.</w:t>
      </w:r>
      <w:r>
        <w:rPr>
          <w:rFonts w:ascii="Calibri" w:eastAsia="Calibri" w:hAnsi="Calibri" w:cs="Calibri"/>
          <w:color w:val="000000"/>
          <w:vertAlign w:val="superscript"/>
        </w:rPr>
        <w:footnoteReference w:id="10"/>
      </w:r>
      <w:r>
        <w:rPr>
          <w:rFonts w:ascii="Calibri" w:eastAsia="Calibri" w:hAnsi="Calibri" w:cs="Calibri"/>
          <w:color w:val="000000"/>
        </w:rPr>
        <w:t xml:space="preserve"> Furthermore, many women in rural areas such as Amazonia are unfamiliar with local bureaucracies and how to access public services and financial support.</w:t>
      </w:r>
      <w:r>
        <w:rPr>
          <w:rFonts w:ascii="Calibri" w:eastAsia="Calibri" w:hAnsi="Calibri" w:cs="Calibri"/>
          <w:color w:val="000000"/>
          <w:vertAlign w:val="superscript"/>
        </w:rPr>
        <w:footnoteReference w:id="11"/>
      </w:r>
      <w:r>
        <w:rPr>
          <w:rFonts w:ascii="Calibri" w:eastAsia="Calibri" w:hAnsi="Calibri" w:cs="Calibri"/>
          <w:color w:val="000000"/>
        </w:rPr>
        <w:t xml:space="preserve"> We explore other nuances between the different biomes that this project will focus on in Brazil below. </w:t>
      </w:r>
    </w:p>
    <w:p w14:paraId="00000052" w14:textId="77777777" w:rsidR="00490D7E" w:rsidRDefault="00707826">
      <w:pPr>
        <w:widowControl w:val="0"/>
        <w:pBdr>
          <w:top w:val="nil"/>
          <w:left w:val="nil"/>
          <w:bottom w:val="nil"/>
          <w:right w:val="nil"/>
          <w:between w:val="nil"/>
        </w:pBdr>
        <w:spacing w:before="120" w:after="120" w:line="240" w:lineRule="auto"/>
        <w:jc w:val="both"/>
        <w:rPr>
          <w:rFonts w:ascii="Calibri" w:eastAsia="Calibri" w:hAnsi="Calibri" w:cs="Calibri"/>
          <w:color w:val="000000"/>
          <w:vertAlign w:val="superscript"/>
        </w:rPr>
      </w:pPr>
      <w:r>
        <w:rPr>
          <w:rFonts w:ascii="Calibri" w:eastAsia="Calibri" w:hAnsi="Calibri" w:cs="Calibri"/>
          <w:color w:val="000000"/>
        </w:rPr>
        <w:t>Gender disparity is a widespread issue in Brazil. Brazil’s Global Gender Gap Index is 0.72, whilst the country is ranked 57</w:t>
      </w:r>
      <w:r>
        <w:rPr>
          <w:rFonts w:ascii="Calibri" w:eastAsia="Calibri" w:hAnsi="Calibri" w:cs="Calibri"/>
          <w:color w:val="000000"/>
          <w:vertAlign w:val="superscript"/>
        </w:rPr>
        <w:t>th</w:t>
      </w:r>
      <w:r>
        <w:rPr>
          <w:rFonts w:ascii="Calibri" w:eastAsia="Calibri" w:hAnsi="Calibri" w:cs="Calibri"/>
          <w:color w:val="000000"/>
        </w:rPr>
        <w:t xml:space="preserve"> out of 146 countries for gender equality. In Brazil, women are 22% less likely to have the same opportunities as men, with the largest gaps in the dimensions of political empowerment (-64%), </w:t>
      </w:r>
      <w:r>
        <w:rPr>
          <w:rFonts w:ascii="Calibri" w:eastAsia="Calibri" w:hAnsi="Calibri" w:cs="Calibri"/>
          <w:color w:val="000000"/>
        </w:rPr>
        <w:lastRenderedPageBreak/>
        <w:t>economic participation and opportunity (-22%), labor force (-20%), and educational level at tertiary education (-19%).</w:t>
      </w:r>
      <w:r>
        <w:rPr>
          <w:rFonts w:ascii="Calibri" w:eastAsia="Calibri" w:hAnsi="Calibri" w:cs="Calibri"/>
          <w:color w:val="000000"/>
          <w:vertAlign w:val="superscript"/>
        </w:rPr>
        <w:footnoteReference w:id="12"/>
      </w:r>
    </w:p>
    <w:p w14:paraId="00000053" w14:textId="77777777" w:rsidR="00490D7E" w:rsidRDefault="00707826">
      <w:pPr>
        <w:widowControl w:val="0"/>
        <w:pBdr>
          <w:top w:val="nil"/>
          <w:left w:val="nil"/>
          <w:bottom w:val="nil"/>
          <w:right w:val="nil"/>
          <w:between w:val="nil"/>
        </w:pBdr>
        <w:spacing w:before="120" w:after="120" w:line="240" w:lineRule="auto"/>
        <w:jc w:val="both"/>
        <w:rPr>
          <w:rFonts w:ascii="Calibri" w:eastAsia="Calibri" w:hAnsi="Calibri" w:cs="Calibri"/>
          <w:color w:val="000000"/>
          <w:vertAlign w:val="superscript"/>
        </w:rPr>
      </w:pPr>
      <w:r>
        <w:rPr>
          <w:rFonts w:ascii="Calibri" w:eastAsia="Calibri" w:hAnsi="Calibri" w:cs="Calibri"/>
          <w:color w:val="000000"/>
        </w:rPr>
        <w:t>While Brazil has passed groundbreaking legislation targeting violence against women, the country is still one of the most dangerous in the world for gender-based violence (GBV). Brazil has one of the highest GBV rates in South America, with about 3.5 per 100,000 women experiencing gender-based violence.</w:t>
      </w:r>
      <w:r>
        <w:rPr>
          <w:rFonts w:ascii="Calibri" w:eastAsia="Calibri" w:hAnsi="Calibri" w:cs="Calibri"/>
          <w:color w:val="222222"/>
          <w:highlight w:val="white"/>
        </w:rPr>
        <w:t xml:space="preserve"> </w:t>
      </w:r>
      <w:r>
        <w:rPr>
          <w:rFonts w:ascii="Calibri" w:eastAsia="Calibri" w:hAnsi="Calibri" w:cs="Calibri"/>
          <w:color w:val="000000"/>
        </w:rPr>
        <w:t>Femicide rates vary by state in Brazil, with the highest recorded female homicide rates in the Amazonian states of Mato Grasso and Roraima.</w:t>
      </w:r>
      <w:r>
        <w:rPr>
          <w:rFonts w:ascii="Calibri" w:eastAsia="Calibri" w:hAnsi="Calibri" w:cs="Calibri"/>
          <w:color w:val="000000"/>
          <w:vertAlign w:val="superscript"/>
        </w:rPr>
        <w:footnoteReference w:id="13"/>
      </w:r>
      <w:r>
        <w:rPr>
          <w:rFonts w:ascii="Calibri" w:eastAsia="Calibri" w:hAnsi="Calibri" w:cs="Calibri"/>
          <w:color w:val="000000"/>
        </w:rPr>
        <w:t xml:space="preserve"> In 2016, the average female homicide rate was 4.43, which was the 13th highest internationally. These high levels of violence can be attributed to multiple factors including a weak justice system and a reluctance from governmental agencies to implement policies and training programs to educate citizens and governmental employees about femicide.</w:t>
      </w:r>
      <w:r>
        <w:rPr>
          <w:rFonts w:ascii="Calibri" w:eastAsia="Calibri" w:hAnsi="Calibri" w:cs="Calibri"/>
          <w:color w:val="000000"/>
          <w:vertAlign w:val="superscript"/>
        </w:rPr>
        <w:footnoteReference w:id="14"/>
      </w:r>
    </w:p>
    <w:p w14:paraId="61845A77" w14:textId="729F8948" w:rsidR="006E267A" w:rsidRPr="006E267A" w:rsidRDefault="00707826" w:rsidP="006E267A">
      <w:pPr>
        <w:widowControl w:val="0"/>
        <w:pBdr>
          <w:top w:val="nil"/>
          <w:left w:val="nil"/>
          <w:bottom w:val="nil"/>
          <w:right w:val="nil"/>
          <w:between w:val="nil"/>
        </w:pBdr>
        <w:spacing w:before="120" w:after="120" w:line="240" w:lineRule="auto"/>
        <w:jc w:val="both"/>
        <w:rPr>
          <w:rFonts w:ascii="Calibri" w:eastAsia="Calibri" w:hAnsi="Calibri" w:cs="Calibri"/>
          <w:color w:val="000000"/>
        </w:rPr>
      </w:pPr>
      <w:r>
        <w:rPr>
          <w:rFonts w:ascii="Calibri" w:eastAsia="Calibri" w:hAnsi="Calibri" w:cs="Calibri"/>
          <w:color w:val="000000"/>
        </w:rPr>
        <w:t>Rural areas have the highest rates of gender disparities. One of the main gender disparities in rural areas is women’s economic dependence on men, especially due to high relative levels of male land ownership. The 2017 Agricultural Census indicates that among the 5.07 million agricultural properties in Brazil, only 19% are run by women. Only 30 million hectares, less than 10% of the agricultural land in the country, is managed by women.</w:t>
      </w:r>
      <w:r>
        <w:rPr>
          <w:rFonts w:ascii="Calibri" w:eastAsia="Calibri" w:hAnsi="Calibri" w:cs="Calibri"/>
          <w:color w:val="000000"/>
          <w:vertAlign w:val="superscript"/>
        </w:rPr>
        <w:footnoteReference w:id="15"/>
      </w:r>
    </w:p>
    <w:p w14:paraId="6C102968" w14:textId="6BA53118" w:rsidR="006E267A" w:rsidRPr="006E267A" w:rsidRDefault="006E267A" w:rsidP="006E267A">
      <w:pPr>
        <w:widowControl w:val="0"/>
        <w:pBdr>
          <w:top w:val="nil"/>
          <w:left w:val="nil"/>
          <w:bottom w:val="nil"/>
          <w:right w:val="nil"/>
          <w:between w:val="nil"/>
        </w:pBdr>
        <w:spacing w:before="120" w:after="120" w:line="240" w:lineRule="auto"/>
        <w:jc w:val="both"/>
        <w:rPr>
          <w:rFonts w:ascii="Calibri" w:eastAsia="Calibri" w:hAnsi="Calibri" w:cs="Calibri"/>
          <w:color w:val="000000"/>
        </w:rPr>
      </w:pPr>
      <w:r w:rsidRPr="006E267A">
        <w:rPr>
          <w:rFonts w:ascii="Calibri" w:eastAsia="Calibri" w:hAnsi="Calibri" w:cs="Calibri"/>
          <w:color w:val="000000"/>
        </w:rPr>
        <w:t>There is a higher rate of incidence of gender-based violence against women of color in Brazil. 61.2% of femicides are committed against black women.</w:t>
      </w:r>
      <w:r>
        <w:rPr>
          <w:rStyle w:val="Refdenotaalpie"/>
          <w:rFonts w:ascii="Calibri" w:eastAsia="Calibri" w:hAnsi="Calibri"/>
          <w:color w:val="000000"/>
        </w:rPr>
        <w:footnoteReference w:id="16"/>
      </w:r>
      <w:r w:rsidRPr="006E267A">
        <w:rPr>
          <w:rFonts w:ascii="Calibri" w:eastAsia="Calibri" w:hAnsi="Calibri" w:cs="Calibri"/>
          <w:color w:val="000000"/>
        </w:rPr>
        <w:t xml:space="preserve"> Femicide is the second main cause of death among quilombolas according to a study from the National Coordination of Quilombos Articulation (CONAQ).</w:t>
      </w:r>
      <w:r>
        <w:rPr>
          <w:rStyle w:val="Refdenotaalpie"/>
          <w:rFonts w:ascii="Calibri" w:eastAsia="Calibri" w:hAnsi="Calibri"/>
          <w:color w:val="000000"/>
        </w:rPr>
        <w:footnoteReference w:id="17"/>
      </w:r>
      <w:r w:rsidRPr="006E267A">
        <w:rPr>
          <w:rFonts w:ascii="Calibri" w:eastAsia="Calibri" w:hAnsi="Calibri" w:cs="Calibri"/>
          <w:color w:val="000000"/>
        </w:rPr>
        <w:t xml:space="preserve">  Quilombola women often do not report domestic violence for fear of state violence.</w:t>
      </w:r>
      <w:r>
        <w:rPr>
          <w:rStyle w:val="Refdenotaalpie"/>
          <w:rFonts w:ascii="Calibri" w:eastAsia="Calibri" w:hAnsi="Calibri"/>
          <w:color w:val="000000"/>
        </w:rPr>
        <w:footnoteReference w:id="18"/>
      </w:r>
      <w:r w:rsidRPr="006E267A">
        <w:rPr>
          <w:rFonts w:ascii="Calibri" w:eastAsia="Calibri" w:hAnsi="Calibri" w:cs="Calibri"/>
          <w:color w:val="000000"/>
        </w:rPr>
        <w:t xml:space="preserve"> CONAQ also found that violence against women and gender inequality are due to stronger patriarchal (machismo) values amongst quilombolas and indigenous communities.</w:t>
      </w:r>
      <w:r>
        <w:rPr>
          <w:rStyle w:val="Refdenotaalpie"/>
          <w:rFonts w:ascii="Calibri" w:eastAsia="Calibri" w:hAnsi="Calibri"/>
          <w:color w:val="000000"/>
        </w:rPr>
        <w:footnoteReference w:id="19"/>
      </w:r>
      <w:r w:rsidRPr="006E267A">
        <w:rPr>
          <w:rFonts w:ascii="Calibri" w:eastAsia="Calibri" w:hAnsi="Calibri" w:cs="Calibri"/>
          <w:color w:val="000000"/>
        </w:rPr>
        <w:t xml:space="preserve">  Due to these patriarchal values, women of color are less likely to hold leadership positions and work outside of the home. A recent study from IGBE found that 26.6% of black or brown women are not in training, employed, or looking for work.</w:t>
      </w:r>
      <w:r>
        <w:rPr>
          <w:rStyle w:val="Refdenotaalpie"/>
          <w:rFonts w:ascii="Calibri" w:eastAsia="Calibri" w:hAnsi="Calibri"/>
          <w:color w:val="000000"/>
        </w:rPr>
        <w:footnoteReference w:id="20"/>
      </w:r>
    </w:p>
    <w:p w14:paraId="00000056" w14:textId="77777777" w:rsidR="00490D7E" w:rsidRDefault="00707826">
      <w:pPr>
        <w:widowControl w:val="0"/>
        <w:pBdr>
          <w:top w:val="nil"/>
          <w:left w:val="nil"/>
          <w:bottom w:val="nil"/>
          <w:right w:val="nil"/>
          <w:between w:val="nil"/>
        </w:pBdr>
        <w:spacing w:before="120" w:after="120" w:line="240" w:lineRule="auto"/>
        <w:jc w:val="both"/>
        <w:rPr>
          <w:rFonts w:ascii="Calibri" w:eastAsia="Calibri" w:hAnsi="Calibri" w:cs="Calibri"/>
          <w:color w:val="000000"/>
          <w:vertAlign w:val="superscript"/>
        </w:rPr>
      </w:pPr>
      <w:r>
        <w:rPr>
          <w:rFonts w:ascii="Calibri" w:eastAsia="Calibri" w:hAnsi="Calibri" w:cs="Calibri"/>
          <w:color w:val="000000"/>
        </w:rPr>
        <w:t xml:space="preserve">Gender disparities are also apparent when considering family farming in rural areas. Women will often work similar hours on the farm to their male counterparts, they are disproportionately tasked with housekeeping and caregiving work. Women also are likely to earn as little as half of the male salary for their roles in farm work, even though 25% of rural women are solely responsible for supporting their </w:t>
      </w:r>
      <w:r>
        <w:rPr>
          <w:rFonts w:ascii="Calibri" w:eastAsia="Calibri" w:hAnsi="Calibri" w:cs="Calibri"/>
          <w:color w:val="000000"/>
        </w:rPr>
        <w:lastRenderedPageBreak/>
        <w:t>families.</w:t>
      </w:r>
      <w:r>
        <w:rPr>
          <w:rFonts w:ascii="Calibri" w:eastAsia="Calibri" w:hAnsi="Calibri" w:cs="Calibri"/>
          <w:color w:val="000000"/>
          <w:vertAlign w:val="superscript"/>
        </w:rPr>
        <w:footnoteReference w:id="21"/>
      </w:r>
      <w:r>
        <w:rPr>
          <w:rFonts w:ascii="Calibri" w:eastAsia="Calibri" w:hAnsi="Calibri" w:cs="Calibri"/>
        </w:rPr>
        <w:t xml:space="preserve"> </w:t>
      </w:r>
      <w:r>
        <w:rPr>
          <w:rFonts w:ascii="Calibri" w:eastAsia="Calibri" w:hAnsi="Calibri" w:cs="Calibri"/>
          <w:color w:val="000000"/>
        </w:rPr>
        <w:t>Furthermore, women living in rural farming settlements often have no civil/legal documentation and have less access than men to healthcare and formal education.</w:t>
      </w:r>
      <w:r>
        <w:rPr>
          <w:rFonts w:ascii="Calibri" w:eastAsia="Calibri" w:hAnsi="Calibri" w:cs="Calibri"/>
          <w:color w:val="000000"/>
          <w:vertAlign w:val="superscript"/>
        </w:rPr>
        <w:footnoteReference w:id="22"/>
      </w:r>
      <w:r>
        <w:rPr>
          <w:rFonts w:ascii="Calibri" w:eastAsia="Calibri" w:hAnsi="Calibri" w:cs="Calibri"/>
          <w:color w:val="000000"/>
        </w:rPr>
        <w:t xml:space="preserve"> Women are also less likely to be involved in cooperatives in rural areas and require greater technical support to scale their business/smallholding and pursue further business ventures.</w:t>
      </w:r>
      <w:r>
        <w:rPr>
          <w:rFonts w:ascii="Calibri" w:eastAsia="Calibri" w:hAnsi="Calibri" w:cs="Calibri"/>
          <w:color w:val="000000"/>
          <w:vertAlign w:val="superscript"/>
        </w:rPr>
        <w:footnoteReference w:id="23"/>
      </w:r>
    </w:p>
    <w:p w14:paraId="00000057" w14:textId="77777777" w:rsidR="00490D7E" w:rsidRDefault="00707826">
      <w:pPr>
        <w:widowControl w:val="0"/>
        <w:pBdr>
          <w:top w:val="nil"/>
          <w:left w:val="nil"/>
          <w:bottom w:val="nil"/>
          <w:right w:val="nil"/>
          <w:between w:val="nil"/>
        </w:pBdr>
        <w:spacing w:before="120" w:after="120" w:line="240" w:lineRule="auto"/>
        <w:jc w:val="both"/>
        <w:rPr>
          <w:rFonts w:ascii="Calibri" w:eastAsia="Calibri" w:hAnsi="Calibri" w:cs="Calibri"/>
          <w:color w:val="000000"/>
        </w:rPr>
      </w:pPr>
      <w:r>
        <w:rPr>
          <w:rFonts w:ascii="Calibri" w:eastAsia="Calibri" w:hAnsi="Calibri" w:cs="Calibri"/>
          <w:color w:val="000000"/>
        </w:rPr>
        <w:t>Gender inequality significantly impacts environmental degradation and climate change. Women in rural areas, due to limited access to resources and economic opportunities, might resort to unsustainable farming practices for immediate survival, contributing to soil degradation and deforestation. Gender-based violence and discrimination can also prevent women from actively engaging in sustainable land management decisions. This imbalance impedes the successful implementation of restoration efforts, as it restricts the involvement of a crucial demographic in planning and executing sustainable practices.</w:t>
      </w:r>
    </w:p>
    <w:p w14:paraId="00000058"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Extreme poverty rates in the country are low, but rural areas experience the most acute poverty.  In 2020, 1.9% of Brazilians live on less than $2.15 per day.</w:t>
      </w:r>
      <w:r>
        <w:rPr>
          <w:rFonts w:ascii="Calibri" w:eastAsia="Calibri" w:hAnsi="Calibri" w:cs="Calibri"/>
          <w:color w:val="000000"/>
          <w:vertAlign w:val="superscript"/>
        </w:rPr>
        <w:footnoteReference w:id="24"/>
      </w:r>
      <w:r>
        <w:rPr>
          <w:rFonts w:ascii="Calibri" w:eastAsia="Calibri" w:hAnsi="Calibri" w:cs="Calibri"/>
          <w:color w:val="000000"/>
        </w:rPr>
        <w:t xml:space="preserve"> Female-led households in Brazil are over-represented among those in poverty and are more likely to experience food insecurity.</w:t>
      </w:r>
      <w:r>
        <w:rPr>
          <w:rFonts w:ascii="Calibri" w:eastAsia="Calibri" w:hAnsi="Calibri" w:cs="Calibri"/>
          <w:color w:val="000000"/>
          <w:vertAlign w:val="superscript"/>
        </w:rPr>
        <w:footnoteReference w:id="25"/>
      </w:r>
      <w:r>
        <w:rPr>
          <w:rFonts w:ascii="Calibri" w:eastAsia="Calibri" w:hAnsi="Calibri" w:cs="Calibri"/>
          <w:color w:val="000000"/>
        </w:rPr>
        <w:t xml:space="preserve"> </w:t>
      </w:r>
    </w:p>
    <w:p w14:paraId="00000059"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 xml:space="preserve">Below we provide some summary-level information on gender in each of the six biomes covered by this project (Amazon, Cerrado, Caatinga, Atlantic Forest, Pantanal, and Pampa). We have also included state-level gender-related information. Note that for some of the lesser populated biomes/states, information on gender-related issues is limited. </w:t>
      </w:r>
    </w:p>
    <w:p w14:paraId="0000005A"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b/>
          <w:color w:val="000000"/>
          <w:sz w:val="24"/>
          <w:szCs w:val="24"/>
        </w:rPr>
      </w:pPr>
      <w:r>
        <w:rPr>
          <w:rFonts w:ascii="Calibri" w:eastAsia="Calibri" w:hAnsi="Calibri" w:cs="Calibri"/>
          <w:b/>
          <w:color w:val="000000"/>
          <w:sz w:val="24"/>
          <w:szCs w:val="24"/>
        </w:rPr>
        <w:t>Project intervention regions</w:t>
      </w:r>
    </w:p>
    <w:p w14:paraId="0000005B"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The project will be implemented in all biomes in Brazil (Amazon, Atlantic Forest, Cerrado, Caatinga, Pampa and Pantanal). The specific areas of intervention to achieve the project goals will be defined at the beginning of implementation, when it will be possible to evaluate in more detail the specific local realities of the potential indicated territories. Specific to the goal of “recovering 600,000 hectares of native vegetation”, there will be two main lines of action: (i) recovery of vegetation in public protected areas (Conservation Units and Indigenous Lands) and; (ii) recovery of vegetation in Permanent Preservation Areas - APP and Legal Reserve - RL in rural properties. For the recovery of vegetation in Conservation Units - UC, the project will support the National Vegetation Recovery Program in federal Conservation Units, being developed by ICMBio. Regarding the goal of promoting 1,200,000 hectares under sustainable practices by 2030, the project aims to promote better production systems in agriculture, pasture and forestry regions, based on environmental regularization actions. Based on these criteria, the project will operate preferentially in the states of Mato Grosso, Pará, São Paulo, Minas Gerais, Rondônia, Mato Grosso do Sul and Bahia.</w:t>
      </w:r>
    </w:p>
    <w:p w14:paraId="0000005C"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rPr>
          <w:rFonts w:ascii="Calibri" w:eastAsia="Calibri" w:hAnsi="Calibri" w:cs="Calibri"/>
          <w:b/>
          <w:color w:val="000000"/>
          <w:sz w:val="24"/>
          <w:szCs w:val="24"/>
        </w:rPr>
      </w:pPr>
      <w:r>
        <w:rPr>
          <w:rFonts w:ascii="Calibri" w:eastAsia="Calibri" w:hAnsi="Calibri" w:cs="Calibri"/>
          <w:b/>
          <w:color w:val="000000"/>
          <w:sz w:val="24"/>
          <w:szCs w:val="24"/>
        </w:rPr>
        <w:t>Amazon</w:t>
      </w:r>
    </w:p>
    <w:p w14:paraId="0000005D"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 xml:space="preserve">In the Legal Amazon, there is limited information on population and gender ratios, and most sources of information are estimates based on census data. It is estimated that as of 2021, there are more than 28.4 </w:t>
      </w:r>
      <w:r>
        <w:rPr>
          <w:rFonts w:ascii="Calibri" w:eastAsia="Calibri" w:hAnsi="Calibri" w:cs="Calibri"/>
          <w:color w:val="000000"/>
        </w:rPr>
        <w:lastRenderedPageBreak/>
        <w:t>million people living in the Legal Amazon. Of this, approximately 50% are men and 50% are women.</w:t>
      </w:r>
      <w:r>
        <w:rPr>
          <w:rFonts w:ascii="Calibri" w:eastAsia="Calibri" w:hAnsi="Calibri" w:cs="Calibri"/>
          <w:color w:val="000000"/>
          <w:vertAlign w:val="superscript"/>
        </w:rPr>
        <w:footnoteReference w:id="26"/>
      </w:r>
      <w:r>
        <w:rPr>
          <w:rFonts w:ascii="Calibri" w:eastAsia="Calibri" w:hAnsi="Calibri" w:cs="Calibri"/>
          <w:color w:val="000000"/>
        </w:rPr>
        <w:t xml:space="preserve"> However, it is difficult to know exactly how many people reside in the Amazon as many of these people are indigenous and live in remote areas and may not be included in this estimation. </w:t>
      </w:r>
    </w:p>
    <w:p w14:paraId="0000005E"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 xml:space="preserve">General issues faced by women in the Amazon region include gender inequality in land ownership, low levels of education, higher rates of adolescent pregnancy and sexual violence, patriarchal cultural values among some indigenous groups and among the general population, and domestic responsibilities. There are opportunities for women in ecosystem restoration in the Amazon, but women have a limited role in community forest management. However, research suggests that this could change if there were more opportunities and financial support for women to get involved. </w:t>
      </w:r>
    </w:p>
    <w:p w14:paraId="0000005F"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According to a report from Corporacion Andina de Fomento (CAF), the Development Bank of Latin America, women in the region have limited access to loans and financial products, both for personal use and for business ventures because of gender stereotypes that discourage women from ownership and see domestic work as ‘women’s work’.</w:t>
      </w:r>
      <w:r>
        <w:rPr>
          <w:rFonts w:ascii="Calibri" w:eastAsia="Calibri" w:hAnsi="Calibri" w:cs="Calibri"/>
          <w:color w:val="000000"/>
          <w:vertAlign w:val="superscript"/>
        </w:rPr>
        <w:footnoteReference w:id="27"/>
      </w:r>
    </w:p>
    <w:p w14:paraId="00000060" w14:textId="77777777" w:rsidR="00490D7E" w:rsidRDefault="00707826">
      <w:pPr>
        <w:widowControl w:val="0"/>
        <w:pBdr>
          <w:top w:val="nil"/>
          <w:left w:val="nil"/>
          <w:bottom w:val="nil"/>
          <w:right w:val="nil"/>
          <w:between w:val="nil"/>
        </w:pBdr>
        <w:spacing w:before="120" w:after="120" w:line="240" w:lineRule="auto"/>
        <w:jc w:val="both"/>
        <w:rPr>
          <w:rFonts w:ascii="Calibri" w:eastAsia="Calibri" w:hAnsi="Calibri" w:cs="Calibri"/>
          <w:color w:val="000000"/>
        </w:rPr>
      </w:pPr>
      <w:r>
        <w:rPr>
          <w:rFonts w:ascii="Calibri" w:eastAsia="Calibri" w:hAnsi="Calibri" w:cs="Calibri"/>
          <w:color w:val="000000"/>
        </w:rPr>
        <w:t>Women in the Brazilian Amazon work in the home as well as in forest-based activities such as growing crops, caring for livestock, and gathering Brazil nuts. Women are less likely to work in cash-based forest activities, but some still do.</w:t>
      </w:r>
      <w:r>
        <w:rPr>
          <w:rFonts w:ascii="Calibri" w:eastAsia="Calibri" w:hAnsi="Calibri" w:cs="Calibri"/>
          <w:color w:val="000000"/>
          <w:vertAlign w:val="superscript"/>
        </w:rPr>
        <w:footnoteReference w:id="28"/>
      </w:r>
    </w:p>
    <w:p w14:paraId="00000061" w14:textId="77777777" w:rsidR="00490D7E" w:rsidRDefault="00707826">
      <w:pPr>
        <w:widowControl w:val="0"/>
        <w:pBdr>
          <w:top w:val="nil"/>
          <w:left w:val="nil"/>
          <w:bottom w:val="nil"/>
          <w:right w:val="nil"/>
          <w:between w:val="nil"/>
        </w:pBdr>
        <w:spacing w:before="120" w:after="120" w:line="240" w:lineRule="auto"/>
        <w:jc w:val="both"/>
        <w:rPr>
          <w:rFonts w:ascii="Calibri" w:eastAsia="Calibri" w:hAnsi="Calibri" w:cs="Calibri"/>
          <w:color w:val="000000"/>
        </w:rPr>
      </w:pPr>
      <w:r>
        <w:rPr>
          <w:rFonts w:ascii="Calibri" w:eastAsia="Calibri" w:hAnsi="Calibri" w:cs="Calibri"/>
          <w:color w:val="000000"/>
        </w:rPr>
        <w:t xml:space="preserve">As for men, the challenges are related to the type of income-generating activities conducted. In rural areas, most of the income is normally from cattle ranching, native timber harvesting, small-scale production of agricultural products (fruits and vegetables), small animals (poultry, swine, etc.) as well as non-timber forest products (NTFP) such as Brazil Nuts and Açaí products. Some of these activities place men in dangerous work situations, such as logging in the Amazon rainforest. Men sometimes spend up to 30 days living in precarious tents in the forests without access to electricity or healthcare and are exposed to diseases such as malaria and poisonous animals such as snakes, spiders, and scorpions. In most cases, employees do not have formal employment contracts. </w:t>
      </w:r>
    </w:p>
    <w:p w14:paraId="00000062" w14:textId="77777777" w:rsidR="00490D7E" w:rsidRDefault="00707826">
      <w:pPr>
        <w:widowControl w:val="0"/>
        <w:pBdr>
          <w:top w:val="nil"/>
          <w:left w:val="nil"/>
          <w:bottom w:val="nil"/>
          <w:right w:val="nil"/>
          <w:between w:val="nil"/>
        </w:pBdr>
        <w:spacing w:before="120" w:after="120" w:line="240" w:lineRule="auto"/>
        <w:jc w:val="both"/>
        <w:rPr>
          <w:rFonts w:ascii="Calibri" w:eastAsia="Calibri" w:hAnsi="Calibri" w:cs="Calibri"/>
          <w:color w:val="000000"/>
        </w:rPr>
      </w:pPr>
      <w:r>
        <w:rPr>
          <w:rFonts w:ascii="Calibri" w:eastAsia="Calibri" w:hAnsi="Calibri" w:cs="Calibri"/>
          <w:color w:val="000000"/>
        </w:rPr>
        <w:t>The cattle ranching sector also has a high prevalence of informality for men. Livestock farming and timber exploration are also activities with the largest number of men in a situation similar to slavery in the Amazon. From 1995 to 2021, a total of 27,813 workers were freed from slave labor in the Amazon according to data from the Ministry of Labor and Social Security.</w:t>
      </w:r>
      <w:r>
        <w:rPr>
          <w:rFonts w:ascii="Calibri" w:eastAsia="Calibri" w:hAnsi="Calibri" w:cs="Calibri"/>
          <w:color w:val="000000"/>
          <w:vertAlign w:val="superscript"/>
        </w:rPr>
        <w:footnoteReference w:id="29"/>
      </w:r>
      <w:r>
        <w:rPr>
          <w:rFonts w:ascii="Calibri" w:eastAsia="Calibri" w:hAnsi="Calibri" w:cs="Calibri"/>
          <w:color w:val="000000"/>
        </w:rPr>
        <w:t xml:space="preserve"> Of the ten municipalities in Brazil with the highest number of slave labor in Brazil, eight are in the Amazon and seven of them in the state of Para (one of the states of intervention of the Restaura Biomas). </w:t>
      </w:r>
    </w:p>
    <w:p w14:paraId="00000063" w14:textId="77777777" w:rsidR="00490D7E" w:rsidRDefault="00707826">
      <w:pPr>
        <w:widowControl w:val="0"/>
        <w:pBdr>
          <w:top w:val="nil"/>
          <w:left w:val="nil"/>
          <w:bottom w:val="nil"/>
          <w:right w:val="nil"/>
          <w:between w:val="nil"/>
        </w:pBdr>
        <w:spacing w:before="120" w:after="120" w:line="240" w:lineRule="auto"/>
        <w:jc w:val="both"/>
        <w:rPr>
          <w:rFonts w:ascii="Calibri" w:eastAsia="Calibri" w:hAnsi="Calibri" w:cs="Calibri"/>
          <w:color w:val="000000"/>
        </w:rPr>
      </w:pPr>
      <w:r>
        <w:rPr>
          <w:rFonts w:ascii="Calibri" w:eastAsia="Calibri" w:hAnsi="Calibri" w:cs="Calibri"/>
          <w:color w:val="000000"/>
        </w:rPr>
        <w:t xml:space="preserve">As for NTFPs, the harvest of Açaí products is the most common income-generating activity in Pará state. This is done mostly by men who climb trees up to 10 meters high. This is a dangerous activity with many reports of men falling from trees, leading to severe accidents and in some cases permanent physical disability. According to research from Peabiru Institute, there are roughly 120,000 families harvesting açaí in the State of Pará with an average of one million tree climbs per day. 89% of the interviewed persons from this study cited that someone in their family or village suffered accidents climbing açaí trees, with 54% of the patients requiring hospital care. The activity is also not regulated and therefore there are no </w:t>
      </w:r>
      <w:r>
        <w:rPr>
          <w:rFonts w:ascii="Calibri" w:eastAsia="Calibri" w:hAnsi="Calibri" w:cs="Calibri"/>
          <w:color w:val="000000"/>
        </w:rPr>
        <w:lastRenderedPageBreak/>
        <w:t>formal employment relationships. Plantation of Açaí trees has become a growing activity to help supply Açaí demand (mostly for exports). If the project supports Açaí production chains, Restaura Biomas can mitigate the risks associated with Açaí production by working with organizations such as Peabiru to provide families with safety equipment such as climbing ropes, belts, and gloves.</w:t>
      </w:r>
      <w:r>
        <w:rPr>
          <w:rFonts w:ascii="Calibri" w:eastAsia="Calibri" w:hAnsi="Calibri" w:cs="Calibri"/>
          <w:color w:val="000000"/>
          <w:vertAlign w:val="superscript"/>
        </w:rPr>
        <w:footnoteReference w:id="30"/>
      </w:r>
      <w:r>
        <w:rPr>
          <w:rFonts w:ascii="Calibri" w:eastAsia="Calibri" w:hAnsi="Calibri" w:cs="Calibri"/>
          <w:color w:val="000000"/>
        </w:rPr>
        <w:t xml:space="preserve"> </w:t>
      </w:r>
    </w:p>
    <w:p w14:paraId="00000064"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rPr>
          <w:rFonts w:ascii="Calibri" w:eastAsia="Calibri" w:hAnsi="Calibri" w:cs="Calibri"/>
          <w:b/>
          <w:color w:val="000000"/>
          <w:sz w:val="24"/>
          <w:szCs w:val="24"/>
        </w:rPr>
      </w:pPr>
      <w:r>
        <w:rPr>
          <w:rFonts w:ascii="Calibri" w:eastAsia="Calibri" w:hAnsi="Calibri" w:cs="Calibri"/>
          <w:b/>
          <w:color w:val="000000"/>
          <w:sz w:val="24"/>
          <w:szCs w:val="24"/>
        </w:rPr>
        <w:t>Cerrado</w:t>
      </w:r>
    </w:p>
    <w:p w14:paraId="00000065"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Approximately 24 million people live in the Cerrado and the surrounding area.</w:t>
      </w:r>
      <w:r>
        <w:rPr>
          <w:rFonts w:ascii="Calibri" w:eastAsia="Calibri" w:hAnsi="Calibri" w:cs="Calibri"/>
          <w:color w:val="000000"/>
          <w:vertAlign w:val="superscript"/>
        </w:rPr>
        <w:footnoteReference w:id="31"/>
      </w:r>
      <w:r>
        <w:rPr>
          <w:rFonts w:ascii="Calibri" w:eastAsia="Calibri" w:hAnsi="Calibri" w:cs="Calibri"/>
          <w:color w:val="000000"/>
        </w:rPr>
        <w:t xml:space="preserve"> Of this, approximately 49% are men and 51% are women.</w:t>
      </w:r>
      <w:r>
        <w:rPr>
          <w:rFonts w:ascii="Calibri" w:eastAsia="Calibri" w:hAnsi="Calibri" w:cs="Calibri"/>
          <w:color w:val="000000"/>
          <w:vertAlign w:val="superscript"/>
        </w:rPr>
        <w:footnoteReference w:id="32"/>
      </w:r>
    </w:p>
    <w:p w14:paraId="00000066"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Women in the Cerrado are responsible for 17% of smallholdings, however, these plots of land are smaller than those owned by men, with only 12% of the area in the Cerrado occupied by women-led smallholdings.</w:t>
      </w:r>
      <w:r>
        <w:rPr>
          <w:rFonts w:ascii="Calibri" w:eastAsia="Calibri" w:hAnsi="Calibri" w:cs="Calibri"/>
          <w:color w:val="000000"/>
          <w:vertAlign w:val="superscript"/>
        </w:rPr>
        <w:footnoteReference w:id="33"/>
      </w:r>
      <w:r>
        <w:rPr>
          <w:rFonts w:ascii="Calibri" w:eastAsia="Calibri" w:hAnsi="Calibri" w:cs="Calibri"/>
          <w:color w:val="000000"/>
        </w:rPr>
        <w:t xml:space="preserve"> Women smallholders in the Cerrado are less likely to regard agricultural production as their main source of income from their smallholding when compared with all smallholders in the region (52.5% compared to 58.7%).</w:t>
      </w:r>
      <w:r>
        <w:rPr>
          <w:rFonts w:ascii="Calibri" w:eastAsia="Calibri" w:hAnsi="Calibri" w:cs="Calibri"/>
          <w:color w:val="000000"/>
          <w:vertAlign w:val="superscript"/>
        </w:rPr>
        <w:footnoteReference w:id="34"/>
      </w:r>
    </w:p>
    <w:p w14:paraId="00000067"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Women are crucial components of family farming and smallholdings, whilst also in many cases securing individual income through food processing, handicraft creation and/or other agribusiness endeavours. Whilst women are underrepresented in government structures and bodies at the local and state levels, they often hold leadership roles in local community organizations and tend to outnumber men within civil society organizations. Notable organizations in this debate include the Regional Association of Women Rural Workers in the Bico do Papagaio (ASMUPIB) and the Interstate Movement of Women Babassu Crackers (MIQCB).</w:t>
      </w:r>
      <w:r>
        <w:rPr>
          <w:rFonts w:ascii="Calibri" w:eastAsia="Calibri" w:hAnsi="Calibri" w:cs="Calibri"/>
          <w:color w:val="000000"/>
          <w:vertAlign w:val="superscript"/>
        </w:rPr>
        <w:footnoteReference w:id="35"/>
      </w:r>
    </w:p>
    <w:p w14:paraId="00000068"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 xml:space="preserve">The most common income-generating activities in the Cerrado biome are large-scale agriculture (soybean, corn, and cotton), cattle ranching and small-scale agriculture (fruits and vegetables). Men are normally employed in large-scale agriculture to operate large equipment for planting and harvesting. Rural farmers employed in this sector normally have good salaries and working conditions. The activity is well regulated by the Brazilian government and farmers often need to comply with traders supply chain procurement policies, which in many cases include gender specifications. </w:t>
      </w:r>
    </w:p>
    <w:p w14:paraId="00000069"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 xml:space="preserve">Small-scale agriculture is conducted inside smallholder properties with women involved in the planting, harvesting, and household activities, as well as the processing of by-products such as jams and cheese. Men have a higher participation in planting and harvesting and also have more participation in decision-making positions such as dairy cooperatives. Men also dominate cattle ranching. Most women are not directly involved in cattle ranching, but there is a growing number of cooperatives and associations led by women in the Cerrado.   </w:t>
      </w:r>
    </w:p>
    <w:p w14:paraId="0000006A"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rPr>
          <w:rFonts w:ascii="Calibri" w:eastAsia="Calibri" w:hAnsi="Calibri" w:cs="Calibri"/>
          <w:b/>
          <w:color w:val="000000"/>
          <w:sz w:val="24"/>
          <w:szCs w:val="24"/>
        </w:rPr>
      </w:pPr>
      <w:r>
        <w:rPr>
          <w:rFonts w:ascii="Calibri" w:eastAsia="Calibri" w:hAnsi="Calibri" w:cs="Calibri"/>
          <w:b/>
          <w:color w:val="000000"/>
          <w:sz w:val="24"/>
          <w:szCs w:val="24"/>
        </w:rPr>
        <w:t>Caatinga</w:t>
      </w:r>
    </w:p>
    <w:p w14:paraId="0000006B"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vertAlign w:val="superscript"/>
        </w:rPr>
      </w:pPr>
      <w:r>
        <w:rPr>
          <w:rFonts w:ascii="Calibri" w:eastAsia="Calibri" w:hAnsi="Calibri" w:cs="Calibri"/>
          <w:color w:val="000000"/>
        </w:rPr>
        <w:lastRenderedPageBreak/>
        <w:t>The population of the Caatinga is approximately 28 million people.</w:t>
      </w:r>
      <w:r>
        <w:rPr>
          <w:rFonts w:ascii="Calibri" w:eastAsia="Calibri" w:hAnsi="Calibri" w:cs="Calibri"/>
          <w:color w:val="000000"/>
          <w:vertAlign w:val="superscript"/>
        </w:rPr>
        <w:footnoteReference w:id="36"/>
      </w:r>
      <w:r>
        <w:rPr>
          <w:rFonts w:ascii="Calibri" w:eastAsia="Calibri" w:hAnsi="Calibri" w:cs="Calibri"/>
          <w:color w:val="000000"/>
        </w:rPr>
        <w:t xml:space="preserve"> Of this, approximately 48% are men and 52% are women.</w:t>
      </w:r>
      <w:r>
        <w:rPr>
          <w:rFonts w:ascii="Calibri" w:eastAsia="Calibri" w:hAnsi="Calibri" w:cs="Calibri"/>
          <w:color w:val="000000"/>
          <w:vertAlign w:val="superscript"/>
        </w:rPr>
        <w:footnoteReference w:id="37"/>
      </w:r>
      <w:r>
        <w:rPr>
          <w:rFonts w:ascii="Calibri" w:eastAsia="Calibri" w:hAnsi="Calibri" w:cs="Calibri"/>
          <w:color w:val="000000"/>
        </w:rPr>
        <w:t xml:space="preserve"> Despite having different environmental and climate conditions than the Cerrado, the Caatinga biome has a relatively similar context when it relates to income-generating activities. However, the Caatinga has more small-scale production due to a higher prevalence of poverty in the region. A third of all the beneficiaries of Bolsa Familia (a poverty alleviation program from the Federal Government) are from the Caatinga biome despite the biome representing only 13% of the Brazilian population. In the Caatinga, female participation in family production exceeds the country's average. However, most of the production from farms managed by women is for subsistence. Farms managed by men make a considerably higher level of income.</w:t>
      </w:r>
      <w:r>
        <w:rPr>
          <w:rFonts w:ascii="Calibri" w:eastAsia="Calibri" w:hAnsi="Calibri" w:cs="Calibri"/>
          <w:color w:val="000000"/>
          <w:vertAlign w:val="superscript"/>
        </w:rPr>
        <w:footnoteReference w:id="38"/>
      </w:r>
      <w:r>
        <w:rPr>
          <w:rFonts w:ascii="Calibri" w:eastAsia="Calibri" w:hAnsi="Calibri" w:cs="Calibri"/>
          <w:color w:val="000000"/>
          <w:vertAlign w:val="superscript"/>
        </w:rPr>
        <w:t xml:space="preserve">  </w:t>
      </w:r>
    </w:p>
    <w:p w14:paraId="0000006C"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rPr>
          <w:rFonts w:ascii="Calibri" w:eastAsia="Calibri" w:hAnsi="Calibri" w:cs="Calibri"/>
          <w:b/>
          <w:color w:val="000000"/>
          <w:sz w:val="24"/>
          <w:szCs w:val="24"/>
        </w:rPr>
      </w:pPr>
      <w:r>
        <w:rPr>
          <w:rFonts w:ascii="Calibri" w:eastAsia="Calibri" w:hAnsi="Calibri" w:cs="Calibri"/>
          <w:b/>
          <w:color w:val="000000"/>
          <w:sz w:val="24"/>
          <w:szCs w:val="24"/>
        </w:rPr>
        <w:t>Atlantic Forest</w:t>
      </w:r>
    </w:p>
    <w:p w14:paraId="0000006D"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135 million people live in the Atlantic Forest,</w:t>
      </w:r>
      <w:r>
        <w:rPr>
          <w:rFonts w:ascii="Calibri" w:eastAsia="Calibri" w:hAnsi="Calibri" w:cs="Calibri"/>
          <w:color w:val="000000"/>
          <w:vertAlign w:val="superscript"/>
        </w:rPr>
        <w:footnoteReference w:id="39"/>
      </w:r>
      <w:r>
        <w:rPr>
          <w:rFonts w:ascii="Calibri" w:eastAsia="Calibri" w:hAnsi="Calibri" w:cs="Calibri"/>
          <w:color w:val="000000"/>
        </w:rPr>
        <w:t xml:space="preserve"> which has the largest population of the six biomes in Brazil. Of this, approximately 48% are men and 52% are women.</w:t>
      </w:r>
      <w:r>
        <w:rPr>
          <w:rFonts w:ascii="Calibri" w:eastAsia="Calibri" w:hAnsi="Calibri" w:cs="Calibri"/>
          <w:color w:val="000000"/>
          <w:vertAlign w:val="superscript"/>
        </w:rPr>
        <w:footnoteReference w:id="40"/>
      </w:r>
      <w:r>
        <w:rPr>
          <w:rFonts w:ascii="Calibri" w:eastAsia="Calibri" w:hAnsi="Calibri" w:cs="Calibri"/>
          <w:color w:val="000000"/>
        </w:rPr>
        <w:t xml:space="preserve"> There are initiatives in the Atlantic Rainforest such as the Atlantic Forest Restoration Pact</w:t>
      </w:r>
      <w:r>
        <w:rPr>
          <w:rFonts w:ascii="Calibri" w:eastAsia="Calibri" w:hAnsi="Calibri" w:cs="Calibri"/>
          <w:color w:val="000000"/>
          <w:vertAlign w:val="superscript"/>
        </w:rPr>
        <w:footnoteReference w:id="41"/>
      </w:r>
      <w:r>
        <w:rPr>
          <w:rFonts w:ascii="Calibri" w:eastAsia="Calibri" w:hAnsi="Calibri" w:cs="Calibri"/>
          <w:color w:val="000000"/>
        </w:rPr>
        <w:t xml:space="preserve"> and Atlantic Forest Association that support women in rural land management and forest restoration. Studies cite the importance of women’s involvement in forest restoration because women tend to focus on the health and security of the land, they manage rather than its productivity.</w:t>
      </w:r>
      <w:r>
        <w:rPr>
          <w:rFonts w:ascii="Calibri" w:eastAsia="Calibri" w:hAnsi="Calibri" w:cs="Calibri"/>
          <w:color w:val="000000"/>
          <w:vertAlign w:val="superscript"/>
        </w:rPr>
        <w:footnoteReference w:id="42"/>
      </w:r>
      <w:r>
        <w:rPr>
          <w:rFonts w:ascii="Calibri" w:eastAsia="Calibri" w:hAnsi="Calibri" w:cs="Calibri"/>
          <w:color w:val="000000"/>
          <w:vertAlign w:val="superscript"/>
        </w:rPr>
        <w:t xml:space="preserve"> </w:t>
      </w:r>
      <w:r>
        <w:rPr>
          <w:rFonts w:ascii="Calibri" w:eastAsia="Calibri" w:hAnsi="Calibri" w:cs="Calibri"/>
          <w:color w:val="000000"/>
        </w:rPr>
        <w:t>According to a study of agroforestry farmers in the Vale do Ribeira, women have greater knowledge of native species for food and medicinal use whereas men possess more knowledge about native tree species used in construction and technology. This is because men travel longer distances to perform pruning, weeding, or harvesting in the more distant agroforestry fields, while women typically care for areas and agroforestry orchards located close to their homes.</w:t>
      </w:r>
      <w:r>
        <w:rPr>
          <w:rFonts w:ascii="Calibri" w:eastAsia="Calibri" w:hAnsi="Calibri" w:cs="Calibri"/>
          <w:color w:val="000000"/>
          <w:vertAlign w:val="superscript"/>
        </w:rPr>
        <w:footnoteReference w:id="43"/>
      </w:r>
      <w:r>
        <w:rPr>
          <w:rFonts w:ascii="Calibri" w:eastAsia="Calibri" w:hAnsi="Calibri" w:cs="Calibri"/>
          <w:color w:val="000000"/>
        </w:rPr>
        <w:t xml:space="preserve"> In the Upper Paraná, women are an important voice in the household in decisions related to farms. Frequently, they are involved in collecting and sowing seeds, as well as providing informal education children. Therefore, women should be considered as a key target group for restoration.</w:t>
      </w:r>
      <w:r>
        <w:rPr>
          <w:rFonts w:ascii="Calibri" w:eastAsia="Calibri" w:hAnsi="Calibri" w:cs="Calibri"/>
          <w:color w:val="000000"/>
          <w:vertAlign w:val="superscript"/>
        </w:rPr>
        <w:footnoteReference w:id="44"/>
      </w:r>
    </w:p>
    <w:p w14:paraId="0000006E"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 xml:space="preserve">Women have played a fundamental role in the conservation and management of the Atlantic Forest in Brazil. They are involved in various activities, such as collecting seeds, creating, and maintaining nurseries, selling seedlings, and producing medicinal, food and cosmetic plants. Furthermore, rural women have stood out as entrepreneurs, contributing to the strengthening of the local economy. According to a report by the Brazilian Forestry Institute (IBF), women represent 50% of the workforce in the production of </w:t>
      </w:r>
      <w:r>
        <w:rPr>
          <w:rFonts w:ascii="Calibri" w:eastAsia="Calibri" w:hAnsi="Calibri" w:cs="Calibri"/>
          <w:color w:val="000000"/>
        </w:rPr>
        <w:lastRenderedPageBreak/>
        <w:t>seedlings and seeds in the Atlantic Forest. They play a fundamental role in collecting and selecting seeds, ensuring the genetic diversity of species and the conservation of local flora. Furthermore, women play an important role in the production of seedlings, ensuring the supply of native plants for forest restoration.</w:t>
      </w:r>
      <w:r>
        <w:rPr>
          <w:rFonts w:ascii="Calibri" w:eastAsia="Calibri" w:hAnsi="Calibri" w:cs="Calibri"/>
          <w:color w:val="000000"/>
          <w:vertAlign w:val="superscript"/>
        </w:rPr>
        <w:footnoteReference w:id="45"/>
      </w:r>
    </w:p>
    <w:p w14:paraId="0000006F"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An example of women's involvement in the conservation of the Atlantic Forest at the Copaíba Environmental Association, one of the members of the Atlantic Forest Restoration Pact. Women support restoration activities and give technical assistance to landowners through this organization.</w:t>
      </w:r>
      <w:r>
        <w:rPr>
          <w:rFonts w:ascii="Calibri" w:eastAsia="Calibri" w:hAnsi="Calibri" w:cs="Calibri"/>
          <w:color w:val="000000"/>
          <w:vertAlign w:val="superscript"/>
        </w:rPr>
        <w:footnoteReference w:id="46"/>
      </w:r>
      <w:r>
        <w:rPr>
          <w:rFonts w:ascii="Calibri" w:eastAsia="Calibri" w:hAnsi="Calibri" w:cs="Calibri"/>
          <w:color w:val="000000"/>
        </w:rPr>
        <w:t xml:space="preserve"> Additionally, the Atlantic Forest Restoration Pact (PACT) has successfully implemented a gender-responsive strategy through their Gender Inclusion Working Group. The group has built capacity for women and raised awareness of the importance of gender inclusion in restoration through communications and participation in political forums.</w:t>
      </w:r>
      <w:r>
        <w:rPr>
          <w:rFonts w:ascii="Calibri" w:eastAsia="Calibri" w:hAnsi="Calibri" w:cs="Calibri"/>
          <w:color w:val="000000"/>
          <w:vertAlign w:val="superscript"/>
        </w:rPr>
        <w:footnoteReference w:id="47"/>
      </w:r>
      <w:r>
        <w:rPr>
          <w:rFonts w:ascii="Calibri" w:eastAsia="Calibri" w:hAnsi="Calibri" w:cs="Calibri"/>
          <w:color w:val="000000"/>
        </w:rPr>
        <w:t xml:space="preserve"> Women’s participation has grown in rural land management in general in the Atlantic Forest, including an increase in the number of female landowners in </w:t>
      </w:r>
      <w:r>
        <w:rPr>
          <w:rFonts w:ascii="Calibri" w:eastAsia="Calibri" w:hAnsi="Calibri" w:cs="Calibri"/>
          <w:color w:val="000000"/>
          <w:highlight w:val="white"/>
        </w:rPr>
        <w:t>decision-making positions</w:t>
      </w:r>
      <w:r>
        <w:rPr>
          <w:rFonts w:ascii="Calibri" w:eastAsia="Calibri" w:hAnsi="Calibri" w:cs="Calibri"/>
          <w:color w:val="000000"/>
        </w:rPr>
        <w:t>. In addition to production, women also lead restoration, nurseries, communications, and finance at their properties.</w:t>
      </w:r>
      <w:r>
        <w:rPr>
          <w:rFonts w:ascii="Calibri" w:eastAsia="Calibri" w:hAnsi="Calibri" w:cs="Calibri"/>
          <w:color w:val="000000"/>
          <w:vertAlign w:val="superscript"/>
        </w:rPr>
        <w:footnoteReference w:id="48"/>
      </w:r>
    </w:p>
    <w:p w14:paraId="00000070"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rPr>
          <w:rFonts w:ascii="Calibri" w:eastAsia="Calibri" w:hAnsi="Calibri" w:cs="Calibri"/>
          <w:b/>
          <w:color w:val="000000"/>
          <w:sz w:val="24"/>
          <w:szCs w:val="24"/>
        </w:rPr>
      </w:pPr>
      <w:r>
        <w:rPr>
          <w:rFonts w:ascii="Calibri" w:eastAsia="Calibri" w:hAnsi="Calibri" w:cs="Calibri"/>
          <w:b/>
          <w:color w:val="000000"/>
          <w:sz w:val="24"/>
          <w:szCs w:val="24"/>
        </w:rPr>
        <w:t>Pantanal</w:t>
      </w:r>
    </w:p>
    <w:p w14:paraId="00000071"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434343"/>
        </w:rPr>
      </w:pPr>
      <w:r>
        <w:rPr>
          <w:rFonts w:ascii="Calibri" w:eastAsia="Calibri" w:hAnsi="Calibri" w:cs="Calibri"/>
          <w:color w:val="000000"/>
        </w:rPr>
        <w:t>450,000 people live in the Pantanal biome, of which, approximately 50% are men and 50% are women.</w:t>
      </w:r>
      <w:r>
        <w:rPr>
          <w:rFonts w:ascii="Calibri" w:eastAsia="Calibri" w:hAnsi="Calibri" w:cs="Calibri"/>
          <w:color w:val="000000"/>
          <w:vertAlign w:val="superscript"/>
        </w:rPr>
        <w:footnoteReference w:id="49"/>
      </w:r>
      <w:r>
        <w:rPr>
          <w:rFonts w:ascii="Calibri" w:eastAsia="Calibri" w:hAnsi="Calibri" w:cs="Calibri"/>
          <w:color w:val="000000"/>
        </w:rPr>
        <w:t xml:space="preserve"> The Pantanal has the smallest population of the six biomes in Brazil.</w:t>
      </w:r>
      <w:r>
        <w:rPr>
          <w:rFonts w:ascii="Calibri" w:eastAsia="Calibri" w:hAnsi="Calibri" w:cs="Calibri"/>
          <w:color w:val="000000"/>
          <w:vertAlign w:val="superscript"/>
        </w:rPr>
        <w:footnoteReference w:id="50"/>
      </w:r>
      <w:r>
        <w:rPr>
          <w:rFonts w:ascii="Calibri" w:eastAsia="Calibri" w:hAnsi="Calibri" w:cs="Calibri"/>
          <w:color w:val="000000"/>
        </w:rPr>
        <w:t xml:space="preserve"> Therefore, there is limited information on gender roles in this biome. The Pantanal does have some women-led restoration initiatives, including the GEF Terrestre project “Strategies for the Conservation, Restoration and Management of Biodiversity in the Caatinga, Pampa and Pantanal” which supported the network Women in Action for the Pantanal. This project gave women decision-making power and gave women a key role in rehabilitating wetlands in the Pantanal.</w:t>
      </w:r>
      <w:r>
        <w:rPr>
          <w:rFonts w:ascii="Calibri" w:eastAsia="Calibri" w:hAnsi="Calibri" w:cs="Calibri"/>
          <w:color w:val="000000"/>
          <w:vertAlign w:val="superscript"/>
        </w:rPr>
        <w:footnoteReference w:id="51"/>
      </w:r>
      <w:r>
        <w:rPr>
          <w:rFonts w:ascii="Calibri" w:eastAsia="Calibri" w:hAnsi="Calibri" w:cs="Calibri"/>
          <w:color w:val="000000"/>
        </w:rPr>
        <w:t xml:space="preserve"> The design of the GEF Terrestre Project did not include specific activities to promote the participation of women in conservation efforts, however equal gender access to implementation spaces and benefits was guaranteed.</w:t>
      </w:r>
      <w:r>
        <w:rPr>
          <w:rFonts w:ascii="Calibri" w:eastAsia="Calibri" w:hAnsi="Calibri" w:cs="Calibri"/>
          <w:color w:val="000000"/>
          <w:vertAlign w:val="superscript"/>
        </w:rPr>
        <w:footnoteReference w:id="52"/>
      </w:r>
      <w:r>
        <w:rPr>
          <w:rFonts w:ascii="Calibri" w:eastAsia="Calibri" w:hAnsi="Calibri" w:cs="Calibri"/>
          <w:color w:val="000000"/>
        </w:rPr>
        <w:t xml:space="preserve"> The Final Midterm Evaluation Report for this project recognized that the project had succeeded in supporting Women in Action in the Pantanal (MUPAN) in their restoration efforts. Gender mainstreaming considerations were also integrated into the restoration subproject initiative selection. Despite these considerations, the report deemed that social support, community participation and gender mainstreaming were unsatisfactory in relation to the project’s stated objectives and ambitions. As a result of this, the project’s integration and relationship with the communities component were not met in the first half of the project.</w:t>
      </w:r>
      <w:r>
        <w:rPr>
          <w:rFonts w:ascii="Calibri" w:eastAsia="Calibri" w:hAnsi="Calibri" w:cs="Calibri"/>
          <w:color w:val="000000"/>
          <w:vertAlign w:val="superscript"/>
        </w:rPr>
        <w:footnoteReference w:id="53"/>
      </w:r>
    </w:p>
    <w:p w14:paraId="00000072"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rPr>
          <w:rFonts w:ascii="Calibri" w:eastAsia="Calibri" w:hAnsi="Calibri" w:cs="Calibri"/>
          <w:b/>
          <w:color w:val="000000"/>
          <w:sz w:val="24"/>
          <w:szCs w:val="24"/>
        </w:rPr>
      </w:pPr>
      <w:r>
        <w:rPr>
          <w:rFonts w:ascii="Calibri" w:eastAsia="Calibri" w:hAnsi="Calibri" w:cs="Calibri"/>
          <w:b/>
          <w:color w:val="000000"/>
          <w:sz w:val="24"/>
          <w:szCs w:val="24"/>
        </w:rPr>
        <w:t>Pampa</w:t>
      </w:r>
    </w:p>
    <w:p w14:paraId="00000073"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lastRenderedPageBreak/>
        <w:t>The Pampa biome is home to approximately five million people,</w:t>
      </w:r>
      <w:r>
        <w:rPr>
          <w:rFonts w:ascii="Calibri" w:eastAsia="Calibri" w:hAnsi="Calibri" w:cs="Calibri"/>
          <w:color w:val="000000"/>
          <w:vertAlign w:val="superscript"/>
        </w:rPr>
        <w:footnoteReference w:id="54"/>
      </w:r>
      <w:r>
        <w:rPr>
          <w:rFonts w:ascii="Calibri" w:eastAsia="Calibri" w:hAnsi="Calibri" w:cs="Calibri"/>
          <w:color w:val="000000"/>
        </w:rPr>
        <w:t xml:space="preserve"> of which approximately 48% are men and 52% are women.</w:t>
      </w:r>
      <w:r>
        <w:rPr>
          <w:rFonts w:ascii="Calibri" w:eastAsia="Calibri" w:hAnsi="Calibri" w:cs="Calibri"/>
          <w:color w:val="000000"/>
          <w:vertAlign w:val="superscript"/>
        </w:rPr>
        <w:footnoteReference w:id="55"/>
      </w:r>
      <w:r>
        <w:rPr>
          <w:rFonts w:ascii="Calibri" w:eastAsia="Calibri" w:hAnsi="Calibri" w:cs="Calibri"/>
          <w:color w:val="000000"/>
        </w:rPr>
        <w:t xml:space="preserve"> There is limited information available about women in the Brazilian Pampa and their role in ecosystem restoration.</w:t>
      </w:r>
    </w:p>
    <w:p w14:paraId="00000074" w14:textId="2033E031"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Women play a key role in working on agricultural smallholdings in the Pampa biome. In particular, evidence has shown that women have a fundamental role in the conservation of landrace species, acting as custodians of traditional knowledge on the species’ usages and productive processes.</w:t>
      </w:r>
      <w:r>
        <w:rPr>
          <w:rFonts w:ascii="Calibri" w:eastAsia="Calibri" w:hAnsi="Calibri" w:cs="Calibri"/>
          <w:color w:val="000000"/>
          <w:vertAlign w:val="superscript"/>
        </w:rPr>
        <w:footnoteReference w:id="56"/>
      </w:r>
      <w:r>
        <w:rPr>
          <w:rFonts w:ascii="Calibri" w:eastAsia="Calibri" w:hAnsi="Calibri" w:cs="Calibri"/>
          <w:color w:val="000000"/>
        </w:rPr>
        <w:t xml:space="preserve"> A study on gaucho in the Pampas also identified other gendered features of rural life in the Pampa biome.</w:t>
      </w:r>
      <w:r>
        <w:rPr>
          <w:rFonts w:ascii="Calibri" w:eastAsia="Calibri" w:hAnsi="Calibri" w:cs="Calibri"/>
          <w:color w:val="000000"/>
          <w:vertAlign w:val="superscript"/>
        </w:rPr>
        <w:footnoteReference w:id="57"/>
      </w:r>
      <w:r>
        <w:rPr>
          <w:rFonts w:ascii="Calibri" w:eastAsia="Calibri" w:hAnsi="Calibri" w:cs="Calibri"/>
          <w:color w:val="000000"/>
        </w:rPr>
        <w:t xml:space="preserve"> Women have traditionally not lived on the cattle ranches (estâncias) themselves, but rather in bordering settlements separate from the male gauchos and often at great distances. Instead, women live in surrounding villages </w:t>
      </w:r>
      <w:sdt>
        <w:sdtPr>
          <w:tag w:val="goog_rdk_22"/>
          <w:id w:val="1686632377"/>
        </w:sdtPr>
        <w:sdtContent>
          <w:sdt>
            <w:sdtPr>
              <w:tag w:val="goog_rdk_23"/>
              <w:id w:val="-1194227953"/>
            </w:sdtPr>
            <w:sdtContent/>
          </w:sdt>
        </w:sdtContent>
      </w:sdt>
      <w:r>
        <w:rPr>
          <w:rFonts w:ascii="Calibri" w:eastAsia="Calibri" w:hAnsi="Calibri" w:cs="Calibri"/>
          <w:color w:val="000000"/>
        </w:rPr>
        <w:t xml:space="preserve">squeezed amongst the estâncias, which are made up of women, children, and elders. </w:t>
      </w:r>
      <w:sdt>
        <w:sdtPr>
          <w:tag w:val="goog_rdk_25"/>
          <w:id w:val="-519546654"/>
        </w:sdtPr>
        <w:sdtContent>
          <w:r>
            <w:rPr>
              <w:rFonts w:ascii="Calibri" w:eastAsia="Calibri" w:hAnsi="Calibri" w:cs="Calibri"/>
              <w:color w:val="000000"/>
            </w:rPr>
            <w:t>These villages</w:t>
          </w:r>
        </w:sdtContent>
      </w:sdt>
      <w:sdt>
        <w:sdtPr>
          <w:tag w:val="goog_rdk_26"/>
          <w:id w:val="506567764"/>
          <w:showingPlcHdr/>
        </w:sdtPr>
        <w:sdtContent>
          <w:r w:rsidR="006E267A">
            <w:t xml:space="preserve">     </w:t>
          </w:r>
        </w:sdtContent>
      </w:sdt>
      <w:r>
        <w:rPr>
          <w:rFonts w:ascii="Calibri" w:eastAsia="Calibri" w:hAnsi="Calibri" w:cs="Calibri"/>
          <w:color w:val="000000"/>
        </w:rPr>
        <w:t xml:space="preserve"> have traditionally survived off of the waste from the estâncias. In these settlements, female-headed households are common, as men are typically working as gauchos on estâncias in order to provide money and/or food.</w:t>
      </w:r>
    </w:p>
    <w:p w14:paraId="00000075"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Indigenous women from the Pampa biome have protested their lack of political visibility compared to their male counterparts as well as women in other regions of Brazil.</w:t>
      </w:r>
      <w:r>
        <w:rPr>
          <w:rFonts w:ascii="Calibri" w:eastAsia="Calibri" w:hAnsi="Calibri" w:cs="Calibri"/>
          <w:color w:val="000000"/>
          <w:vertAlign w:val="superscript"/>
        </w:rPr>
        <w:footnoteReference w:id="58"/>
      </w:r>
      <w:r>
        <w:rPr>
          <w:rFonts w:ascii="Calibri" w:eastAsia="Calibri" w:hAnsi="Calibri" w:cs="Calibri"/>
          <w:color w:val="000000"/>
        </w:rPr>
        <w:t xml:space="preserve"> They have also spoken out against cultural adaptations in the face of decreasing access to their ancestral territories in the biome. For example, indigenous Mbyá-Guarani women, inhabitants of the Pampa and Atlantic Forest biomes, have lost cultural practices such as giving birth at home.</w:t>
      </w:r>
      <w:r>
        <w:rPr>
          <w:rFonts w:ascii="Calibri" w:eastAsia="Calibri" w:hAnsi="Calibri" w:cs="Calibri"/>
          <w:color w:val="000000"/>
          <w:vertAlign w:val="superscript"/>
        </w:rPr>
        <w:footnoteReference w:id="59"/>
      </w:r>
      <w:r>
        <w:rPr>
          <w:rFonts w:ascii="Calibri" w:eastAsia="Calibri" w:hAnsi="Calibri" w:cs="Calibri"/>
          <w:color w:val="000000"/>
        </w:rPr>
        <w:t xml:space="preserve"> Furthermore, a 2022 study on women’s experiences in entering and occupying public management positions in Santana do Livramento, in the west of Rio Grande do Sul in the Pampa biome, corroborated claims that women are underrepresented in city management and are subjected to discriminatory practices, gender bias and cultural barriers.</w:t>
      </w:r>
      <w:r>
        <w:rPr>
          <w:rFonts w:ascii="Calibri" w:eastAsia="Calibri" w:hAnsi="Calibri" w:cs="Calibri"/>
          <w:color w:val="000000"/>
          <w:vertAlign w:val="superscript"/>
        </w:rPr>
        <w:footnoteReference w:id="60"/>
      </w:r>
    </w:p>
    <w:p w14:paraId="00000076"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b/>
          <w:color w:val="000000"/>
          <w:sz w:val="24"/>
          <w:szCs w:val="24"/>
        </w:rPr>
      </w:pPr>
      <w:r>
        <w:rPr>
          <w:rFonts w:ascii="Calibri" w:eastAsia="Calibri" w:hAnsi="Calibri" w:cs="Calibri"/>
          <w:b/>
          <w:color w:val="000000"/>
          <w:sz w:val="24"/>
          <w:szCs w:val="24"/>
        </w:rPr>
        <w:t>Women in Restoration</w:t>
      </w:r>
    </w:p>
    <w:p w14:paraId="00000077"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 xml:space="preserve">Studies have shown that gender mainstreaming and including women and traditional communities in conservation projects is key to their success. Pugliese et al. (2019) highlight the need to integrate gender perspectives into restoration projects to leverage diverse knowledge and experiences. For example, the Cooplantar cooperatives and the Arboretum program have successfully involved traditional communities, including women, in restoration efforts in the southern region of Bahia. </w:t>
      </w:r>
    </w:p>
    <w:p w14:paraId="00000078"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Challenges such as land ownership, traditionally registered in men's names, present significant barriers for women. However, projects like Associação Ambientalista Copaíba have prioritized women's participation through training and workshops. This organization, which produces native seedlings and supports restoration initiatives, has demonstrated that women can effectively lead and overcome gender-</w:t>
      </w:r>
      <w:r>
        <w:rPr>
          <w:rFonts w:ascii="Calibri" w:eastAsia="Calibri" w:hAnsi="Calibri" w:cs="Calibri"/>
          <w:color w:val="000000"/>
        </w:rPr>
        <w:lastRenderedPageBreak/>
        <w:t>specific obstacles in the field.</w:t>
      </w:r>
    </w:p>
    <w:p w14:paraId="00000079"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 xml:space="preserve">Restoration networks have also been key to including women in restoration. The Atlantic Forest Restoration Pact (PACT) created a Gender and Diversity Working Group. The working </w:t>
      </w:r>
      <w:r>
        <w:rPr>
          <w:rFonts w:ascii="Calibri" w:eastAsia="Calibri" w:hAnsi="Calibri" w:cs="Calibri"/>
        </w:rPr>
        <w:t>group</w:t>
      </w:r>
      <w:r>
        <w:rPr>
          <w:rFonts w:ascii="Calibri" w:eastAsia="Calibri" w:hAnsi="Calibri" w:cs="Calibri"/>
          <w:color w:val="000000"/>
        </w:rPr>
        <w:t xml:space="preserve"> </w:t>
      </w:r>
      <w:r>
        <w:rPr>
          <w:rFonts w:ascii="Calibri" w:eastAsia="Calibri" w:hAnsi="Calibri" w:cs="Calibri"/>
        </w:rPr>
        <w:t>created</w:t>
      </w:r>
      <w:r>
        <w:rPr>
          <w:rFonts w:ascii="Calibri" w:eastAsia="Calibri" w:hAnsi="Calibri" w:cs="Calibri"/>
          <w:color w:val="000000"/>
        </w:rPr>
        <w:t xml:space="preserve"> a ‘Seeding Equity’ series, which aims to systematize information on women's roles in restoration. This series identifies gender inequalities and promotes equity by integrating different knowledge and perceptions into restoration projects.</w:t>
      </w:r>
      <w:r>
        <w:rPr>
          <w:rFonts w:ascii="Calibri" w:eastAsia="Calibri" w:hAnsi="Calibri" w:cs="Calibri"/>
          <w:color w:val="000000"/>
          <w:vertAlign w:val="superscript"/>
        </w:rPr>
        <w:footnoteReference w:id="61"/>
      </w:r>
    </w:p>
    <w:p w14:paraId="0000007A" w14:textId="77777777" w:rsidR="00490D7E" w:rsidRDefault="00707826">
      <w:pPr>
        <w:pBdr>
          <w:top w:val="nil"/>
          <w:left w:val="nil"/>
          <w:bottom w:val="single" w:sz="4" w:space="1" w:color="000000"/>
          <w:right w:val="nil"/>
          <w:between w:val="nil"/>
        </w:pBdr>
        <w:spacing w:after="120" w:line="240" w:lineRule="auto"/>
        <w:ind w:left="360"/>
        <w:rPr>
          <w:rFonts w:ascii="Calibri" w:eastAsia="Calibri" w:hAnsi="Calibri" w:cs="Calibri"/>
          <w:b/>
          <w:color w:val="000000"/>
        </w:rPr>
      </w:pPr>
      <w:r>
        <w:br w:type="page"/>
      </w:r>
      <w:r>
        <w:rPr>
          <w:rFonts w:ascii="Calibri" w:eastAsia="Calibri" w:hAnsi="Calibri" w:cs="Calibri"/>
          <w:b/>
          <w:color w:val="000000"/>
        </w:rPr>
        <w:lastRenderedPageBreak/>
        <w:t>Project-level gender considerations (~2-5 pages)</w:t>
      </w:r>
    </w:p>
    <w:p w14:paraId="0000007B"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i/>
          <w:color w:val="000000"/>
        </w:rPr>
      </w:pPr>
      <w:r>
        <w:rPr>
          <w:rFonts w:ascii="Calibri" w:eastAsia="Calibri" w:hAnsi="Calibri" w:cs="Calibri"/>
          <w:i/>
          <w:color w:val="000000"/>
        </w:rPr>
        <w:t>Drawing on primary and secondary information sources, consider how gender considerations are relevant to the specific project by responding to each of the following questions (at a minimum). If a project has multiple sites with different social + environmental contexts, this section will need to be completed for each site.</w:t>
      </w:r>
    </w:p>
    <w:tbl>
      <w:tblPr>
        <w:tblW w:w="9620" w:type="dxa"/>
        <w:jc w:val="center"/>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Layout w:type="fixed"/>
        <w:tblCellMar>
          <w:top w:w="43" w:type="dxa"/>
          <w:left w:w="115" w:type="dxa"/>
          <w:bottom w:w="43" w:type="dxa"/>
          <w:right w:w="115" w:type="dxa"/>
        </w:tblCellMar>
        <w:tblLook w:val="0000" w:firstRow="0" w:lastRow="0" w:firstColumn="0" w:lastColumn="0" w:noHBand="0" w:noVBand="0"/>
      </w:tblPr>
      <w:tblGrid>
        <w:gridCol w:w="9620"/>
      </w:tblGrid>
      <w:tr w:rsidR="00490D7E" w14:paraId="2EE199D3" w14:textId="77777777">
        <w:trPr>
          <w:trHeight w:val="1090"/>
          <w:jc w:val="center"/>
        </w:trPr>
        <w:tc>
          <w:tcPr>
            <w:tcW w:w="9620" w:type="dxa"/>
            <w:shd w:val="clear" w:color="auto" w:fill="D5DCE4"/>
          </w:tcPr>
          <w:p w14:paraId="0000007C" w14:textId="77777777" w:rsidR="00490D7E" w:rsidRDefault="00707826">
            <w:pPr>
              <w:keepNext/>
              <w:numPr>
                <w:ilvl w:val="0"/>
                <w:numId w:val="5"/>
              </w:numPr>
              <w:pBdr>
                <w:top w:val="nil"/>
                <w:left w:val="nil"/>
                <w:bottom w:val="nil"/>
                <w:right w:val="nil"/>
                <w:between w:val="nil"/>
              </w:pBdr>
              <w:tabs>
                <w:tab w:val="left" w:pos="2250"/>
              </w:tabs>
              <w:spacing w:line="240" w:lineRule="auto"/>
              <w:ind w:left="420"/>
              <w:rPr>
                <w:rFonts w:ascii="Calibri" w:eastAsia="Calibri" w:hAnsi="Calibri" w:cs="Calibri"/>
                <w:i/>
                <w:color w:val="000000"/>
              </w:rPr>
            </w:pPr>
            <w:r>
              <w:rPr>
                <w:rFonts w:ascii="Calibri" w:eastAsia="Calibri" w:hAnsi="Calibri" w:cs="Calibri"/>
                <w:i/>
                <w:color w:val="000000"/>
              </w:rPr>
              <w:lastRenderedPageBreak/>
              <w:t>How do women and men currently utilize the natural resources that this project impacts? How might that change during and after the project?</w:t>
            </w:r>
          </w:p>
          <w:p w14:paraId="0000007D"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In Brazil, there are issues related to land and natural resources including inequality of land distribution, inadequate access to land by the poor, and insecure tenure. These issues lead to land degradation, destruction of forests, rural poverty, violence, human rights abuses, and the exploitation of rural workers.</w:t>
            </w:r>
            <w:r>
              <w:rPr>
                <w:rFonts w:ascii="Calibri" w:eastAsia="Calibri" w:hAnsi="Calibri" w:cs="Calibri"/>
                <w:color w:val="000000"/>
                <w:vertAlign w:val="superscript"/>
              </w:rPr>
              <w:footnoteReference w:id="62"/>
            </w:r>
            <w:r>
              <w:rPr>
                <w:rFonts w:ascii="Calibri" w:eastAsia="Calibri" w:hAnsi="Calibri" w:cs="Calibri"/>
                <w:color w:val="000000"/>
              </w:rPr>
              <w:t xml:space="preserve"> However, all six biomes of Brazil also hold great natural resources and biodiversity. Of Brazil’s biomes, land conversion for commodity production has been most prevalent in the Brazilian Amazon and the Cerrado.</w:t>
            </w:r>
          </w:p>
          <w:p w14:paraId="0000007E"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Men and women utilize many natural resources in Amazonia, including freshwater for consumption and domestic use. Non-timber forest products (NTFPs) such as açaí berry, andiroba, Brazil nut, and tonka bean are among the natural resources cultivated by indigenous peoples and local communities in the region that are vulnerable to land conversion and deforestation.</w:t>
            </w:r>
            <w:r>
              <w:rPr>
                <w:rFonts w:ascii="Calibri" w:eastAsia="Calibri" w:hAnsi="Calibri" w:cs="Calibri"/>
                <w:color w:val="000000"/>
                <w:vertAlign w:val="superscript"/>
              </w:rPr>
              <w:footnoteReference w:id="63"/>
            </w:r>
            <w:r>
              <w:rPr>
                <w:rFonts w:ascii="Calibri" w:eastAsia="Calibri" w:hAnsi="Calibri" w:cs="Calibri"/>
                <w:color w:val="000000"/>
              </w:rPr>
              <w:t xml:space="preserve"> Other forest extractive resources cultivated and consumed by people in Amazonia include fruits, fish, medicinal plants, timber, and local wildlife hunted for consumption.</w:t>
            </w:r>
            <w:r>
              <w:rPr>
                <w:rFonts w:ascii="Calibri" w:eastAsia="Calibri" w:hAnsi="Calibri" w:cs="Calibri"/>
                <w:color w:val="000000"/>
                <w:vertAlign w:val="superscript"/>
              </w:rPr>
              <w:footnoteReference w:id="64"/>
            </w:r>
            <w:r>
              <w:rPr>
                <w:rFonts w:ascii="Calibri" w:eastAsia="Calibri" w:hAnsi="Calibri" w:cs="Calibri"/>
                <w:color w:val="000000"/>
              </w:rPr>
              <w:t xml:space="preserve"> The collection of high-value forest extractive resources such as Brazil nut, timber, and acai berry for trade is conducted primarily by men.</w:t>
            </w:r>
            <w:r>
              <w:rPr>
                <w:rFonts w:ascii="Calibri" w:eastAsia="Calibri" w:hAnsi="Calibri" w:cs="Calibri"/>
                <w:color w:val="000000"/>
                <w:vertAlign w:val="superscript"/>
              </w:rPr>
              <w:footnoteReference w:id="65"/>
            </w:r>
            <w:r>
              <w:rPr>
                <w:rFonts w:ascii="Calibri" w:eastAsia="Calibri" w:hAnsi="Calibri" w:cs="Calibri"/>
                <w:color w:val="000000"/>
              </w:rPr>
              <w:t xml:space="preserve"> Women are primarily responsible for the processing of these extractive resources.</w:t>
            </w:r>
            <w:r>
              <w:rPr>
                <w:rFonts w:ascii="Calibri" w:eastAsia="Calibri" w:hAnsi="Calibri" w:cs="Calibri"/>
                <w:color w:val="000000"/>
                <w:vertAlign w:val="superscript"/>
              </w:rPr>
              <w:footnoteReference w:id="66"/>
            </w:r>
            <w:r>
              <w:rPr>
                <w:rFonts w:ascii="Calibri" w:eastAsia="Calibri" w:hAnsi="Calibri" w:cs="Calibri"/>
                <w:color w:val="000000"/>
              </w:rPr>
              <w:t xml:space="preserve"> Whilst this is generally true, there are a number of indigenous communities where women fulfil a more prevalent role in the planting and harvesting of NTFPs, however, spatially they are often involved in activities that are closer to their village, whilst the men roam further in their roles.</w:t>
            </w:r>
            <w:r>
              <w:rPr>
                <w:rFonts w:ascii="Calibri" w:eastAsia="Calibri" w:hAnsi="Calibri" w:cs="Calibri"/>
                <w:color w:val="000000"/>
                <w:vertAlign w:val="superscript"/>
              </w:rPr>
              <w:footnoteReference w:id="67"/>
            </w:r>
            <w:r>
              <w:rPr>
                <w:rFonts w:ascii="Calibri" w:eastAsia="Calibri" w:hAnsi="Calibri" w:cs="Calibri"/>
                <w:color w:val="000000"/>
              </w:rPr>
              <w:t xml:space="preserve"> Brazil nut collection is the activity in which both genders are most equally involved in collection and processing.</w:t>
            </w:r>
            <w:r>
              <w:rPr>
                <w:rFonts w:ascii="Calibri" w:eastAsia="Calibri" w:hAnsi="Calibri" w:cs="Calibri"/>
                <w:color w:val="000000"/>
                <w:vertAlign w:val="superscript"/>
              </w:rPr>
              <w:footnoteReference w:id="68"/>
            </w:r>
          </w:p>
          <w:p w14:paraId="0000007F"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The evidence on the impacts of NTFP trade on gender equality is ambiguous - whilst the processing of NTFP resources has provided opportunities for women to earn an income, there is evidence that men have taken control of any trade opportunities when they become lucrative.</w:t>
            </w:r>
            <w:r>
              <w:rPr>
                <w:rFonts w:ascii="Calibri" w:eastAsia="Calibri" w:hAnsi="Calibri" w:cs="Calibri"/>
                <w:color w:val="000000"/>
                <w:vertAlign w:val="superscript"/>
              </w:rPr>
              <w:footnoteReference w:id="69"/>
            </w:r>
            <w:r>
              <w:rPr>
                <w:rFonts w:ascii="Calibri" w:eastAsia="Calibri" w:hAnsi="Calibri" w:cs="Calibri"/>
                <w:color w:val="000000"/>
              </w:rPr>
              <w:t xml:space="preserve"> Female members of rural communities are likely to experience the least benefits accrued from NTFP harvesting, processing and trade.</w:t>
            </w:r>
            <w:r>
              <w:rPr>
                <w:rFonts w:ascii="Calibri" w:eastAsia="Calibri" w:hAnsi="Calibri" w:cs="Calibri"/>
                <w:color w:val="000000"/>
                <w:vertAlign w:val="superscript"/>
              </w:rPr>
              <w:footnoteReference w:id="70"/>
            </w:r>
            <w:r>
              <w:rPr>
                <w:rFonts w:ascii="Calibri" w:eastAsia="Calibri" w:hAnsi="Calibri" w:cs="Calibri"/>
                <w:color w:val="000000"/>
              </w:rPr>
              <w:t xml:space="preserve"> An empirical study of seven communities from five societies of the Brazilian and Bolivian Amazon found that households involved in NTFP processing were likely to see higher levels of gender equality, particularly when in an established trade partnership with an external company.</w:t>
            </w:r>
            <w:r>
              <w:rPr>
                <w:rFonts w:ascii="Calibri" w:eastAsia="Calibri" w:hAnsi="Calibri" w:cs="Calibri"/>
                <w:color w:val="000000"/>
                <w:vertAlign w:val="superscript"/>
              </w:rPr>
              <w:footnoteReference w:id="71"/>
            </w:r>
          </w:p>
          <w:p w14:paraId="00000080"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The biggest use of natural resources in the Amazon biome is in commodity production. Popular commodities vary by country. In the Brazilian Amazon, commodity production includes soy, corn, cotton, cattle, timber and minerals, as well as other forest products such as Brazil nuts, cacao, and native rubber.</w:t>
            </w:r>
            <w:r>
              <w:rPr>
                <w:rFonts w:ascii="Calibri" w:eastAsia="Calibri" w:hAnsi="Calibri" w:cs="Calibri"/>
                <w:color w:val="000000"/>
                <w:vertAlign w:val="superscript"/>
              </w:rPr>
              <w:footnoteReference w:id="72"/>
            </w:r>
            <w:r>
              <w:rPr>
                <w:rFonts w:ascii="Calibri" w:eastAsia="Calibri" w:hAnsi="Calibri" w:cs="Calibri"/>
                <w:color w:val="000000"/>
              </w:rPr>
              <w:t xml:space="preserve"> Specific to cattle, men are normally hired as cowboys to manage cattle ranching activities. As for agricultural production (soybean, coffee and cotton), a highly mechanized industry, man are often hired to operate machinery during planting, management and harvest. These activities are highly technological and personnel normally have good salaries and working conditions. As for native timber harvest, man is often hired to live temporarily in tents and simple infrastructures in the Amazon forest during the harvest period. Pay is low and there are often no formal contracts involved.    </w:t>
            </w:r>
          </w:p>
          <w:p w14:paraId="00000081"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Six of the twelve major hydrological regions in Brazil begin in the Cerrado, with the region essential in supplying the country and surrounding areas with clean water.</w:t>
            </w:r>
            <w:r>
              <w:rPr>
                <w:rFonts w:ascii="Calibri" w:eastAsia="Calibri" w:hAnsi="Calibri" w:cs="Calibri"/>
                <w:color w:val="000000"/>
                <w:vertAlign w:val="superscript"/>
              </w:rPr>
              <w:footnoteReference w:id="73"/>
            </w:r>
            <w:r>
              <w:rPr>
                <w:rFonts w:ascii="Calibri" w:eastAsia="Calibri" w:hAnsi="Calibri" w:cs="Calibri"/>
                <w:color w:val="000000"/>
              </w:rPr>
              <w:t xml:space="preserve"> Naturally, this water is crucial in local people’s interaction with natural resources in the biome, both regarding the consumption and domestic use of water, and in the implementation of sustainable extractive activities conducted by indigenous peoples and local communities in the region.</w:t>
            </w:r>
            <w:r>
              <w:rPr>
                <w:rFonts w:ascii="Calibri" w:eastAsia="Calibri" w:hAnsi="Calibri" w:cs="Calibri"/>
                <w:color w:val="000000"/>
                <w:vertAlign w:val="superscript"/>
              </w:rPr>
              <w:footnoteReference w:id="74"/>
            </w:r>
            <w:r>
              <w:rPr>
                <w:rFonts w:ascii="Calibri" w:eastAsia="Calibri" w:hAnsi="Calibri" w:cs="Calibri"/>
                <w:color w:val="000000"/>
              </w:rPr>
              <w:t xml:space="preserve"> These activities include hunting, Coivara agriculture (artisanal agriculture based on controlled fire and crop rotation), and fishing.</w:t>
            </w:r>
            <w:r>
              <w:rPr>
                <w:rFonts w:ascii="Calibri" w:eastAsia="Calibri" w:hAnsi="Calibri" w:cs="Calibri"/>
                <w:color w:val="000000"/>
                <w:vertAlign w:val="superscript"/>
              </w:rPr>
              <w:footnoteReference w:id="75"/>
            </w:r>
            <w:r>
              <w:rPr>
                <w:rFonts w:ascii="Calibri" w:eastAsia="Calibri" w:hAnsi="Calibri" w:cs="Calibri"/>
                <w:color w:val="000000"/>
              </w:rPr>
              <w:t xml:space="preserve"> Examples of harvested species include pequi, babaçu, and baru. 400,000 women make a living from the harvest </w:t>
            </w:r>
            <w:r>
              <w:rPr>
                <w:rFonts w:ascii="Calibri" w:eastAsia="Calibri" w:hAnsi="Calibri" w:cs="Calibri"/>
                <w:color w:val="000000"/>
              </w:rPr>
              <w:lastRenderedPageBreak/>
              <w:t>of babaçu fruit in the north of the Cerrado.</w:t>
            </w:r>
            <w:r>
              <w:rPr>
                <w:rFonts w:ascii="Calibri" w:eastAsia="Calibri" w:hAnsi="Calibri" w:cs="Calibri"/>
                <w:color w:val="000000"/>
                <w:vertAlign w:val="superscript"/>
              </w:rPr>
              <w:footnoteReference w:id="76"/>
            </w:r>
            <w:r>
              <w:rPr>
                <w:rFonts w:ascii="Calibri" w:eastAsia="Calibri" w:hAnsi="Calibri" w:cs="Calibri"/>
                <w:color w:val="000000"/>
              </w:rPr>
              <w:t xml:space="preserve"> 220 species in the region also have medicinal uses.</w:t>
            </w:r>
            <w:r>
              <w:rPr>
                <w:rFonts w:ascii="Calibri" w:eastAsia="Calibri" w:hAnsi="Calibri" w:cs="Calibri"/>
                <w:color w:val="000000"/>
                <w:vertAlign w:val="superscript"/>
              </w:rPr>
              <w:footnoteReference w:id="77"/>
            </w:r>
            <w:r>
              <w:rPr>
                <w:rFonts w:ascii="Calibri" w:eastAsia="Calibri" w:hAnsi="Calibri" w:cs="Calibri"/>
                <w:color w:val="000000"/>
              </w:rPr>
              <w:t xml:space="preserve"> Women play a key role in family farming and care for domestic livestock.</w:t>
            </w:r>
          </w:p>
          <w:p w14:paraId="00000082"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The Cerrado accounts for 60% of Brazil’s agricultural production, with key commodities including soy, cattle, sugarcane, cotton, and corn.</w:t>
            </w:r>
            <w:r>
              <w:rPr>
                <w:rFonts w:ascii="Calibri" w:eastAsia="Calibri" w:hAnsi="Calibri" w:cs="Calibri"/>
                <w:color w:val="000000"/>
                <w:vertAlign w:val="superscript"/>
              </w:rPr>
              <w:footnoteReference w:id="78"/>
            </w:r>
            <w:r>
              <w:rPr>
                <w:rFonts w:ascii="Calibri" w:eastAsia="Calibri" w:hAnsi="Calibri" w:cs="Calibri"/>
                <w:color w:val="000000"/>
              </w:rPr>
              <w:t xml:space="preserve"> Soybean cultivation is of primary concern in the Cerrado, with the region producing 22% of all global soybean exports and the practice responsible for the largest proportion of land conversion in the region.</w:t>
            </w:r>
            <w:r>
              <w:rPr>
                <w:rFonts w:ascii="Calibri" w:eastAsia="Calibri" w:hAnsi="Calibri" w:cs="Calibri"/>
                <w:color w:val="000000"/>
                <w:vertAlign w:val="superscript"/>
              </w:rPr>
              <w:footnoteReference w:id="79"/>
            </w:r>
          </w:p>
          <w:p w14:paraId="00000083"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Native plants, nuts and vegetation in the Caatinga biome are cultivated for consumption and utilized in medication. Local people also ranch cattle and goats.</w:t>
            </w:r>
            <w:r>
              <w:rPr>
                <w:rFonts w:ascii="Calibri" w:eastAsia="Calibri" w:hAnsi="Calibri" w:cs="Calibri"/>
                <w:color w:val="000000"/>
                <w:vertAlign w:val="superscript"/>
              </w:rPr>
              <w:footnoteReference w:id="80"/>
            </w:r>
            <w:r>
              <w:rPr>
                <w:rFonts w:ascii="Calibri" w:eastAsia="Calibri" w:hAnsi="Calibri" w:cs="Calibri"/>
                <w:color w:val="000000"/>
              </w:rPr>
              <w:t xml:space="preserve"> Timber is also important for material use and firewood. Cashew trees and bee-keeping are important products in the biome that can be cultivated sustainably, with cashew trees increasing vegetation coverage and native vegetation </w:t>
            </w:r>
            <w:r>
              <w:rPr>
                <w:rFonts w:ascii="Calibri" w:eastAsia="Calibri" w:hAnsi="Calibri" w:cs="Calibri"/>
                <w:color w:val="000000"/>
              </w:rPr>
              <w:lastRenderedPageBreak/>
              <w:t>favorable to bee-keeping and honey production practices.</w:t>
            </w:r>
            <w:r>
              <w:rPr>
                <w:rFonts w:ascii="Calibri" w:eastAsia="Calibri" w:hAnsi="Calibri" w:cs="Calibri"/>
                <w:color w:val="000000"/>
                <w:vertAlign w:val="superscript"/>
              </w:rPr>
              <w:footnoteReference w:id="81"/>
            </w:r>
            <w:r>
              <w:rPr>
                <w:rFonts w:ascii="Calibri" w:eastAsia="Calibri" w:hAnsi="Calibri" w:cs="Calibri"/>
                <w:color w:val="000000"/>
              </w:rPr>
              <w:t xml:space="preserve"> In the Caatinga, women are more likely to be the head of farm on smallholder farms than commercial farms. In the Caatinga biome, women’s participation in agricultural production exceeds the average for Brazil. For example, female producers are responsible for 24% of smallholdings in the Caatinga compared to 17% in the Cerrado. However, women-led farms in the region are smaller than those of their male counterparts.</w:t>
            </w:r>
            <w:r>
              <w:rPr>
                <w:rFonts w:ascii="Calibri" w:eastAsia="Calibri" w:hAnsi="Calibri" w:cs="Calibri"/>
                <w:color w:val="000000"/>
                <w:vertAlign w:val="superscript"/>
              </w:rPr>
              <w:footnoteReference w:id="82"/>
            </w:r>
            <w:r>
              <w:rPr>
                <w:rFonts w:ascii="Calibri" w:eastAsia="Calibri" w:hAnsi="Calibri" w:cs="Calibri"/>
                <w:color w:val="000000"/>
              </w:rPr>
              <w:t xml:space="preserve"> A study from WRI found that women in the Caatinga biome also participate in workers’ cooperatives and female farmers used one cooperative to facilitate the construction of a factory for processing locally produced fruit in the town of Pintadas. This factory currently produces pulp from cajá-umbu (</w:t>
            </w:r>
            <w:r>
              <w:rPr>
                <w:rFonts w:ascii="Calibri" w:eastAsia="Calibri" w:hAnsi="Calibri" w:cs="Calibri"/>
                <w:i/>
                <w:color w:val="000000"/>
              </w:rPr>
              <w:t>Spondias spp</w:t>
            </w:r>
            <w:r>
              <w:rPr>
                <w:rFonts w:ascii="Calibri" w:eastAsia="Calibri" w:hAnsi="Calibri" w:cs="Calibri"/>
                <w:color w:val="000000"/>
              </w:rPr>
              <w:t>.), umbu (</w:t>
            </w:r>
            <w:r>
              <w:rPr>
                <w:rFonts w:ascii="Calibri" w:eastAsia="Calibri" w:hAnsi="Calibri" w:cs="Calibri"/>
                <w:i/>
                <w:color w:val="000000"/>
              </w:rPr>
              <w:t>Spondias tuberosa</w:t>
            </w:r>
            <w:r>
              <w:rPr>
                <w:rFonts w:ascii="Calibri" w:eastAsia="Calibri" w:hAnsi="Calibri" w:cs="Calibri"/>
                <w:color w:val="000000"/>
              </w:rPr>
              <w:t>), mango (</w:t>
            </w:r>
            <w:r>
              <w:rPr>
                <w:rFonts w:ascii="Calibri" w:eastAsia="Calibri" w:hAnsi="Calibri" w:cs="Calibri"/>
                <w:i/>
                <w:color w:val="000000"/>
              </w:rPr>
              <w:t>Mangifera indica</w:t>
            </w:r>
            <w:r>
              <w:rPr>
                <w:rFonts w:ascii="Calibri" w:eastAsia="Calibri" w:hAnsi="Calibri" w:cs="Calibri"/>
                <w:color w:val="000000"/>
              </w:rPr>
              <w:t>), guava (</w:t>
            </w:r>
            <w:r>
              <w:rPr>
                <w:rFonts w:ascii="Calibri" w:eastAsia="Calibri" w:hAnsi="Calibri" w:cs="Calibri"/>
                <w:i/>
                <w:color w:val="000000"/>
              </w:rPr>
              <w:t>Psidium guajava</w:t>
            </w:r>
            <w:r>
              <w:rPr>
                <w:rFonts w:ascii="Calibri" w:eastAsia="Calibri" w:hAnsi="Calibri" w:cs="Calibri"/>
                <w:color w:val="000000"/>
              </w:rPr>
              <w:t>), acerola (</w:t>
            </w:r>
            <w:r>
              <w:rPr>
                <w:rFonts w:ascii="Calibri" w:eastAsia="Calibri" w:hAnsi="Calibri" w:cs="Calibri"/>
                <w:i/>
                <w:color w:val="000000"/>
              </w:rPr>
              <w:t>Malpighia glabra</w:t>
            </w:r>
            <w:r>
              <w:rPr>
                <w:rFonts w:ascii="Calibri" w:eastAsia="Calibri" w:hAnsi="Calibri" w:cs="Calibri"/>
                <w:color w:val="000000"/>
              </w:rPr>
              <w:t>) and caatinga passion fruit (</w:t>
            </w:r>
            <w:r>
              <w:rPr>
                <w:rFonts w:ascii="Calibri" w:eastAsia="Calibri" w:hAnsi="Calibri" w:cs="Calibri"/>
                <w:i/>
                <w:color w:val="000000"/>
              </w:rPr>
              <w:t>Passiflora cincinnata</w:t>
            </w:r>
            <w:r>
              <w:rPr>
                <w:rFonts w:ascii="Calibri" w:eastAsia="Calibri" w:hAnsi="Calibri" w:cs="Calibri"/>
                <w:color w:val="000000"/>
              </w:rPr>
              <w:t>). The study concluded that women play a significant role in the development and success of businesses focused on agroecological products. Their involvement can bring unique perspectives and strengths to these enterprises.</w:t>
            </w:r>
            <w:r>
              <w:rPr>
                <w:rFonts w:ascii="Calibri" w:eastAsia="Calibri" w:hAnsi="Calibri" w:cs="Calibri"/>
                <w:color w:val="000000"/>
                <w:vertAlign w:val="superscript"/>
              </w:rPr>
              <w:footnoteReference w:id="83"/>
            </w:r>
          </w:p>
          <w:p w14:paraId="00000084"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Commodity production in the Caatinga is largely focused on soybean, sugarcane, and cattle. Land delineated for these commodities has increased over time, with agricultural land for soybean production the largest, representing 2.58% of all land in the biome in 2020.</w:t>
            </w:r>
            <w:r>
              <w:rPr>
                <w:rFonts w:ascii="Calibri" w:eastAsia="Calibri" w:hAnsi="Calibri" w:cs="Calibri"/>
                <w:color w:val="000000"/>
                <w:vertAlign w:val="superscript"/>
              </w:rPr>
              <w:footnoteReference w:id="84"/>
            </w:r>
          </w:p>
          <w:p w14:paraId="00000085"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Water is the most significant contribution made by the Atlantic Rainforest to people in the biome, with 60% of Brazil’s population dependent on water from the ecosystem.</w:t>
            </w:r>
            <w:r>
              <w:rPr>
                <w:rFonts w:ascii="Calibri" w:eastAsia="Calibri" w:hAnsi="Calibri" w:cs="Calibri"/>
                <w:color w:val="000000"/>
                <w:vertAlign w:val="superscript"/>
              </w:rPr>
              <w:footnoteReference w:id="85"/>
            </w:r>
            <w:r>
              <w:rPr>
                <w:rFonts w:ascii="Calibri" w:eastAsia="Calibri" w:hAnsi="Calibri" w:cs="Calibri"/>
                <w:color w:val="000000"/>
              </w:rPr>
              <w:t xml:space="preserve"> Family farms benefit from fertile soil in the biome when cultivating cassava, beans and rice, whilst dairy and cattle cultivation also contributes to local diets.</w:t>
            </w:r>
            <w:r>
              <w:rPr>
                <w:rFonts w:ascii="Calibri" w:eastAsia="Calibri" w:hAnsi="Calibri" w:cs="Calibri"/>
                <w:color w:val="000000"/>
                <w:vertAlign w:val="superscript"/>
              </w:rPr>
              <w:footnoteReference w:id="86"/>
            </w:r>
            <w:r>
              <w:rPr>
                <w:rFonts w:ascii="Calibri" w:eastAsia="Calibri" w:hAnsi="Calibri" w:cs="Calibri"/>
                <w:color w:val="000000"/>
              </w:rPr>
              <w:t xml:space="preserve"> Non-forest timber products including medicinal plants and honey also benefit men and women in the region.</w:t>
            </w:r>
            <w:r>
              <w:rPr>
                <w:rFonts w:ascii="Calibri" w:eastAsia="Calibri" w:hAnsi="Calibri" w:cs="Calibri"/>
                <w:color w:val="000000"/>
                <w:vertAlign w:val="superscript"/>
              </w:rPr>
              <w:footnoteReference w:id="87"/>
            </w:r>
            <w:r>
              <w:rPr>
                <w:rFonts w:ascii="Calibri" w:eastAsia="Calibri" w:hAnsi="Calibri" w:cs="Calibri"/>
                <w:color w:val="000000"/>
              </w:rPr>
              <w:t xml:space="preserve"> The Atlantic Rainforest has been subject to widespread land conversion for its primary commodities: cattle, soybean, timber, and coffee.</w:t>
            </w:r>
            <w:r>
              <w:rPr>
                <w:rFonts w:ascii="Calibri" w:eastAsia="Calibri" w:hAnsi="Calibri" w:cs="Calibri"/>
                <w:color w:val="000000"/>
                <w:vertAlign w:val="superscript"/>
              </w:rPr>
              <w:footnoteReference w:id="88"/>
            </w:r>
            <w:r>
              <w:rPr>
                <w:rFonts w:ascii="Calibri" w:eastAsia="Calibri" w:hAnsi="Calibri" w:cs="Calibri"/>
                <w:color w:val="000000"/>
              </w:rPr>
              <w:t xml:space="preserve"> Given a long history of natural resource use for commodity production in the biome, the Atlantic Rainforest has been subject to the largest scale of land conversion as a proportion of its land mass, with urban and agricultural expansion still ongoing.</w:t>
            </w:r>
            <w:r>
              <w:rPr>
                <w:rFonts w:ascii="Calibri" w:eastAsia="Calibri" w:hAnsi="Calibri" w:cs="Calibri"/>
                <w:color w:val="000000"/>
                <w:vertAlign w:val="superscript"/>
              </w:rPr>
              <w:footnoteReference w:id="89"/>
            </w:r>
          </w:p>
          <w:p w14:paraId="00000086"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The Pantanal wetlands have been relatively sheltered from agribusiness, with only 16% of its landmass supporting agricultural activity and cattle ranching the most prominent.</w:t>
            </w:r>
            <w:r>
              <w:rPr>
                <w:rFonts w:ascii="Calibri" w:eastAsia="Calibri" w:hAnsi="Calibri" w:cs="Calibri"/>
                <w:color w:val="000000"/>
                <w:vertAlign w:val="superscript"/>
              </w:rPr>
              <w:footnoteReference w:id="90"/>
            </w:r>
            <w:r>
              <w:rPr>
                <w:rFonts w:ascii="Calibri" w:eastAsia="Calibri" w:hAnsi="Calibri" w:cs="Calibri"/>
                <w:color w:val="000000"/>
              </w:rPr>
              <w:t xml:space="preserve"> Other forms of </w:t>
            </w:r>
            <w:r>
              <w:rPr>
                <w:rFonts w:ascii="Calibri" w:eastAsia="Calibri" w:hAnsi="Calibri" w:cs="Calibri"/>
                <w:color w:val="000000"/>
              </w:rPr>
              <w:lastRenderedPageBreak/>
              <w:t>commodity production include sugarcane, soybean, and fishing.</w:t>
            </w:r>
            <w:r>
              <w:rPr>
                <w:rFonts w:ascii="Calibri" w:eastAsia="Calibri" w:hAnsi="Calibri" w:cs="Calibri"/>
                <w:color w:val="000000"/>
                <w:vertAlign w:val="superscript"/>
              </w:rPr>
              <w:footnoteReference w:id="91"/>
            </w:r>
            <w:r>
              <w:rPr>
                <w:rFonts w:ascii="Calibri" w:eastAsia="Calibri" w:hAnsi="Calibri" w:cs="Calibri"/>
                <w:color w:val="000000"/>
              </w:rPr>
              <w:t xml:space="preserve"> The biome is significantly affected by runoff from soy plantations upstream in the Cerrado and Brazilian Amazon.</w:t>
            </w:r>
          </w:p>
          <w:p w14:paraId="00000087"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The wetland habitat of the Pantanal lends itself to fishing and aquaculture, which have been capitalized upon by local communities and indigenous peoples. Naturally, water use, and consumption is another means by which local people interact with the environment in the biome. Cattle ranching is another widespread practice in the region.</w:t>
            </w:r>
            <w:r>
              <w:rPr>
                <w:rFonts w:ascii="Calibri" w:eastAsia="Calibri" w:hAnsi="Calibri" w:cs="Calibri"/>
                <w:color w:val="000000"/>
                <w:vertAlign w:val="superscript"/>
              </w:rPr>
              <w:footnoteReference w:id="92"/>
            </w:r>
            <w:r>
              <w:rPr>
                <w:rFonts w:ascii="Calibri" w:eastAsia="Calibri" w:hAnsi="Calibri" w:cs="Calibri"/>
                <w:color w:val="000000"/>
              </w:rPr>
              <w:t xml:space="preserve"> Other native vegetation, fruit, and forest extractive products such as honey are cultivated sustainably by local people. There is limited information on the gendered use of natural resources in the Pantanal.</w:t>
            </w:r>
          </w:p>
          <w:p w14:paraId="00000088"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Land clearance and conversion for soy plantations is widespread in the Pampas, with the biome characterized by grasslands historically dominated by cattle ranching.</w:t>
            </w:r>
            <w:r>
              <w:rPr>
                <w:rFonts w:ascii="Calibri" w:eastAsia="Calibri" w:hAnsi="Calibri" w:cs="Calibri"/>
                <w:color w:val="000000"/>
                <w:vertAlign w:val="superscript"/>
              </w:rPr>
              <w:footnoteReference w:id="93"/>
            </w:r>
            <w:r>
              <w:rPr>
                <w:rFonts w:ascii="Calibri" w:eastAsia="Calibri" w:hAnsi="Calibri" w:cs="Calibri"/>
                <w:color w:val="000000"/>
              </w:rPr>
              <w:t xml:space="preserve"> Whilst cattle cultivation is still the dominant form of commodity production, other key commodities include soybeans, as noted, and eucalyptus for paper pulp and timber.</w:t>
            </w:r>
            <w:r>
              <w:rPr>
                <w:rFonts w:ascii="Calibri" w:eastAsia="Calibri" w:hAnsi="Calibri" w:cs="Calibri"/>
                <w:color w:val="000000"/>
                <w:vertAlign w:val="superscript"/>
              </w:rPr>
              <w:footnoteReference w:id="94"/>
            </w:r>
          </w:p>
          <w:p w14:paraId="00000089" w14:textId="012C8D00"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Traditional communities in the Brazilian Pampa have utilized native plant species, such as pitanga, jelly palm, araca, and others, in the region for consumption and medicinal purposes historically.</w:t>
            </w:r>
            <w:r>
              <w:rPr>
                <w:rFonts w:ascii="Calibri" w:eastAsia="Calibri" w:hAnsi="Calibri" w:cs="Calibri"/>
                <w:color w:val="000000"/>
                <w:vertAlign w:val="superscript"/>
              </w:rPr>
              <w:footnoteReference w:id="95"/>
            </w:r>
            <w:r>
              <w:rPr>
                <w:rFonts w:ascii="Calibri" w:eastAsia="Calibri" w:hAnsi="Calibri" w:cs="Calibri"/>
                <w:color w:val="000000"/>
              </w:rPr>
              <w:t xml:space="preserve"> Animal husbandry on grassland has also been a significant way by which local communities have benefitted from the environment in the biome. There is limited information on the gendered use of the natural environmental environment in the Brazilian Pampa. In terms of how the use of natural resources might change during project implementation, it will vary according to the project goals. Specific to the goal of “restoring 600,000 hectares inside Protected Areas”, women and men will benefit from the employment possibilities of participating in the process of restoring vegetation inside Protected Areas. This includes all aspects from strategic planning to plantation development. The project aims to impact 150,000 people, with a target of </w:t>
            </w:r>
            <w:sdt>
              <w:sdtPr>
                <w:tag w:val="goog_rdk_27"/>
                <w:id w:val="81186525"/>
              </w:sdtPr>
              <w:sdtContent>
                <w:r>
                  <w:rPr>
                    <w:rFonts w:ascii="Calibri" w:eastAsia="Calibri" w:hAnsi="Calibri" w:cs="Calibri"/>
                    <w:color w:val="000000"/>
                  </w:rPr>
                  <w:t>at least 35% women</w:t>
                </w:r>
              </w:sdtContent>
            </w:sdt>
            <w:sdt>
              <w:sdtPr>
                <w:tag w:val="goog_rdk_28"/>
                <w:id w:val="1424377578"/>
                <w:showingPlcHdr/>
              </w:sdtPr>
              <w:sdtContent>
                <w:r w:rsidR="006E267A">
                  <w:t xml:space="preserve">     </w:t>
                </w:r>
              </w:sdtContent>
            </w:sdt>
            <w:r>
              <w:rPr>
                <w:rFonts w:ascii="Calibri" w:eastAsia="Calibri" w:hAnsi="Calibri" w:cs="Calibri"/>
                <w:color w:val="000000"/>
              </w:rPr>
              <w:t xml:space="preserve">. Hence the employment process, supplier hiring process as well as all engagement with local stakeholders including workshops, seminars, and training sessions will aim to meet these targets. In the long term, local communities and all individuals interested in Protected Areas will have the possibility </w:t>
            </w:r>
            <w:r>
              <w:rPr>
                <w:rFonts w:ascii="Calibri" w:eastAsia="Calibri" w:hAnsi="Calibri" w:cs="Calibri"/>
              </w:rPr>
              <w:t>of</w:t>
            </w:r>
            <w:r>
              <w:rPr>
                <w:rFonts w:ascii="Calibri" w:eastAsia="Calibri" w:hAnsi="Calibri" w:cs="Calibri"/>
                <w:color w:val="000000"/>
              </w:rPr>
              <w:t xml:space="preserve"> </w:t>
            </w:r>
            <w:r>
              <w:rPr>
                <w:rFonts w:ascii="Calibri" w:eastAsia="Calibri" w:hAnsi="Calibri" w:cs="Calibri"/>
              </w:rPr>
              <w:t>benefiting</w:t>
            </w:r>
            <w:r>
              <w:rPr>
                <w:rFonts w:ascii="Calibri" w:eastAsia="Calibri" w:hAnsi="Calibri" w:cs="Calibri"/>
                <w:color w:val="000000"/>
              </w:rPr>
              <w:t xml:space="preserve"> from the restored areas. This includes benefits such as (i) income sources from restoration value chains (i.e. seedling production), (ii) employment possibilities at Instituto Chico Mendes de Conservação da Biodiversidade (ICMBio) or any other institutions interested or involved in managing the long-term conservation of the restored areas, and (iii) ecosystem services to nearby communities (clean water, air quality, pollination, amenity services and others).</w:t>
            </w:r>
          </w:p>
          <w:p w14:paraId="0000008A" w14:textId="51A7556B"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 xml:space="preserve">As for the goal of “landscapes under improved practices in 1,200,000 hectares”, farmers (women and men) will benefit from complying with the Forest Code and consequently enabling them to access new markets (e.g. soy traders with policies to purchase only from farmers that comply with the Brazilian legislation). In addition, farmers who comply with the Forest Code will be able to access financial credit lines. As a result, both men and women will have better income possibilities. The project will target landholding areas owned by women to ensure that the project complies with the </w:t>
            </w:r>
            <w:r>
              <w:rPr>
                <w:rFonts w:ascii="Calibri" w:eastAsia="Calibri" w:hAnsi="Calibri" w:cs="Calibri"/>
                <w:color w:val="000000"/>
              </w:rPr>
              <w:lastRenderedPageBreak/>
              <w:t xml:space="preserve">target of </w:t>
            </w:r>
            <w:sdt>
              <w:sdtPr>
                <w:tag w:val="goog_rdk_29"/>
                <w:id w:val="-861658841"/>
              </w:sdtPr>
              <w:sdtContent>
                <w:r>
                  <w:rPr>
                    <w:rFonts w:ascii="Calibri" w:eastAsia="Calibri" w:hAnsi="Calibri" w:cs="Calibri"/>
                    <w:color w:val="000000"/>
                  </w:rPr>
                  <w:t>35</w:t>
                </w:r>
              </w:sdtContent>
            </w:sdt>
            <w:sdt>
              <w:sdtPr>
                <w:tag w:val="goog_rdk_30"/>
                <w:id w:val="610095021"/>
                <w:showingPlcHdr/>
              </w:sdtPr>
              <w:sdtContent>
                <w:r w:rsidR="006E267A">
                  <w:t xml:space="preserve">     </w:t>
                </w:r>
              </w:sdtContent>
            </w:sdt>
            <w:r>
              <w:rPr>
                <w:rFonts w:ascii="Calibri" w:eastAsia="Calibri" w:hAnsi="Calibri" w:cs="Calibri"/>
                <w:color w:val="000000"/>
              </w:rPr>
              <w:t xml:space="preserve">% women </w:t>
            </w:r>
            <w:sdt>
              <w:sdtPr>
                <w:tag w:val="goog_rdk_31"/>
                <w:id w:val="-414942260"/>
                <w:showingPlcHdr/>
              </w:sdtPr>
              <w:sdtContent>
                <w:r w:rsidR="006E267A">
                  <w:t xml:space="preserve">     </w:t>
                </w:r>
              </w:sdtContent>
            </w:sdt>
            <w:r>
              <w:rPr>
                <w:rFonts w:ascii="Calibri" w:eastAsia="Calibri" w:hAnsi="Calibri" w:cs="Calibri"/>
                <w:color w:val="000000"/>
              </w:rPr>
              <w:t>as described previously. In addition, the project will also generate employment possibilities for women and men working in the restoration supply chain sector. This will be made by generating employment opportunities for both women and men who provide services to farmers requiring restoration activities to comply with the Forest Code. This includes a wide range of services such as seeds and seedling production and sales, transport and logistics, planting, and management. This aligns with the growing role of women in seedling production and other restoration activities such as tree planting, project management, and monitoring.</w:t>
            </w:r>
            <w:r>
              <w:rPr>
                <w:rFonts w:ascii="Calibri" w:eastAsia="Calibri" w:hAnsi="Calibri" w:cs="Calibri"/>
                <w:color w:val="000000"/>
                <w:vertAlign w:val="superscript"/>
              </w:rPr>
              <w:footnoteReference w:id="96"/>
            </w:r>
          </w:p>
          <w:p w14:paraId="0000008B"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ind w:left="420"/>
              <w:jc w:val="both"/>
              <w:rPr>
                <w:rFonts w:ascii="Calibri" w:eastAsia="Calibri" w:hAnsi="Calibri" w:cs="Calibri"/>
                <w:i/>
                <w:color w:val="000000"/>
              </w:rPr>
            </w:pPr>
          </w:p>
          <w:p w14:paraId="0000008C" w14:textId="77777777" w:rsidR="00490D7E" w:rsidRDefault="00707826">
            <w:pPr>
              <w:widowControl w:val="0"/>
              <w:numPr>
                <w:ilvl w:val="0"/>
                <w:numId w:val="5"/>
              </w:numPr>
              <w:pBdr>
                <w:top w:val="nil"/>
                <w:left w:val="nil"/>
                <w:bottom w:val="nil"/>
                <w:right w:val="nil"/>
                <w:between w:val="nil"/>
              </w:pBdr>
              <w:tabs>
                <w:tab w:val="right" w:pos="73"/>
                <w:tab w:val="right" w:pos="1712"/>
                <w:tab w:val="right" w:pos="4160"/>
                <w:tab w:val="right" w:pos="6528"/>
                <w:tab w:val="right" w:pos="9384"/>
              </w:tabs>
              <w:spacing w:line="240" w:lineRule="auto"/>
              <w:ind w:left="420"/>
              <w:jc w:val="both"/>
              <w:rPr>
                <w:rFonts w:ascii="Calibri" w:eastAsia="Calibri" w:hAnsi="Calibri" w:cs="Calibri"/>
                <w:i/>
                <w:color w:val="000000"/>
              </w:rPr>
            </w:pPr>
            <w:r>
              <w:rPr>
                <w:rFonts w:ascii="Calibri" w:eastAsia="Calibri" w:hAnsi="Calibri" w:cs="Calibri"/>
                <w:i/>
                <w:color w:val="000000"/>
              </w:rPr>
              <w:t>How will women and men be impacted (positively or negatively) by project activities including on their livelihoods, workload, control over resources, etc.?</w:t>
            </w:r>
          </w:p>
          <w:p w14:paraId="0000008D"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Restaura Biomas aims to positively impact women’s and men’s current livelihoods, workload, and control over resources. This will be done by ensuring gender inclusion in public policies, restoration networks and financial mechanisms which will impact farmers, cooperatives and other stakeholders directly involved in restoration.</w:t>
            </w:r>
          </w:p>
          <w:p w14:paraId="0000008E" w14:textId="77777777" w:rsidR="00490D7E" w:rsidRDefault="00707826">
            <w:pPr>
              <w:pBdr>
                <w:top w:val="nil"/>
                <w:left w:val="nil"/>
                <w:bottom w:val="nil"/>
                <w:right w:val="nil"/>
                <w:between w:val="nil"/>
              </w:pBdr>
              <w:shd w:val="clear" w:color="auto" w:fill="FFFFFF"/>
              <w:spacing w:before="120" w:line="240" w:lineRule="auto"/>
              <w:ind w:left="425"/>
              <w:jc w:val="both"/>
              <w:rPr>
                <w:rFonts w:ascii="Calibri" w:eastAsia="Calibri" w:hAnsi="Calibri" w:cs="Calibri"/>
                <w:color w:val="000000"/>
              </w:rPr>
            </w:pPr>
            <w:r>
              <w:rPr>
                <w:rFonts w:ascii="Calibri" w:eastAsia="Calibri" w:hAnsi="Calibri" w:cs="Calibri"/>
                <w:color w:val="000000"/>
              </w:rPr>
              <w:t>Women will benefit positively from the development and implementation of public policies through the National Commission for the Recovery of Native Vegetation (CONAVEG), as these policies will incorporate a more inclusive perspective on women's rights and gender equity. The project will support the development of activities within CONAVEG's Action Plan that promote gender equity in these regions, including policies and initiatives specifically aimed at women, such as Payment for Ecosystem Services (PES), access to credit, and professional training programs. With regard to the Environmental Regularization Programs (PRAs) and the Native Vegetation Recovery Program in federal Conservation Units, women will have new opportunities to generate income through greater involvement in seed collection and restoration processes. Although there is currently no specific focus within CONAVEG to prioritize actions that address gender asymmetries, the project aims to influence and establish sustainable initiatives within the CONAVEG member institutions to ensure the continuity of these efforts after the duration of the project.</w:t>
            </w:r>
            <w:r>
              <w:rPr>
                <w:rFonts w:ascii="Calibri" w:eastAsia="Calibri" w:hAnsi="Calibri" w:cs="Calibri"/>
              </w:rPr>
              <w:t xml:space="preserve"> </w:t>
            </w:r>
            <w:r>
              <w:rPr>
                <w:rFonts w:ascii="Calibri" w:eastAsia="Calibri" w:hAnsi="Calibri" w:cs="Calibri"/>
                <w:color w:val="000000"/>
              </w:rPr>
              <w:t xml:space="preserve">In Component 2, rural women will benefit from greater involvement in technical assistance and extension services for rural farmers. This involvement will provide women with the opportunity to acquire technical skills and knowledge about agricultural and managerial aspects of farming. Consequently, women who access these services will be able to increase their productivity and improve the quality of their products, which will result in higher incomes and better living conditions for their families. In addition, the project will establish specific lines of financing and credit, as well as logistical support tailored to women. To ensure that mothers can fully participate in these activities, the project will also provide childcare solutions to keep children safe and well cared for while their mothers take part in the activities promoted by the projectFinally, the project may support access to finance for women, including credit lending mechanisms for rural households. Improved access to finance means women will be more likely to start or expand their own businesses, increasing their economic independence and empowerment within their households and communities. In addition, women in single-parent households will be better able to lift their families out of poverty since they will have greater access to financial credit. </w:t>
            </w:r>
          </w:p>
          <w:p w14:paraId="0000008F"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 xml:space="preserve">Women and men will also benefit from the technical assistance provided by the project for the Recovery Plan for Degraded and Altered Areas implementation (or “Recuperação de Áreas Degradadas ou Alteradas - PRADA). There is a significant gap in women’s technical training, especially in resource management. Restaura Biomas will provide technical assistance that is aligned with the GEF 7 ‘Do Good’ principle in which the technical assistance may be given to project-affected people </w:t>
            </w:r>
            <w:r>
              <w:rPr>
                <w:rFonts w:ascii="Calibri" w:eastAsia="Calibri" w:hAnsi="Calibri" w:cs="Calibri"/>
                <w:color w:val="000000"/>
              </w:rPr>
              <w:lastRenderedPageBreak/>
              <w:t xml:space="preserve">with the aim of enhancing the understanding of the baseline gender dynamics in the early project cycle and will maximize opportunities for gender equality and empowerment. The technical assistance provided by the project and its partners could provide skills and opportunities that allow women and men to participate more in ecosystem restoration. </w:t>
            </w:r>
          </w:p>
          <w:p w14:paraId="00000090"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 xml:space="preserve">Negative impacts from the project could include conflict within or amongst communities if certain groups feel they have less opportunity to participate in project activities. For example, in the home, men may not agree with women’s empowerment and could feel threatened if their female relatives have more financial freedom and opportunities. Similarly, if certain communities are consulted and receive benefits while others do not, this can cause resentment among communities. Restaura Biomas will aim to prevent this issue by ensuring that this risk is considered by all partner organizations and that these partners properly implement stakeholder engagement practices by equally consulting with and advertising opportunities in project site communities. </w:t>
            </w:r>
          </w:p>
          <w:p w14:paraId="00000091"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There is also a risk that the project could exacerbate existing gender disparities by reinforcing pre-existing patriarchal social norms, such as more men being present at community consultations and traditional male-dominated decision-making hierarchies being used to gain approval or input into project plans.</w:t>
            </w:r>
          </w:p>
          <w:p w14:paraId="00000092"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Restaura Biomas will mitigate negative gender-specific impacts by considering gender in all aspects of the project, from project design to implementation. Restaura Biomas will assess prospective partner organizations’, restoration networks’, and smallholders’ capacity to demonstrate that they can ensure gender equality in their activities and ensure that these aspects are maintained and improved throughout the project. If at any point it is found that any of the potential partners, networks, or smallholders engage in practices that discriminate or harm women, they will be excluded.</w:t>
            </w:r>
          </w:p>
          <w:p w14:paraId="00000093"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Women’s participation in rural land management has grown in recent years, however, reforestation nurseries and seed exchanges provide a particularly large employment opportunity to women in rural areas. Women-led nurseries are also more likely to have long-term success even in the face of changing environmental conditions rather than productivity indicators.</w:t>
            </w:r>
            <w:r>
              <w:rPr>
                <w:rFonts w:ascii="Calibri" w:eastAsia="Calibri" w:hAnsi="Calibri" w:cs="Calibri"/>
                <w:color w:val="000000"/>
                <w:vertAlign w:val="superscript"/>
              </w:rPr>
              <w:footnoteReference w:id="97"/>
            </w:r>
            <w:r>
              <w:rPr>
                <w:rFonts w:ascii="Calibri" w:eastAsia="Calibri" w:hAnsi="Calibri" w:cs="Calibri"/>
                <w:color w:val="000000"/>
              </w:rPr>
              <w:t xml:space="preserve"> A study conducted in 2014 demonstrated that support for women’s NTFP MSME groups led to increased incomes for the women in question, empowerment opportunities, and also a reduction in deforestation in the relevant areas.</w:t>
            </w:r>
            <w:r>
              <w:rPr>
                <w:rFonts w:ascii="Calibri" w:eastAsia="Calibri" w:hAnsi="Calibri" w:cs="Calibri"/>
                <w:color w:val="000000"/>
                <w:vertAlign w:val="superscript"/>
              </w:rPr>
              <w:footnoteReference w:id="98"/>
            </w:r>
            <w:r>
              <w:rPr>
                <w:rFonts w:ascii="Calibri" w:eastAsia="Calibri" w:hAnsi="Calibri" w:cs="Calibri"/>
                <w:color w:val="000000"/>
              </w:rPr>
              <w:t xml:space="preserve"> Female-led initiatives such as the Copaíba Environmental Association, associated with the Atlantic Forest Pact, have provided employment opportunities for rural women in nursery, administrative, and management contexts.</w:t>
            </w:r>
            <w:r>
              <w:rPr>
                <w:rFonts w:ascii="Calibri" w:eastAsia="Calibri" w:hAnsi="Calibri" w:cs="Calibri"/>
                <w:color w:val="000000"/>
                <w:vertAlign w:val="superscript"/>
              </w:rPr>
              <w:footnoteReference w:id="99"/>
            </w:r>
            <w:r>
              <w:rPr>
                <w:rFonts w:ascii="Calibri" w:eastAsia="Calibri" w:hAnsi="Calibri" w:cs="Calibri"/>
                <w:color w:val="000000"/>
              </w:rPr>
              <w:t xml:space="preserve"> Women have also benefited from agroforestry initiatives that provide training facilities and restoration workshops to participants.</w:t>
            </w:r>
            <w:r>
              <w:rPr>
                <w:rFonts w:ascii="Calibri" w:eastAsia="Calibri" w:hAnsi="Calibri" w:cs="Calibri"/>
                <w:color w:val="000000"/>
                <w:vertAlign w:val="superscript"/>
              </w:rPr>
              <w:footnoteReference w:id="100"/>
            </w:r>
            <w:r>
              <w:rPr>
                <w:rFonts w:ascii="Calibri" w:eastAsia="Calibri" w:hAnsi="Calibri" w:cs="Calibri"/>
                <w:color w:val="000000"/>
              </w:rPr>
              <w:t xml:space="preserve"> </w:t>
            </w:r>
          </w:p>
          <w:p w14:paraId="00000094" w14:textId="77777777" w:rsidR="00490D7E" w:rsidRDefault="00490D7E">
            <w:pPr>
              <w:pBdr>
                <w:top w:val="nil"/>
                <w:left w:val="nil"/>
                <w:bottom w:val="nil"/>
                <w:right w:val="nil"/>
                <w:between w:val="nil"/>
              </w:pBdr>
              <w:spacing w:line="240" w:lineRule="auto"/>
              <w:ind w:left="420"/>
              <w:rPr>
                <w:rFonts w:ascii="Calibri" w:eastAsia="Calibri" w:hAnsi="Calibri" w:cs="Calibri"/>
                <w:i/>
                <w:color w:val="000000"/>
              </w:rPr>
            </w:pPr>
          </w:p>
          <w:p w14:paraId="00000095" w14:textId="77777777" w:rsidR="00490D7E" w:rsidRDefault="00707826">
            <w:pPr>
              <w:widowControl w:val="0"/>
              <w:numPr>
                <w:ilvl w:val="0"/>
                <w:numId w:val="5"/>
              </w:numPr>
              <w:pBdr>
                <w:top w:val="nil"/>
                <w:left w:val="nil"/>
                <w:bottom w:val="nil"/>
                <w:right w:val="nil"/>
                <w:between w:val="nil"/>
              </w:pBdr>
              <w:tabs>
                <w:tab w:val="right" w:pos="73"/>
                <w:tab w:val="right" w:pos="1712"/>
                <w:tab w:val="right" w:pos="4160"/>
                <w:tab w:val="right" w:pos="6528"/>
                <w:tab w:val="right" w:pos="9384"/>
              </w:tabs>
              <w:spacing w:line="240" w:lineRule="auto"/>
              <w:ind w:left="420"/>
              <w:jc w:val="both"/>
              <w:rPr>
                <w:rFonts w:ascii="Calibri" w:eastAsia="Calibri" w:hAnsi="Calibri" w:cs="Calibri"/>
                <w:i/>
                <w:color w:val="000000"/>
              </w:rPr>
            </w:pPr>
            <w:r>
              <w:rPr>
                <w:rFonts w:ascii="Calibri" w:eastAsia="Calibri" w:hAnsi="Calibri" w:cs="Calibri"/>
                <w:i/>
                <w:color w:val="000000"/>
              </w:rPr>
              <w:t>To what extent do women and men participate in decision-making processes about those natural resources and is that likely to carry over into project decision-making? What are the constraints (social, cultural, economic, political) that restrict women’s active participation in household, community and project-level decision-making processes?</w:t>
            </w:r>
          </w:p>
          <w:p w14:paraId="00000096"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lastRenderedPageBreak/>
              <w:t>As detailed in the gender analysis, there is gender inequality in all of Brazil’s biomes, particularly in decision-making. Men in Brazil hold more power and influence and have higher rates of political representation, which is male-dominated. However, Restaura Biomas will improve women's participation and decision-making power by encouraging gender inclusion at all levels of decision-making.  As mentioned in the gender analysis, women in Brazil have the same legal protections and opportunities but still face discrimination and cultural barriers. One area where this is exemplified is in women’s access to finance. Many women cannot take loans from formal institutions because they do not have their own bank accounts or the skills to navigate the process of applying for and managing credit. Some women cannot take loans or credit because they need their husbands to sign off on it. Thus, many women rely on informal lenders, but informal lenders are less likely to lend to women and informal loans have higher interest rates.</w:t>
            </w:r>
          </w:p>
          <w:p w14:paraId="00000097"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 xml:space="preserve">Because men are more likely to own land in Brazil and are more likely to own larger areas of land than women smallholders, there is a gender gap in natural resource management. Men have more decision-making power in natural resource management because of their increased ownership of these resources. When women are not in decision-making roles, they are more likely to be overburdened with domestic and childcare duties because of the unfair division of labor. </w:t>
            </w:r>
          </w:p>
          <w:p w14:paraId="00000098"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i/>
                <w:color w:val="000000"/>
              </w:rPr>
            </w:pPr>
            <w:r>
              <w:rPr>
                <w:rFonts w:ascii="Calibri" w:eastAsia="Calibri" w:hAnsi="Calibri" w:cs="Calibri"/>
                <w:color w:val="000000"/>
              </w:rPr>
              <w:t>The imbalance described above may carry over into project decision-making if no efforts are put in place to reduce this gender gap. For instance, women are expected to spend more time in domestic activities such as household chores and childcare. This may hinder their ability to attend events and meetings related to the products, services or economic opportunities offered by Restaura Biomas and its partners (i.e. restoration networks and Union for Restoration members). Therefore, Restaura Biomas will aim to support partners that put efforts in place to accommodate everyone. For instance, Restaura Biomas will aim to support restoration networks that include women and give women decision-making power. Additionally, if a difference in decision-making between women and men is identified, efforts will be made to tailor capacity building to address those needs through Component 2.</w:t>
            </w:r>
          </w:p>
          <w:p w14:paraId="00000099" w14:textId="77777777" w:rsidR="00490D7E" w:rsidRDefault="00490D7E">
            <w:pPr>
              <w:pBdr>
                <w:top w:val="nil"/>
                <w:left w:val="nil"/>
                <w:bottom w:val="nil"/>
                <w:right w:val="nil"/>
                <w:between w:val="nil"/>
              </w:pBdr>
              <w:spacing w:line="240" w:lineRule="auto"/>
              <w:ind w:left="420"/>
              <w:rPr>
                <w:rFonts w:ascii="Calibri" w:eastAsia="Calibri" w:hAnsi="Calibri" w:cs="Calibri"/>
                <w:i/>
                <w:color w:val="000000"/>
              </w:rPr>
            </w:pPr>
          </w:p>
          <w:p w14:paraId="0000009A" w14:textId="77777777" w:rsidR="00490D7E" w:rsidRDefault="00707826">
            <w:pPr>
              <w:widowControl w:val="0"/>
              <w:numPr>
                <w:ilvl w:val="0"/>
                <w:numId w:val="5"/>
              </w:numPr>
              <w:pBdr>
                <w:top w:val="nil"/>
                <w:left w:val="nil"/>
                <w:bottom w:val="nil"/>
                <w:right w:val="nil"/>
                <w:between w:val="nil"/>
              </w:pBdr>
              <w:tabs>
                <w:tab w:val="right" w:pos="73"/>
                <w:tab w:val="right" w:pos="1712"/>
                <w:tab w:val="right" w:pos="4160"/>
                <w:tab w:val="right" w:pos="6528"/>
                <w:tab w:val="right" w:pos="9384"/>
              </w:tabs>
              <w:spacing w:line="240" w:lineRule="auto"/>
              <w:ind w:left="420"/>
              <w:jc w:val="both"/>
              <w:rPr>
                <w:rFonts w:ascii="Calibri" w:eastAsia="Calibri" w:hAnsi="Calibri" w:cs="Calibri"/>
                <w:i/>
                <w:color w:val="000000"/>
              </w:rPr>
            </w:pPr>
            <w:r>
              <w:rPr>
                <w:rFonts w:ascii="Calibri" w:eastAsia="Calibri" w:hAnsi="Calibri" w:cs="Calibri"/>
                <w:i/>
                <w:color w:val="000000"/>
              </w:rPr>
              <w:t>Do women and men have equal access to information and opportunities necessary to participate and benefit fully from the activities of the project? How do gender-related barriers/challenges potentially limit women’s ability to fully participate, make decisions and benefit from the project? How will the project overcome them?</w:t>
            </w:r>
          </w:p>
          <w:p w14:paraId="0000009B"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 xml:space="preserve">Attitudes that disadvantage women are reinforced at an early age with traditional concepts of masculinity and femininity deeply rooted in Latin American culture, especially in rural areas. These attitudes can be seen in domestic and labor settings where women are expected to do almost all household chores whilst men usually work outside the home. Because women in rural areas tend to spend most of their time in the home completing domestic duties and caring for children, they are less likely to have access to information about the opportunities for involvement in ecosystem restoration and economic incentives Restaura Biomas will offer. Women have fewer chances to hear or see information about the project and its partners advertised in public and instead rely on word of mouth. Women may be able to access information online, but internet connectivity is unreliable in parts of Brazil, particularly the rural areas that the project will prioritize. In Brazil, the Amazon biome is the most isolated. This isolation includes access to information and communication technology (ICT) (i.e., internet and cellular phone service). Data from PNAD-Continua (the annual Brazilian National Household Sample Survey) show that only a fourth of residents in rural areas of the Brazilian Amazon have access to 3G or 4G mobile internet. This is ten percentage points less than what has been seen </w:t>
            </w:r>
            <w:r>
              <w:rPr>
                <w:rFonts w:ascii="Calibri" w:eastAsia="Calibri" w:hAnsi="Calibri" w:cs="Calibri"/>
                <w:color w:val="000000"/>
              </w:rPr>
              <w:lastRenderedPageBreak/>
              <w:t>in the rest of the country. Only 45% of Brazilians in Amazonia have access to broadband internet.</w:t>
            </w:r>
            <w:r>
              <w:rPr>
                <w:rFonts w:ascii="Calibri" w:eastAsia="Calibri" w:hAnsi="Calibri" w:cs="Calibri"/>
                <w:color w:val="000000"/>
                <w:vertAlign w:val="superscript"/>
              </w:rPr>
              <w:footnoteReference w:id="101"/>
            </w:r>
            <w:r>
              <w:rPr>
                <w:rFonts w:ascii="Calibri" w:eastAsia="Calibri" w:hAnsi="Calibri" w:cs="Calibri"/>
                <w:color w:val="000000"/>
              </w:rPr>
              <w:t xml:space="preserve"> Women may also be relatively isolated due to the remoteness of large parts of the Amazon and rural parts of the other five biomes, so they have less contact between communities. Information on internet connectivity and access to the internet in other biomes is not readily available. </w:t>
            </w:r>
          </w:p>
          <w:p w14:paraId="0000009C"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An empirical study on access to digital healthcare and telehealth services found that the IGBE Northern region, which corresponds with the Amazonia biome, had the lowest percentage of internet users of the sampled population relative to other biomes at 73%.</w:t>
            </w:r>
            <w:r>
              <w:rPr>
                <w:rFonts w:ascii="Calibri" w:eastAsia="Calibri" w:hAnsi="Calibri" w:cs="Calibri"/>
                <w:color w:val="000000"/>
                <w:vertAlign w:val="superscript"/>
              </w:rPr>
              <w:footnoteReference w:id="102"/>
            </w:r>
            <w:r>
              <w:rPr>
                <w:rFonts w:ascii="Calibri" w:eastAsia="Calibri" w:hAnsi="Calibri" w:cs="Calibri"/>
                <w:color w:val="000000"/>
              </w:rPr>
              <w:t xml:space="preserve"> The Northeastern region (Caatinga and parts of the Cerrado and Atlantic Forest) saw 75% internet usage, the Central west region (Pantanal and parts of the Cerrado) 88%, the Southeastern region (Atlantic Forest and Cerrado) 88% and the South (Pampa and Atlantic Forest) 87%. The study also found that women were more likely to be internet users than men, with 87% of all women in the sample using the internet relative to 73% of all men. Expectedly, urban internet usage (88%) was found to be far higher than internet usage in rural areas (53%). </w:t>
            </w:r>
          </w:p>
          <w:p w14:paraId="0000009D"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Despite gendered internet usage differing, a 2019 study found that the proportion of mobile phone ownership was largely similar amongst men (84%) and women (85%) in Brazil, with the gender gap not expanding significantly in rural areas either.</w:t>
            </w:r>
            <w:r>
              <w:rPr>
                <w:rFonts w:ascii="Calibri" w:eastAsia="Calibri" w:hAnsi="Calibri" w:cs="Calibri"/>
                <w:color w:val="000000"/>
                <w:vertAlign w:val="superscript"/>
              </w:rPr>
              <w:footnoteReference w:id="103"/>
            </w:r>
            <w:r>
              <w:rPr>
                <w:rFonts w:ascii="Calibri" w:eastAsia="Calibri" w:hAnsi="Calibri" w:cs="Calibri"/>
                <w:color w:val="000000"/>
              </w:rPr>
              <w:t xml:space="preserve"> The largest barriers to mobile phone ownership in the country for both men and women are the costs of purchase and a lack of knowledge on how to use the device. Mobile ownership in Brazil is not strongly correlated with respondents’ feeling safer, a deviation from the international trend and a reflection of mobile-related safety concerns in the region.</w:t>
            </w:r>
            <w:r>
              <w:rPr>
                <w:rFonts w:ascii="Calibri" w:eastAsia="Calibri" w:hAnsi="Calibri" w:cs="Calibri"/>
                <w:color w:val="000000"/>
                <w:vertAlign w:val="superscript"/>
              </w:rPr>
              <w:footnoteReference w:id="104"/>
            </w:r>
          </w:p>
          <w:p w14:paraId="0000009E"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Digitalization and technology empower women in rural areas and enable female leadership. In Amazonia, access to technology has allowed female-led agri-businesses to monitor weather, aid in administrative tasks, and improve communication both with external markets and more generally.</w:t>
            </w:r>
            <w:r>
              <w:rPr>
                <w:rFonts w:ascii="Calibri" w:eastAsia="Calibri" w:hAnsi="Calibri" w:cs="Calibri"/>
                <w:color w:val="000000"/>
                <w:vertAlign w:val="superscript"/>
              </w:rPr>
              <w:footnoteReference w:id="105"/>
            </w:r>
            <w:r>
              <w:rPr>
                <w:rFonts w:ascii="Calibri" w:eastAsia="Calibri" w:hAnsi="Calibri" w:cs="Calibri"/>
                <w:color w:val="000000"/>
              </w:rPr>
              <w:t xml:space="preserve"> Whilst digital literacy may be an obstacle to the uptake of technology in rural areas, training schemes and education are increasingly being promoted to address this. These include training programs through the Amazon Fund in Amazonia</w:t>
            </w:r>
            <w:r>
              <w:rPr>
                <w:rFonts w:ascii="Calibri" w:eastAsia="Calibri" w:hAnsi="Calibri" w:cs="Calibri"/>
                <w:color w:val="000000"/>
                <w:vertAlign w:val="superscript"/>
              </w:rPr>
              <w:footnoteReference w:id="106"/>
            </w:r>
            <w:r>
              <w:rPr>
                <w:rFonts w:ascii="Calibri" w:eastAsia="Calibri" w:hAnsi="Calibri" w:cs="Calibri"/>
                <w:color w:val="000000"/>
              </w:rPr>
              <w:t xml:space="preserve"> but are also available in other biomes, such as the ‘Digital Girls in the Cerrado’ project.</w:t>
            </w:r>
            <w:r>
              <w:rPr>
                <w:rFonts w:ascii="Calibri" w:eastAsia="Calibri" w:hAnsi="Calibri" w:cs="Calibri"/>
                <w:color w:val="000000"/>
                <w:vertAlign w:val="superscript"/>
              </w:rPr>
              <w:footnoteReference w:id="107"/>
            </w:r>
          </w:p>
          <w:p w14:paraId="0000009F"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Extension programs, such as Projeto Transformar in the state of Minas Gerais (Atlantic Forest and Cerrado biomes), have typically seen low rates of female participation, particularly amongst youth.</w:t>
            </w:r>
            <w:r>
              <w:rPr>
                <w:rFonts w:ascii="Calibri" w:eastAsia="Calibri" w:hAnsi="Calibri" w:cs="Calibri"/>
                <w:color w:val="000000"/>
                <w:vertAlign w:val="superscript"/>
              </w:rPr>
              <w:footnoteReference w:id="108"/>
            </w:r>
            <w:r>
              <w:rPr>
                <w:rFonts w:ascii="Calibri" w:eastAsia="Calibri" w:hAnsi="Calibri" w:cs="Calibri"/>
                <w:color w:val="000000"/>
              </w:rPr>
              <w:t xml:space="preserve"> Furthermore, research in Western Paraná State (Atlantic Forest), found that women tend to lack </w:t>
            </w:r>
            <w:r>
              <w:rPr>
                <w:rFonts w:ascii="Calibri" w:eastAsia="Calibri" w:hAnsi="Calibri" w:cs="Calibri"/>
                <w:color w:val="000000"/>
              </w:rPr>
              <w:lastRenderedPageBreak/>
              <w:t>direct connections with extension agents and credit providers as they are typically viewed as ‘helpers’ in agricultural work rather than full participants.</w:t>
            </w:r>
            <w:r>
              <w:rPr>
                <w:rFonts w:ascii="Calibri" w:eastAsia="Calibri" w:hAnsi="Calibri" w:cs="Calibri"/>
                <w:color w:val="000000"/>
                <w:vertAlign w:val="superscript"/>
              </w:rPr>
              <w:footnoteReference w:id="109"/>
            </w:r>
          </w:p>
          <w:p w14:paraId="000000A0"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Additionally, cultural barriers discourage women from participating in the economic incentives that Restaura Biomas will offer. Women have the same legal protections and rights as men, including being able to open a bank account, own land, and get access to credit, however, they have lower rates of participation in these freedoms than men. For example, women in Brazil own bank accounts at lower rates than men as noted in the gender analysis section. Women also tend to rely on informal loans because of discrimination or a lack of skills and knowledge to navigate the process of obtaining formal loans. However, informal loans have higher interest rates.</w:t>
            </w:r>
            <w:r>
              <w:rPr>
                <w:rFonts w:ascii="Calibri" w:eastAsia="Calibri" w:hAnsi="Calibri" w:cs="Calibri"/>
                <w:color w:val="000000"/>
                <w:vertAlign w:val="superscript"/>
              </w:rPr>
              <w:footnoteReference w:id="110"/>
            </w:r>
            <w:r>
              <w:rPr>
                <w:rFonts w:ascii="Calibri" w:eastAsia="Calibri" w:hAnsi="Calibri" w:cs="Calibri"/>
                <w:color w:val="000000"/>
              </w:rPr>
              <w:t xml:space="preserve"> </w:t>
            </w:r>
          </w:p>
          <w:p w14:paraId="000000A1"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Women also face greater barriers to accessing land. Men in rural areas are much more likely to be landowners with ownership certificates than women. There is limited data disaggregated by gender, but men are usually the registered landowners, especially on family farms. Because women are less likely to have land registered in their name, they have less decision-making power over their land which can hinder their ability to take part in restoration or sustainable agriculture practices that Restaura Biomas will promote and incentivize.</w:t>
            </w:r>
          </w:p>
          <w:p w14:paraId="000000A2"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 xml:space="preserve">Restaura Biomas aims to tackle the aforementioned issues by setting a specific gender target. This target entails benefiting 49% women out of the total 200,000 beneficiaries across all components of the project: Component 1 (Policy Coherence), Component 2 (Restoration Supply Chain), and Component 3 (Financial Mechanisms).  In addition, the project will assess partners’ capacities to overcome these gender barriers, for instance by advertising opportunities with ample time for women to hear about the opportunities offered by restoration networks. Where possible, Restaura Biomas plans to support restoration networks that are inclusive of women in their processes and decision-making. </w:t>
            </w:r>
          </w:p>
          <w:p w14:paraId="000000A3"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 xml:space="preserve">Restaura Biomas also plans to support smallholder farmers to adopt sustainable agricultural practices. In cases where farms/plantations are family-owned, Restaura Biomas and/or its partners will ensure both spouses are given the opportunity to be consulted and included in decision-making. As </w:t>
            </w:r>
            <w:r>
              <w:rPr>
                <w:rFonts w:ascii="Calibri" w:eastAsia="Calibri" w:hAnsi="Calibri" w:cs="Calibri"/>
              </w:rPr>
              <w:t>a</w:t>
            </w:r>
            <w:r>
              <w:rPr>
                <w:rFonts w:ascii="Calibri" w:eastAsia="Calibri" w:hAnsi="Calibri" w:cs="Calibri"/>
                <w:color w:val="000000"/>
              </w:rPr>
              <w:t xml:space="preserve"> result, women will </w:t>
            </w:r>
            <w:r>
              <w:rPr>
                <w:rFonts w:ascii="Calibri" w:eastAsia="Calibri" w:hAnsi="Calibri" w:cs="Calibri"/>
              </w:rPr>
              <w:t>have a higher</w:t>
            </w:r>
            <w:r>
              <w:rPr>
                <w:rFonts w:ascii="Calibri" w:eastAsia="Calibri" w:hAnsi="Calibri" w:cs="Calibri"/>
                <w:color w:val="000000"/>
              </w:rPr>
              <w:t xml:space="preserve"> chance of participating in the construction of public policies, more employment opportunities in the restoration supply chain as well.  </w:t>
            </w:r>
          </w:p>
          <w:p w14:paraId="000000A4" w14:textId="77777777" w:rsidR="00490D7E" w:rsidRDefault="00490D7E">
            <w:pPr>
              <w:pBdr>
                <w:top w:val="nil"/>
                <w:left w:val="nil"/>
                <w:bottom w:val="nil"/>
                <w:right w:val="nil"/>
                <w:between w:val="nil"/>
              </w:pBdr>
              <w:spacing w:line="240" w:lineRule="auto"/>
              <w:ind w:left="420"/>
              <w:rPr>
                <w:rFonts w:ascii="Calibri" w:eastAsia="Calibri" w:hAnsi="Calibri" w:cs="Calibri"/>
                <w:i/>
                <w:color w:val="000000"/>
              </w:rPr>
            </w:pPr>
          </w:p>
          <w:p w14:paraId="000000A5" w14:textId="77777777" w:rsidR="00490D7E" w:rsidRDefault="00707826">
            <w:pPr>
              <w:widowControl w:val="0"/>
              <w:numPr>
                <w:ilvl w:val="0"/>
                <w:numId w:val="5"/>
              </w:numPr>
              <w:pBdr>
                <w:top w:val="nil"/>
                <w:left w:val="nil"/>
                <w:bottom w:val="nil"/>
                <w:right w:val="nil"/>
                <w:between w:val="nil"/>
              </w:pBdr>
              <w:tabs>
                <w:tab w:val="right" w:pos="73"/>
                <w:tab w:val="right" w:pos="1712"/>
                <w:tab w:val="right" w:pos="4160"/>
                <w:tab w:val="right" w:pos="6528"/>
                <w:tab w:val="right" w:pos="9384"/>
              </w:tabs>
              <w:spacing w:line="240" w:lineRule="auto"/>
              <w:ind w:left="420"/>
              <w:jc w:val="both"/>
              <w:rPr>
                <w:rFonts w:ascii="Calibri" w:eastAsia="Calibri" w:hAnsi="Calibri" w:cs="Calibri"/>
                <w:i/>
                <w:color w:val="000000"/>
              </w:rPr>
            </w:pPr>
            <w:r>
              <w:rPr>
                <w:rFonts w:ascii="Calibri" w:eastAsia="Calibri" w:hAnsi="Calibri" w:cs="Calibri"/>
                <w:i/>
                <w:color w:val="000000"/>
              </w:rPr>
              <w:t>What are the different interests, needs and priorities of men and women within the project context? How will the project be able to address their respective needs and priorities?</w:t>
            </w:r>
          </w:p>
          <w:p w14:paraId="000000A6"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 xml:space="preserve">The interests, needs, and priorities of women and men differ because of the differences in social norms and gender equality within the project biomes. These will be approached on a case-by-case basis. As noted in the previous section, women in Brazil have the same legal protections as men but they have much lower rates of political representation and are often limited to domestic work because this is considered ‘women’s work’. Furthermore, gender stereotypes discourage women from ownership of bank accounts, equipment, and land which can make it difficult for female-led/-owned agricultural smallholders to get started. Women also have less time and ability to attend public events because of their domestic and childcare responsibilities as well as a lack of confidence to attend male-dominated meetings. The geographic isolation in most of the project priority areas compounds this issue. </w:t>
            </w:r>
          </w:p>
          <w:p w14:paraId="000000A7"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lastRenderedPageBreak/>
              <w:t>Restaura Biomas will work to reduce these barriers by ensuring project activities are gender-sensitive. The project will target restoration networks that include women in all aspects of the network’s processes and decision-making. In addition, to reinforce the project’s positive impact on women, Restaura Biomas aims to improve best practices for restoration networks and smallholders. Best practices should include business/network models that include women in decision-making processes, business/network models that increase women’s participation in sustainable agriculture and restoration, gender-inclusive practices within the company or network, and by targeting women that have land ownership titling in order to help environmental compliance for accessing new markets and to financial products (credit lines, private sector investments, and other financial mechanisms)</w:t>
            </w:r>
          </w:p>
          <w:p w14:paraId="000000A8"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 xml:space="preserve">The restoration networks that Restaura Biomas will support should have a general commitment against discrimination based on gender in the loan agreements and/or Memorandums or Understanding. These requirements will be reflected in the Environmental and Social Action Plan (ESAP) tailored to each network where relevant. </w:t>
            </w:r>
          </w:p>
          <w:p w14:paraId="000000A9"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Some restoration networks, such as the Atlantic Forest Restoration Pact (PACT), have already adopted measures to make their strategy gender-responsive. For example, PACT created the Gender Inclusion Working Group which aimed to make the coalition gender-responsive through capacity building, communication, and political incidence. The working group built capacity by producing a booklet on gender perspectives as well as a blog to raise awareness amongst coalition members and external stakeholders of their gender-sensitive approach. The working group also participated in multiple policy forums and influenced adopting the first gender-responsive approach in a major Brazilian policy, the National Biodiversity Strategy and Action Plan. PACT has continued to include gender-responsive measures in its activities and now has a woman as the national coordinator. Restaura Biomas can learn from the success of PACT in creating a gender-responsive strategy by raising awareness for the importance of gender inclusion in restoration and building capacity for women through communications, policy influence, and giving women decision-making roles.</w:t>
            </w:r>
          </w:p>
          <w:p w14:paraId="000000AA"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 xml:space="preserve">Another issue is a reporting bias amongst farms. When a family farm is involved in the production of crops sold to a cooperative, husbands tend to be registered members of the cooperative. This creates a reporting bias in which ownership of farms is male-dominated and the role of women is erased. This reporting bias can be corrected to some extent, through engagement with the engaged cooperative or smallholder, however, we anticipate that the proportion of women reported may be low at the beginning. To the extent possible, Restaura Biomas will try to identify any gender bias leading to a misrepresentation of women and consider the actual impact of a company on women (considering other elements than the number of women beneficiaries, depending on the context) to inform investment decisions. </w:t>
            </w:r>
          </w:p>
          <w:p w14:paraId="000000AB"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ind w:left="420"/>
              <w:jc w:val="both"/>
              <w:rPr>
                <w:rFonts w:ascii="Calibri" w:eastAsia="Calibri" w:hAnsi="Calibri" w:cs="Calibri"/>
                <w:i/>
                <w:color w:val="000000"/>
              </w:rPr>
            </w:pPr>
          </w:p>
          <w:p w14:paraId="000000AC" w14:textId="77777777" w:rsidR="00490D7E" w:rsidRDefault="00707826">
            <w:pPr>
              <w:widowControl w:val="0"/>
              <w:numPr>
                <w:ilvl w:val="0"/>
                <w:numId w:val="5"/>
              </w:numPr>
              <w:pBdr>
                <w:top w:val="nil"/>
                <w:left w:val="nil"/>
                <w:bottom w:val="nil"/>
                <w:right w:val="nil"/>
                <w:between w:val="nil"/>
              </w:pBdr>
              <w:tabs>
                <w:tab w:val="right" w:pos="73"/>
                <w:tab w:val="right" w:pos="1712"/>
                <w:tab w:val="right" w:pos="4160"/>
                <w:tab w:val="right" w:pos="6528"/>
                <w:tab w:val="right" w:pos="9384"/>
              </w:tabs>
              <w:spacing w:line="240" w:lineRule="auto"/>
              <w:ind w:left="420"/>
              <w:jc w:val="both"/>
              <w:rPr>
                <w:rFonts w:ascii="Calibri" w:eastAsia="Calibri" w:hAnsi="Calibri" w:cs="Calibri"/>
                <w:i/>
                <w:color w:val="000000"/>
              </w:rPr>
            </w:pPr>
            <w:r>
              <w:rPr>
                <w:rFonts w:ascii="Calibri" w:eastAsia="Calibri" w:hAnsi="Calibri" w:cs="Calibri"/>
                <w:i/>
                <w:color w:val="000000"/>
              </w:rPr>
              <w:t>How might project activities create new opportunities (economic, leadership, etc.) for women?</w:t>
            </w:r>
          </w:p>
          <w:p w14:paraId="000000AD" w14:textId="77777777" w:rsidR="00490D7E" w:rsidRDefault="00707826">
            <w:pPr>
              <w:pBdr>
                <w:top w:val="nil"/>
                <w:left w:val="nil"/>
                <w:bottom w:val="nil"/>
                <w:right w:val="nil"/>
                <w:between w:val="nil"/>
              </w:pBdr>
              <w:shd w:val="clear" w:color="auto" w:fill="FFFFFF"/>
              <w:spacing w:before="120" w:line="240" w:lineRule="auto"/>
              <w:ind w:left="425"/>
              <w:jc w:val="both"/>
              <w:rPr>
                <w:rFonts w:ascii="Calibri" w:eastAsia="Calibri" w:hAnsi="Calibri" w:cs="Calibri"/>
                <w:color w:val="000000"/>
              </w:rPr>
            </w:pPr>
            <w:r>
              <w:rPr>
                <w:rFonts w:ascii="Calibri" w:eastAsia="Calibri" w:hAnsi="Calibri" w:cs="Calibri"/>
                <w:color w:val="000000"/>
              </w:rPr>
              <w:t xml:space="preserve">The project activities will increase the participation of women in public policies and </w:t>
            </w:r>
            <w:r>
              <w:rPr>
                <w:rFonts w:ascii="Calibri" w:eastAsia="Calibri" w:hAnsi="Calibri" w:cs="Calibri"/>
                <w:color w:val="24292F"/>
              </w:rPr>
              <w:t>consequently</w:t>
            </w:r>
            <w:r>
              <w:rPr>
                <w:rFonts w:ascii="Calibri" w:eastAsia="Calibri" w:hAnsi="Calibri" w:cs="Calibri"/>
                <w:color w:val="000000"/>
              </w:rPr>
              <w:t xml:space="preserve"> enabling the inclusion of gender aspects in technical assistance and rural extension services, and possibly facilitating access to financial credit lines for women. As for the component 2 (restoration supply chains), the project will generate employment opportunities for women working with seeds and seedling production and sales, transport and logistics, planting and post-planting management. finally, within the Component 3 (Financial mechanisms), the project is likely to facilitate the access by women famers (who own land titling) to financial products such as carbon projects, payment for ecosystem services and direct investments from the private sector in farms under improved practices.  </w:t>
            </w:r>
          </w:p>
          <w:p w14:paraId="000000AE" w14:textId="77777777" w:rsidR="00490D7E" w:rsidRDefault="00707826">
            <w:pPr>
              <w:pBdr>
                <w:top w:val="nil"/>
                <w:left w:val="nil"/>
                <w:bottom w:val="nil"/>
                <w:right w:val="nil"/>
                <w:between w:val="nil"/>
              </w:pBdr>
              <w:shd w:val="clear" w:color="auto" w:fill="FFFFFF"/>
              <w:spacing w:before="120" w:line="240" w:lineRule="auto"/>
              <w:ind w:left="425"/>
              <w:jc w:val="both"/>
              <w:rPr>
                <w:rFonts w:ascii="Calibri" w:eastAsia="Calibri" w:hAnsi="Calibri" w:cs="Calibri"/>
                <w:color w:val="000000"/>
              </w:rPr>
            </w:pPr>
            <w:r>
              <w:rPr>
                <w:rFonts w:ascii="Calibri" w:eastAsia="Calibri" w:hAnsi="Calibri" w:cs="Calibri"/>
                <w:color w:val="000000"/>
              </w:rPr>
              <w:lastRenderedPageBreak/>
              <w:t xml:space="preserve">As the result, the </w:t>
            </w:r>
            <w:r>
              <w:rPr>
                <w:rFonts w:ascii="Calibri" w:eastAsia="Calibri" w:hAnsi="Calibri" w:cs="Calibri"/>
                <w:color w:val="24292F"/>
              </w:rPr>
              <w:t>Restaura Biomas</w:t>
            </w:r>
            <w:r>
              <w:rPr>
                <w:rFonts w:ascii="Calibri" w:eastAsia="Calibri" w:hAnsi="Calibri" w:cs="Calibri"/>
                <w:color w:val="000000"/>
              </w:rPr>
              <w:t xml:space="preserve"> will lead to greater gender equality and economic empowerment by including women in decision-making processes and providing them with access to resources. Consequently, the project will help women to increase their income, ensure food security to households and contribute to the economic development of rural areas.</w:t>
            </w:r>
          </w:p>
          <w:p w14:paraId="000000AF"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i/>
                <w:color w:val="000000"/>
              </w:rPr>
            </w:pPr>
            <w:r>
              <w:rPr>
                <w:rFonts w:ascii="Calibri" w:eastAsia="Calibri" w:hAnsi="Calibri" w:cs="Calibri"/>
                <w:color w:val="000000"/>
              </w:rPr>
              <w:t>The project will align with the GEF 7 ‘Do Good’ principle in which all project activities aim to maximize opportunities for enhanced gender equality and empowerment.</w:t>
            </w:r>
            <w:r>
              <w:rPr>
                <w:rFonts w:ascii="Calibri" w:eastAsia="Calibri" w:hAnsi="Calibri" w:cs="Calibri"/>
                <w:color w:val="000000"/>
                <w:vertAlign w:val="superscript"/>
              </w:rPr>
              <w:footnoteReference w:id="111"/>
            </w:r>
          </w:p>
          <w:p w14:paraId="000000B0"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ind w:left="420"/>
              <w:jc w:val="both"/>
              <w:rPr>
                <w:rFonts w:ascii="Calibri" w:eastAsia="Calibri" w:hAnsi="Calibri" w:cs="Calibri"/>
                <w:i/>
                <w:color w:val="000000"/>
              </w:rPr>
            </w:pPr>
          </w:p>
          <w:p w14:paraId="000000B1" w14:textId="77777777" w:rsidR="00490D7E" w:rsidRDefault="00707826">
            <w:pPr>
              <w:widowControl w:val="0"/>
              <w:numPr>
                <w:ilvl w:val="0"/>
                <w:numId w:val="5"/>
              </w:numPr>
              <w:pBdr>
                <w:top w:val="nil"/>
                <w:left w:val="nil"/>
                <w:bottom w:val="nil"/>
                <w:right w:val="nil"/>
                <w:between w:val="nil"/>
              </w:pBdr>
              <w:tabs>
                <w:tab w:val="right" w:pos="73"/>
                <w:tab w:val="right" w:pos="1712"/>
                <w:tab w:val="right" w:pos="4160"/>
                <w:tab w:val="right" w:pos="6528"/>
                <w:tab w:val="right" w:pos="9384"/>
              </w:tabs>
              <w:spacing w:line="240" w:lineRule="auto"/>
              <w:ind w:left="420"/>
              <w:jc w:val="both"/>
              <w:rPr>
                <w:rFonts w:ascii="Calibri" w:eastAsia="Calibri" w:hAnsi="Calibri" w:cs="Calibri"/>
                <w:i/>
                <w:color w:val="000000"/>
              </w:rPr>
            </w:pPr>
            <w:r>
              <w:rPr>
                <w:rFonts w:ascii="Calibri" w:eastAsia="Calibri" w:hAnsi="Calibri" w:cs="Calibri"/>
                <w:i/>
                <w:color w:val="000000"/>
              </w:rPr>
              <w:t>Is there a possibility that project activities may perpetuate/increase inequalities, including gender-based violence? (why or why not)</w:t>
            </w:r>
          </w:p>
          <w:p w14:paraId="000000B2"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 xml:space="preserve">Restaura Biomas’s activities are not expected to exacerbate inequalities due to the implementation of gender inclusion policies as well as other safeguard mechanisms. </w:t>
            </w:r>
          </w:p>
          <w:p w14:paraId="000000B3" w14:textId="77777777" w:rsidR="00490D7E" w:rsidRDefault="00707826">
            <w:pPr>
              <w:pBdr>
                <w:top w:val="nil"/>
                <w:left w:val="nil"/>
                <w:bottom w:val="nil"/>
                <w:right w:val="nil"/>
                <w:between w:val="nil"/>
              </w:pBdr>
              <w:shd w:val="clear" w:color="auto" w:fill="FFFFFF"/>
              <w:spacing w:before="120"/>
              <w:ind w:left="420"/>
              <w:jc w:val="both"/>
              <w:rPr>
                <w:rFonts w:ascii="Calibri" w:eastAsia="Calibri" w:hAnsi="Calibri" w:cs="Calibri"/>
                <w:color w:val="000000"/>
              </w:rPr>
            </w:pPr>
            <w:r>
              <w:rPr>
                <w:rFonts w:ascii="Calibri" w:eastAsia="Calibri" w:hAnsi="Calibri" w:cs="Calibri"/>
                <w:color w:val="000000"/>
              </w:rPr>
              <w:t xml:space="preserve">However, there is a chance that increased opportunities for women from the project could lead to gender-based violence (GBV). It is possible that men may not respond well to the increased opportunities for women in certain circumstances. Gender-based violence could occur if men do not agree with the women’s empowerment opportunities provided by Restaura Biomas. Men could feel threatened if their female relatives have increased financial freedom and opportunities and may resort to violence against these women. Similarly, men could feel that they have fewer employment and financial opportunities if women receive technical assistance and/or opportunities in restoration and they do not.  </w:t>
            </w:r>
          </w:p>
          <w:p w14:paraId="000000B4" w14:textId="77777777" w:rsidR="00490D7E" w:rsidRDefault="00707826">
            <w:pPr>
              <w:pBdr>
                <w:top w:val="nil"/>
                <w:left w:val="nil"/>
                <w:bottom w:val="nil"/>
                <w:right w:val="nil"/>
                <w:between w:val="nil"/>
              </w:pBdr>
              <w:shd w:val="clear" w:color="auto" w:fill="FFFFFF"/>
              <w:spacing w:before="120"/>
              <w:ind w:left="420"/>
              <w:jc w:val="both"/>
              <w:rPr>
                <w:rFonts w:ascii="Calibri" w:eastAsia="Calibri" w:hAnsi="Calibri" w:cs="Calibri"/>
                <w:color w:val="000000"/>
              </w:rPr>
            </w:pPr>
            <w:r>
              <w:rPr>
                <w:rFonts w:ascii="Calibri" w:eastAsia="Calibri" w:hAnsi="Calibri" w:cs="Calibri"/>
                <w:color w:val="000000"/>
              </w:rPr>
              <w:t>However, with a comprehensive and gender-sensitive approach, Restaura Biomas could play a positive role in promoting gender equality and reducing gender-based violence. For example, by supporting women-led restoration initiatives, NTFP businesses, and seedling suppliers, the project could provide women with the resources and opportunities they need to start and grow their own businesses and initiatives, which in turn could help to improve their economic empowerment and reduce their vulnerability to violence. Risk mitigation can include measures such as monitoring women involved in restoration chains and direct restoration activities for signs of GBV and informing them of available resources if they are experiencing GBV. Additionally, all Restaura Biomas technical assistance and finance opportunities will be equally advertised and accessible to both genders.</w:t>
            </w:r>
          </w:p>
          <w:p w14:paraId="000000B5" w14:textId="77777777" w:rsidR="00490D7E" w:rsidRDefault="00707826">
            <w:pPr>
              <w:numPr>
                <w:ilvl w:val="0"/>
                <w:numId w:val="5"/>
              </w:numPr>
              <w:pBdr>
                <w:top w:val="nil"/>
                <w:left w:val="nil"/>
                <w:bottom w:val="nil"/>
                <w:right w:val="nil"/>
                <w:between w:val="nil"/>
              </w:pBdr>
              <w:spacing w:line="240" w:lineRule="auto"/>
              <w:ind w:left="420"/>
              <w:rPr>
                <w:rFonts w:ascii="Calibri" w:eastAsia="Calibri" w:hAnsi="Calibri" w:cs="Calibri"/>
                <w:i/>
                <w:color w:val="000000"/>
              </w:rPr>
            </w:pPr>
            <w:r>
              <w:rPr>
                <w:rFonts w:ascii="Calibri" w:eastAsia="Calibri" w:hAnsi="Calibri" w:cs="Calibri"/>
                <w:i/>
                <w:color w:val="000000"/>
              </w:rPr>
              <w:t>What is the level of gender awareness and capacity to address gender issues amongst local authorities, project partners and project staff?</w:t>
            </w:r>
          </w:p>
          <w:p w14:paraId="000000B6"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 xml:space="preserve">Restaura Biomas is focused on fostering gender awareness and consideration within its own staff. The EA will include gender experts to consult on project activities throughout the project conception and implementation. Any project partners or beneficiaries (e.g. restoration networks and seedling suppliers) will be screened prior to any engagement with these considerations in mind. </w:t>
            </w:r>
          </w:p>
          <w:p w14:paraId="000000B7"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 xml:space="preserve">Project partners will include WRI-Brasil, MMA, The Nature Conservancy, and WWF-Brasil. WRI Brasil will hire a Safeguards Specialist </w:t>
            </w:r>
            <w:r>
              <w:rPr>
                <w:rFonts w:ascii="Calibri" w:eastAsia="Calibri" w:hAnsi="Calibri" w:cs="Calibri"/>
              </w:rPr>
              <w:t>who</w:t>
            </w:r>
            <w:r>
              <w:rPr>
                <w:rFonts w:ascii="Calibri" w:eastAsia="Calibri" w:hAnsi="Calibri" w:cs="Calibri"/>
                <w:color w:val="000000"/>
              </w:rPr>
              <w:t xml:space="preserve"> will be fully allocated to this project, and </w:t>
            </w:r>
            <w:r>
              <w:rPr>
                <w:rFonts w:ascii="Calibri" w:eastAsia="Calibri" w:hAnsi="Calibri" w:cs="Calibri"/>
              </w:rPr>
              <w:t>wi</w:t>
            </w:r>
            <w:r>
              <w:rPr>
                <w:rFonts w:ascii="Calibri" w:eastAsia="Calibri" w:hAnsi="Calibri" w:cs="Calibri"/>
                <w:color w:val="000000"/>
              </w:rPr>
              <w:t xml:space="preserve">ll support the refining of the engagement strategies and activities, as well as keep track of indicators related to – amongst other elements – gender equality, and how project activities affect this specific audience. If adjustments to engagement strategy appear necessary, </w:t>
            </w:r>
            <w:r>
              <w:rPr>
                <w:rFonts w:ascii="Calibri" w:eastAsia="Calibri" w:hAnsi="Calibri" w:cs="Calibri"/>
              </w:rPr>
              <w:t>these changes will</w:t>
            </w:r>
            <w:r>
              <w:rPr>
                <w:rFonts w:ascii="Calibri" w:eastAsia="Calibri" w:hAnsi="Calibri" w:cs="Calibri"/>
                <w:color w:val="000000"/>
              </w:rPr>
              <w:t xml:space="preserve"> be documented and </w:t>
            </w:r>
            <w:r>
              <w:rPr>
                <w:rFonts w:ascii="Calibri" w:eastAsia="Calibri" w:hAnsi="Calibri" w:cs="Calibri"/>
                <w:color w:val="000000"/>
              </w:rPr>
              <w:lastRenderedPageBreak/>
              <w:t>planned accordingly. Additionally, a specific communications channel will be developed to receive possible grievances related to the project, which will be designed to also accommodate complaints directly related to gender inequalities or violence in their different spheres, and that will spur the adequate measures both on case-specific scenarios as well as on project strategy overall, if necessary. This channel will be broadly communicated amongst the target audience.</w:t>
            </w:r>
          </w:p>
          <w:p w14:paraId="000000B8"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 xml:space="preserve">Focal points from all partner organizations are – and will continue to be – involved in designing engagement strategies that aim at reducing gender inequalities, in refining and collecting indicators related to this strategy and in adopting correcting measures whenever necessary. </w:t>
            </w:r>
          </w:p>
          <w:sdt>
            <w:sdtPr>
              <w:tag w:val="goog_rdk_34"/>
              <w:id w:val="1361011886"/>
            </w:sdtPr>
            <w:sdtContent>
              <w:p w14:paraId="000000B9" w14:textId="77777777" w:rsidR="00490D7E" w:rsidRDefault="00000000">
                <w:pPr>
                  <w:shd w:val="clear" w:color="auto" w:fill="FFFFFF"/>
                  <w:spacing w:before="120" w:line="240" w:lineRule="auto"/>
                  <w:ind w:left="420"/>
                  <w:jc w:val="both"/>
                  <w:rPr>
                    <w:rFonts w:ascii="Calibri" w:eastAsia="Calibri" w:hAnsi="Calibri" w:cs="Calibri"/>
                    <w:color w:val="000000"/>
                  </w:rPr>
                </w:pPr>
                <w:sdt>
                  <w:sdtPr>
                    <w:tag w:val="goog_rdk_33"/>
                    <w:id w:val="2089260987"/>
                  </w:sdtPr>
                  <w:sdtContent>
                    <w:r w:rsidR="00707826">
                      <w:rPr>
                        <w:rFonts w:ascii="Calibri" w:eastAsia="Calibri" w:hAnsi="Calibri" w:cs="Calibri"/>
                        <w:color w:val="000000"/>
                      </w:rPr>
                      <w:t xml:space="preserve">The Ministry of Environment has been implementing international cooperation projects since its inception in the 1990s. This allowed the Ministry not only to follow the development of social safeguards, gender and stakeholder engagement policies, but also to coordinate the implementation of a number of GEF funded projects. </w:t>
                    </w:r>
                  </w:sdtContent>
                </w:sdt>
              </w:p>
            </w:sdtContent>
          </w:sdt>
          <w:sdt>
            <w:sdtPr>
              <w:tag w:val="goog_rdk_36"/>
              <w:id w:val="-396132880"/>
            </w:sdtPr>
            <w:sdtContent>
              <w:p w14:paraId="000000BA" w14:textId="77777777" w:rsidR="00490D7E" w:rsidRDefault="00000000">
                <w:pPr>
                  <w:shd w:val="clear" w:color="auto" w:fill="FFFFFF"/>
                  <w:spacing w:before="120" w:line="240" w:lineRule="auto"/>
                  <w:ind w:left="420"/>
                  <w:jc w:val="both"/>
                  <w:rPr>
                    <w:rFonts w:ascii="Calibri" w:eastAsia="Calibri" w:hAnsi="Calibri" w:cs="Calibri"/>
                    <w:color w:val="000000"/>
                  </w:rPr>
                </w:pPr>
                <w:sdt>
                  <w:sdtPr>
                    <w:tag w:val="goog_rdk_35"/>
                    <w:id w:val="-1075660889"/>
                  </w:sdtPr>
                  <w:sdtContent>
                    <w:r w:rsidR="00707826">
                      <w:rPr>
                        <w:rFonts w:ascii="Calibri" w:eastAsia="Calibri" w:hAnsi="Calibri" w:cs="Calibri"/>
                        <w:color w:val="000000"/>
                      </w:rPr>
                      <w:t xml:space="preserve">WRI Brasil has been developing projects focused on landscape and forest restoration since 2012. These projects encompass themes such as public policies, monitoring, capacity building, and restoration planning, resulting in the implementation of restoration policies at both national and subnational levels, the formation of coalitions, and the publication of technical reports that support decision-making on the subject. Throughout these processes, special attention is given to ensuring gender equity in consultative, deliberative, and training spaces.  For both stakeholder engagement and gender inclusion, WRI relies on tools from the Restoration Opportunities Assessment Methodology (ROAM), such as Social Landscape Mapping, which identifies the main social actors within a given territory to develop effective engagement plans. </w:t>
                    </w:r>
                  </w:sdtContent>
                </w:sdt>
              </w:p>
            </w:sdtContent>
          </w:sdt>
          <w:sdt>
            <w:sdtPr>
              <w:tag w:val="goog_rdk_38"/>
              <w:id w:val="-965041182"/>
            </w:sdtPr>
            <w:sdtContent>
              <w:p w14:paraId="000000BB" w14:textId="77777777" w:rsidR="00490D7E" w:rsidRDefault="00000000">
                <w:pPr>
                  <w:shd w:val="clear" w:color="auto" w:fill="FFFFFF"/>
                  <w:spacing w:before="120" w:line="240" w:lineRule="auto"/>
                  <w:ind w:left="420"/>
                  <w:jc w:val="both"/>
                  <w:rPr>
                    <w:rFonts w:ascii="Calibri" w:eastAsia="Calibri" w:hAnsi="Calibri" w:cs="Calibri"/>
                    <w:color w:val="000000"/>
                  </w:rPr>
                </w:pPr>
                <w:sdt>
                  <w:sdtPr>
                    <w:tag w:val="goog_rdk_37"/>
                    <w:id w:val="-1062947613"/>
                  </w:sdtPr>
                  <w:sdtContent>
                    <w:r w:rsidR="00707826">
                      <w:rPr>
                        <w:rFonts w:ascii="Calibri" w:eastAsia="Calibri" w:hAnsi="Calibri" w:cs="Calibri"/>
                        <w:color w:val="000000"/>
                      </w:rPr>
                      <w:t xml:space="preserve">The main projects WRI has supported that address gender and social inclusion include: </w:t>
                    </w:r>
                  </w:sdtContent>
                </w:sdt>
              </w:p>
            </w:sdtContent>
          </w:sdt>
          <w:sdt>
            <w:sdtPr>
              <w:tag w:val="goog_rdk_40"/>
              <w:id w:val="1695874511"/>
            </w:sdtPr>
            <w:sdtContent>
              <w:p w14:paraId="000000BC" w14:textId="77777777" w:rsidR="00490D7E" w:rsidRDefault="00000000">
                <w:pPr>
                  <w:numPr>
                    <w:ilvl w:val="0"/>
                    <w:numId w:val="12"/>
                  </w:numPr>
                  <w:shd w:val="clear" w:color="auto" w:fill="FFFFFF"/>
                  <w:spacing w:before="120" w:line="240" w:lineRule="auto"/>
                  <w:jc w:val="both"/>
                  <w:rPr>
                    <w:rFonts w:ascii="Calibri" w:eastAsia="Calibri" w:hAnsi="Calibri" w:cs="Calibri"/>
                  </w:rPr>
                </w:pPr>
                <w:sdt>
                  <w:sdtPr>
                    <w:tag w:val="goog_rdk_39"/>
                    <w:id w:val="1735581126"/>
                  </w:sdtPr>
                  <w:sdtContent>
                    <w:r w:rsidR="00707826">
                      <w:rPr>
                        <w:rFonts w:ascii="Calibri" w:eastAsia="Calibri" w:hAnsi="Calibri" w:cs="Calibri"/>
                        <w:color w:val="000000"/>
                      </w:rPr>
                      <w:t xml:space="preserve">Forest Restoration and Gender Approach: This project, carried out in Pintadas/Bahia within the Caatinga biome from 2015 to 2020, aimed to strengthen productive chains derived from restoration products, enhancing female leadership and income generation. </w:t>
                    </w:r>
                  </w:sdtContent>
                </w:sdt>
              </w:p>
            </w:sdtContent>
          </w:sdt>
          <w:sdt>
            <w:sdtPr>
              <w:tag w:val="goog_rdk_42"/>
              <w:id w:val="7804162"/>
            </w:sdtPr>
            <w:sdtContent>
              <w:p w14:paraId="000000BD" w14:textId="77777777" w:rsidR="00490D7E" w:rsidRDefault="00000000">
                <w:pPr>
                  <w:numPr>
                    <w:ilvl w:val="0"/>
                    <w:numId w:val="12"/>
                  </w:numPr>
                  <w:shd w:val="clear" w:color="auto" w:fill="FFFFFF"/>
                  <w:spacing w:line="240" w:lineRule="auto"/>
                  <w:jc w:val="both"/>
                  <w:rPr>
                    <w:rFonts w:ascii="Calibri" w:eastAsia="Calibri" w:hAnsi="Calibri" w:cs="Calibri"/>
                  </w:rPr>
                </w:pPr>
                <w:sdt>
                  <w:sdtPr>
                    <w:tag w:val="goog_rdk_41"/>
                    <w:id w:val="1497918967"/>
                  </w:sdtPr>
                  <w:sdtContent>
                    <w:r w:rsidR="00707826">
                      <w:rPr>
                        <w:rFonts w:ascii="Calibri" w:eastAsia="Calibri" w:hAnsi="Calibri" w:cs="Calibri"/>
                        <w:color w:val="000000"/>
                      </w:rPr>
                      <w:t xml:space="preserve">Restoration Compatible with Gender Equality and Climate Change: From 2018 to 2022, this project promoted training for rural families, especially women, on the benefits of agroforestry and forest restoration practices. It was developed in Juruti/Pará within the Amazon biome. </w:t>
                    </w:r>
                  </w:sdtContent>
                </w:sdt>
              </w:p>
            </w:sdtContent>
          </w:sdt>
          <w:sdt>
            <w:sdtPr>
              <w:tag w:val="goog_rdk_44"/>
              <w:id w:val="1351994112"/>
            </w:sdtPr>
            <w:sdtContent>
              <w:p w14:paraId="000000BE" w14:textId="77777777" w:rsidR="00490D7E" w:rsidRDefault="00000000">
                <w:pPr>
                  <w:numPr>
                    <w:ilvl w:val="0"/>
                    <w:numId w:val="12"/>
                  </w:numPr>
                  <w:shd w:val="clear" w:color="auto" w:fill="FFFFFF"/>
                  <w:spacing w:line="240" w:lineRule="auto"/>
                  <w:jc w:val="both"/>
                  <w:rPr>
                    <w:rFonts w:ascii="Calibri" w:eastAsia="Calibri" w:hAnsi="Calibri" w:cs="Calibri"/>
                  </w:rPr>
                </w:pPr>
                <w:sdt>
                  <w:sdtPr>
                    <w:tag w:val="goog_rdk_43"/>
                    <w:id w:val="1220870485"/>
                  </w:sdtPr>
                  <w:sdtContent>
                    <w:r w:rsidR="00707826">
                      <w:rPr>
                        <w:rFonts w:ascii="Calibri" w:eastAsia="Calibri" w:hAnsi="Calibri" w:cs="Calibri"/>
                        <w:color w:val="000000"/>
                      </w:rPr>
                      <w:t xml:space="preserve">Promoting Assisted Natural Regeneration in the Amazon: Conducted in partnership with local organizations, this project involved training and implementing RNA arrangements and Agroforestry Systems collectively designed with local communities, focusing on equitable participation in all processes. </w:t>
                    </w:r>
                  </w:sdtContent>
                </w:sdt>
              </w:p>
            </w:sdtContent>
          </w:sdt>
          <w:sdt>
            <w:sdtPr>
              <w:tag w:val="goog_rdk_46"/>
              <w:id w:val="971553863"/>
            </w:sdtPr>
            <w:sdtContent>
              <w:p w14:paraId="000000BF" w14:textId="77777777" w:rsidR="00490D7E" w:rsidRDefault="00000000" w:rsidP="006E267A">
                <w:pPr>
                  <w:numPr>
                    <w:ilvl w:val="0"/>
                    <w:numId w:val="12"/>
                  </w:numPr>
                  <w:shd w:val="clear" w:color="auto" w:fill="FFFFFF"/>
                  <w:spacing w:before="120" w:line="240" w:lineRule="auto"/>
                  <w:jc w:val="both"/>
                  <w:rPr>
                    <w:rFonts w:ascii="Calibri" w:eastAsia="Calibri" w:hAnsi="Calibri" w:cs="Calibri"/>
                  </w:rPr>
                </w:pPr>
                <w:sdt>
                  <w:sdtPr>
                    <w:tag w:val="goog_rdk_45"/>
                    <w:id w:val="688031400"/>
                  </w:sdtPr>
                  <w:sdtContent>
                    <w:r w:rsidR="00707826">
                      <w:rPr>
                        <w:rFonts w:ascii="Calibri" w:eastAsia="Calibri" w:hAnsi="Calibri" w:cs="Calibri"/>
                        <w:color w:val="000000"/>
                      </w:rPr>
                      <w:t xml:space="preserve">In the Atlantic Forest, alongside the Atlantic Forest Restoration Pact, WRI Brasil organized various events, debates, and publications on gender equality in restoration efforts. </w:t>
                    </w:r>
                  </w:sdtContent>
                </w:sdt>
              </w:p>
            </w:sdtContent>
          </w:sdt>
          <w:p w14:paraId="000000C0"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i/>
                <w:color w:val="000000"/>
              </w:rPr>
            </w:pPr>
            <w:r>
              <w:rPr>
                <w:rFonts w:ascii="Calibri" w:eastAsia="Calibri" w:hAnsi="Calibri" w:cs="Calibri"/>
                <w:color w:val="000000"/>
              </w:rPr>
              <w:t xml:space="preserve">Considering gender awareness and capacity are limited among local authorities, and that local authorities often hold the socially conservative and traditional views of a patriarchal society which does not encourage the empowerment of women, the project will work with these authorities to protect and restore lands in accordance with public policies. However, the project does not rely on local authorities for implementation and will instead build on existing networks and businesses that empower women as part of </w:t>
            </w:r>
            <w:r>
              <w:rPr>
                <w:rFonts w:ascii="Calibri" w:eastAsia="Calibri" w:hAnsi="Calibri" w:cs="Calibri"/>
              </w:rPr>
              <w:t>its</w:t>
            </w:r>
            <w:r>
              <w:rPr>
                <w:rFonts w:ascii="Calibri" w:eastAsia="Calibri" w:hAnsi="Calibri" w:cs="Calibri"/>
                <w:color w:val="000000"/>
              </w:rPr>
              <w:t xml:space="preserve"> strategy.</w:t>
            </w:r>
          </w:p>
          <w:p w14:paraId="000000C1" w14:textId="77777777" w:rsidR="00490D7E" w:rsidRDefault="00707826">
            <w:pPr>
              <w:numPr>
                <w:ilvl w:val="0"/>
                <w:numId w:val="5"/>
              </w:numPr>
              <w:pBdr>
                <w:top w:val="nil"/>
                <w:left w:val="nil"/>
                <w:bottom w:val="nil"/>
                <w:right w:val="nil"/>
                <w:between w:val="nil"/>
              </w:pBdr>
              <w:spacing w:line="240" w:lineRule="auto"/>
              <w:ind w:left="420"/>
              <w:rPr>
                <w:rFonts w:ascii="Calibri" w:eastAsia="Calibri" w:hAnsi="Calibri" w:cs="Calibri"/>
                <w:i/>
                <w:color w:val="000000"/>
              </w:rPr>
            </w:pPr>
            <w:r>
              <w:rPr>
                <w:rFonts w:ascii="Calibri" w:eastAsia="Calibri" w:hAnsi="Calibri" w:cs="Calibri"/>
                <w:i/>
                <w:color w:val="000000"/>
              </w:rPr>
              <w:t xml:space="preserve">Describe the methods (interviews, desktop research, focus groups, surveys, etc.) were used to collect information for the Gender Analysis/Assessment. </w:t>
            </w:r>
          </w:p>
          <w:p w14:paraId="000000C2"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color w:val="000000"/>
              </w:rPr>
            </w:pPr>
            <w:r>
              <w:rPr>
                <w:rFonts w:ascii="Calibri" w:eastAsia="Calibri" w:hAnsi="Calibri" w:cs="Calibri"/>
                <w:color w:val="000000"/>
              </w:rPr>
              <w:t xml:space="preserve">First, the relevant sections of the draft GEF Project Document were reviewed to identify opportunities for mainstreaming the gender approach in project implementation. A literature review was then </w:t>
            </w:r>
            <w:r>
              <w:rPr>
                <w:rFonts w:ascii="Calibri" w:eastAsia="Calibri" w:hAnsi="Calibri" w:cs="Calibri"/>
                <w:color w:val="000000"/>
              </w:rPr>
              <w:lastRenderedPageBreak/>
              <w:t xml:space="preserve">conducted to find relevant studies and information from other similar projects that have developed pertinent data concerning gender. This included gathering information on other GEF projects in Brazil focused on restoration. For example, we analyzed the evaluations of the GEF-Terrestre project’s gender mainstreaming efforts to help inform our approach for gender mainstreaming. This phase identified the key gender issues in the region that the Gender Action Plan should account for. </w:t>
            </w:r>
          </w:p>
          <w:p w14:paraId="000000C3" w14:textId="77777777" w:rsidR="00490D7E" w:rsidRDefault="00707826">
            <w:pPr>
              <w:pBdr>
                <w:top w:val="nil"/>
                <w:left w:val="nil"/>
                <w:bottom w:val="nil"/>
                <w:right w:val="nil"/>
                <w:between w:val="nil"/>
              </w:pBdr>
              <w:shd w:val="clear" w:color="auto" w:fill="FFFFFF"/>
              <w:spacing w:before="120" w:line="240" w:lineRule="auto"/>
              <w:ind w:left="420"/>
              <w:jc w:val="both"/>
              <w:rPr>
                <w:rFonts w:ascii="Calibri" w:eastAsia="Calibri" w:hAnsi="Calibri" w:cs="Calibri"/>
                <w:i/>
                <w:color w:val="000000"/>
              </w:rPr>
            </w:pPr>
            <w:r>
              <w:rPr>
                <w:rFonts w:ascii="Calibri" w:eastAsia="Calibri" w:hAnsi="Calibri" w:cs="Calibri"/>
                <w:color w:val="000000"/>
              </w:rPr>
              <w:t>We conducted interviews with stakeholders to validate the project activities and gather insights from their experiences working on similar projects. Some participants were asked about challenges and opportunities for women in restoration and sustainable agriculture. Stakeholders largely reinforced the findings of our literature review. We also consulted with an expert in gender inclusion in restoration projects in Brazil for lessons learned and best practices for including women in restoration. The practices will be used particularly for Component 2 to support gender inclusion in restoration networks and stakeholder engagement.</w:t>
            </w:r>
          </w:p>
          <w:p w14:paraId="000000C4" w14:textId="77777777" w:rsidR="00490D7E" w:rsidRDefault="00490D7E">
            <w:pPr>
              <w:pBdr>
                <w:top w:val="nil"/>
                <w:left w:val="nil"/>
                <w:bottom w:val="nil"/>
                <w:right w:val="nil"/>
                <w:between w:val="nil"/>
              </w:pBdr>
              <w:spacing w:line="240" w:lineRule="auto"/>
              <w:ind w:left="420"/>
              <w:rPr>
                <w:rFonts w:ascii="Calibri" w:eastAsia="Calibri" w:hAnsi="Calibri" w:cs="Calibri"/>
                <w:i/>
                <w:color w:val="000000"/>
              </w:rPr>
            </w:pPr>
          </w:p>
          <w:p w14:paraId="000000C5" w14:textId="77777777" w:rsidR="00490D7E" w:rsidRDefault="00707826">
            <w:pPr>
              <w:numPr>
                <w:ilvl w:val="0"/>
                <w:numId w:val="5"/>
              </w:numPr>
              <w:pBdr>
                <w:top w:val="nil"/>
                <w:left w:val="nil"/>
                <w:bottom w:val="nil"/>
                <w:right w:val="nil"/>
                <w:between w:val="nil"/>
              </w:pBdr>
              <w:spacing w:line="240" w:lineRule="auto"/>
              <w:ind w:left="420"/>
              <w:rPr>
                <w:rFonts w:ascii="Calibri" w:eastAsia="Calibri" w:hAnsi="Calibri" w:cs="Calibri"/>
                <w:i/>
                <w:color w:val="000000"/>
              </w:rPr>
            </w:pPr>
            <w:r>
              <w:rPr>
                <w:rFonts w:ascii="Calibri" w:eastAsia="Calibri" w:hAnsi="Calibri" w:cs="Calibri"/>
                <w:i/>
                <w:color w:val="000000"/>
              </w:rPr>
              <w:t>Describe lessons learnt during the development of the GMP during the PPG/PPF Phase. E.g. Did you have to hold meetings separately for women? Did the location/time of meetings affect women’s participation?</w:t>
            </w:r>
          </w:p>
          <w:p w14:paraId="000000C6" w14:textId="77777777" w:rsidR="00490D7E" w:rsidRDefault="00707826">
            <w:pPr>
              <w:pBdr>
                <w:top w:val="nil"/>
                <w:left w:val="nil"/>
                <w:bottom w:val="nil"/>
                <w:right w:val="nil"/>
                <w:between w:val="nil"/>
              </w:pBdr>
              <w:shd w:val="clear" w:color="auto" w:fill="FFFFFF"/>
              <w:spacing w:line="240" w:lineRule="auto"/>
              <w:ind w:left="420"/>
              <w:jc w:val="both"/>
              <w:rPr>
                <w:rFonts w:ascii="Calibri" w:eastAsia="Calibri" w:hAnsi="Calibri" w:cs="Calibri"/>
                <w:color w:val="000000"/>
              </w:rPr>
            </w:pPr>
            <w:r>
              <w:rPr>
                <w:rFonts w:ascii="Calibri" w:eastAsia="Calibri" w:hAnsi="Calibri" w:cs="Calibri"/>
                <w:color w:val="000000"/>
              </w:rPr>
              <w:t>This GMP was developed by reviewing other gender assessments, lessons learned from similar projects, secondary data, and interviews with people who have experience executing similar projects. Our review found that a strong gender approach is needed to overcome the barrier of gender inequalities in Brazil. In particular, our engagement with an expert in gender inclusion in restoration in Brazil showed the importance of including women in restoration networks. This gender expert spoke about challenges and opportunities for women in restoration in Brazil. She also gave information on successful restoration initiatives that have included women, such as the Atlantic Forest Restoration Pact and its Gender Inclusion Working Group and the Copaíba Environmental Association. These organizations found that women are underrepresented in restoration initiatives and lack decision-making power. However, when they implemented gender-inclusive strategies such as capacity building, communications, and policy influence aimed to empower women in the restoration sector, they found that more women were able to participate in restoration activities. When women have increased capacity and influence in restoration projects, these projects are more likely to experience long-term success. Restaura Biomas can learn from these projects by producing communications materials that highlight the importance of including women in restoration initiatives, participating in political forums on restoration, and building capacity for female farmers, restoration managers, and seedling suppliers.</w:t>
            </w:r>
          </w:p>
          <w:p w14:paraId="000000C7" w14:textId="77777777" w:rsidR="00490D7E" w:rsidRDefault="00707826">
            <w:pPr>
              <w:pBdr>
                <w:top w:val="nil"/>
                <w:left w:val="nil"/>
                <w:bottom w:val="nil"/>
                <w:right w:val="nil"/>
                <w:between w:val="nil"/>
              </w:pBdr>
              <w:shd w:val="clear" w:color="auto" w:fill="FFFFFF"/>
              <w:spacing w:line="240" w:lineRule="auto"/>
              <w:ind w:left="420"/>
              <w:jc w:val="both"/>
              <w:rPr>
                <w:rFonts w:ascii="Calibri" w:eastAsia="Calibri" w:hAnsi="Calibri" w:cs="Calibri"/>
                <w:color w:val="000000"/>
              </w:rPr>
            </w:pPr>
            <w:r>
              <w:rPr>
                <w:rFonts w:ascii="Calibri" w:eastAsia="Calibri" w:hAnsi="Calibri" w:cs="Calibri"/>
                <w:color w:val="000000"/>
              </w:rPr>
              <w:t>Because specific project sites will be determined during implementation, the GMP lacks data and stakeholder input specific to project sites. Once it was determined that the project would operate in all six biomes of Brazil, we sought biome specific information. We found that information online is limited in the least populous biomes. In the future, site visits could be used to collect primary data to overcome this data gap. The development of the GMP would have benefitted from speaking to local experts, restoration networks, farmers, and seedling suppliers but this was not possible due to the lack of information on project sites during PPG phase.</w:t>
            </w:r>
          </w:p>
          <w:p w14:paraId="000000C8" w14:textId="77777777" w:rsidR="00490D7E" w:rsidRDefault="00707826">
            <w:pPr>
              <w:pBdr>
                <w:top w:val="nil"/>
                <w:left w:val="nil"/>
                <w:bottom w:val="nil"/>
                <w:right w:val="nil"/>
                <w:between w:val="nil"/>
              </w:pBdr>
              <w:shd w:val="clear" w:color="auto" w:fill="FFFFFF"/>
              <w:spacing w:line="240" w:lineRule="auto"/>
              <w:ind w:left="420"/>
              <w:jc w:val="both"/>
              <w:rPr>
                <w:rFonts w:ascii="Calibri" w:eastAsia="Calibri" w:hAnsi="Calibri" w:cs="Calibri"/>
                <w:color w:val="000000"/>
              </w:rPr>
            </w:pPr>
            <w:r>
              <w:rPr>
                <w:rFonts w:ascii="Calibri" w:eastAsia="Calibri" w:hAnsi="Calibri" w:cs="Calibri"/>
                <w:color w:val="000000"/>
              </w:rPr>
              <w:t>Despite the lack of on-the-ground engagement, women with expertise in these areas were consulted virtually by the project development team. During the PPG phase, the number of women engaged surpassed the number of men engaged. However, we recognize that these women were mainly from urban areas and are unlikely to be direct beneficiaries of the project.</w:t>
            </w:r>
          </w:p>
          <w:p w14:paraId="000000C9" w14:textId="77777777" w:rsidR="00490D7E" w:rsidRDefault="00490D7E">
            <w:pPr>
              <w:pBdr>
                <w:top w:val="nil"/>
                <w:left w:val="nil"/>
                <w:bottom w:val="nil"/>
                <w:right w:val="nil"/>
                <w:between w:val="nil"/>
              </w:pBdr>
              <w:spacing w:line="240" w:lineRule="auto"/>
              <w:rPr>
                <w:rFonts w:ascii="Calibri" w:eastAsia="Calibri" w:hAnsi="Calibri" w:cs="Calibri"/>
                <w:color w:val="000000"/>
              </w:rPr>
            </w:pPr>
          </w:p>
        </w:tc>
      </w:tr>
    </w:tbl>
    <w:p w14:paraId="000000CA" w14:textId="77777777" w:rsidR="00490D7E" w:rsidRDefault="00490D7E">
      <w:pPr>
        <w:pBdr>
          <w:top w:val="nil"/>
          <w:left w:val="nil"/>
          <w:bottom w:val="nil"/>
          <w:right w:val="nil"/>
          <w:between w:val="nil"/>
        </w:pBdr>
        <w:spacing w:line="240" w:lineRule="auto"/>
        <w:rPr>
          <w:rFonts w:ascii="Calibri" w:eastAsia="Calibri" w:hAnsi="Calibri" w:cs="Calibri"/>
          <w:color w:val="000000"/>
        </w:rPr>
      </w:pPr>
    </w:p>
    <w:p w14:paraId="000000CB"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ind w:left="360"/>
        <w:jc w:val="both"/>
        <w:rPr>
          <w:rFonts w:ascii="Calibri" w:eastAsia="Calibri" w:hAnsi="Calibri" w:cs="Calibri"/>
          <w:color w:val="000000"/>
        </w:rPr>
      </w:pPr>
    </w:p>
    <w:p w14:paraId="000000CC" w14:textId="77777777" w:rsidR="00490D7E" w:rsidRDefault="00707826">
      <w:pPr>
        <w:widowControl w:val="0"/>
        <w:pBdr>
          <w:top w:val="nil"/>
          <w:left w:val="nil"/>
          <w:bottom w:val="single" w:sz="4" w:space="1" w:color="000000"/>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sz w:val="28"/>
          <w:szCs w:val="28"/>
        </w:rPr>
      </w:pPr>
      <w:r>
        <w:rPr>
          <w:rFonts w:ascii="Calibri" w:eastAsia="Calibri" w:hAnsi="Calibri" w:cs="Calibri"/>
          <w:b/>
          <w:color w:val="000000"/>
          <w:sz w:val="28"/>
          <w:szCs w:val="28"/>
        </w:rPr>
        <w:lastRenderedPageBreak/>
        <w:t>SECTION III: Gender Action Plan</w:t>
      </w:r>
    </w:p>
    <w:p w14:paraId="000000CD"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i/>
          <w:color w:val="000000"/>
        </w:rPr>
      </w:pPr>
      <w:r>
        <w:rPr>
          <w:rFonts w:ascii="Calibri" w:eastAsia="Calibri" w:hAnsi="Calibri" w:cs="Calibri"/>
          <w:i/>
          <w:color w:val="000000"/>
        </w:rPr>
        <w:t xml:space="preserve">Using the results of the Gender Analysis, and considering the project context, scope and components, the Gender Action Plan details how the project will ensure the active and meaningful participation of both women and men, equal access to opportunities, resources and benefits from the project, and avoid perpetuating social inequalities. </w:t>
      </w:r>
    </w:p>
    <w:p w14:paraId="000000CE"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i/>
          <w:color w:val="000000"/>
        </w:rPr>
      </w:pPr>
    </w:p>
    <w:tbl>
      <w:tblPr>
        <w:tblW w:w="9779"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3" w:type="dxa"/>
          <w:left w:w="115" w:type="dxa"/>
          <w:bottom w:w="43" w:type="dxa"/>
          <w:right w:w="115" w:type="dxa"/>
        </w:tblCellMar>
        <w:tblLook w:val="0400" w:firstRow="0" w:lastRow="0" w:firstColumn="0" w:lastColumn="0" w:noHBand="0" w:noVBand="1"/>
      </w:tblPr>
      <w:tblGrid>
        <w:gridCol w:w="1880"/>
        <w:gridCol w:w="2812"/>
        <w:gridCol w:w="1752"/>
        <w:gridCol w:w="1741"/>
        <w:gridCol w:w="1594"/>
      </w:tblGrid>
      <w:tr w:rsidR="00490D7E" w14:paraId="1FD6F8AA" w14:textId="77777777">
        <w:trPr>
          <w:trHeight w:val="152"/>
        </w:trPr>
        <w:tc>
          <w:tcPr>
            <w:tcW w:w="9779" w:type="dxa"/>
            <w:gridSpan w:val="5"/>
            <w:shd w:val="clear" w:color="auto" w:fill="D5DCE4"/>
            <w:vAlign w:val="center"/>
          </w:tcPr>
          <w:p w14:paraId="000000CF"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b/>
                <w:color w:val="000000"/>
              </w:rPr>
            </w:pPr>
            <w:r>
              <w:rPr>
                <w:rFonts w:ascii="Calibri" w:eastAsia="Calibri" w:hAnsi="Calibri" w:cs="Calibri"/>
                <w:b/>
                <w:color w:val="000000"/>
              </w:rPr>
              <w:t>Component 1: Public policies</w:t>
            </w:r>
          </w:p>
        </w:tc>
      </w:tr>
      <w:tr w:rsidR="00490D7E" w14:paraId="5BB8725C" w14:textId="77777777">
        <w:trPr>
          <w:trHeight w:val="485"/>
        </w:trPr>
        <w:tc>
          <w:tcPr>
            <w:tcW w:w="1880" w:type="dxa"/>
            <w:shd w:val="clear" w:color="auto" w:fill="D5DCE4"/>
            <w:vAlign w:val="center"/>
          </w:tcPr>
          <w:p w14:paraId="000000D4" w14:textId="55F09A28" w:rsidR="00490D7E" w:rsidRDefault="00000000">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jc w:val="center"/>
              <w:rPr>
                <w:rFonts w:ascii="Calibri" w:eastAsia="Calibri" w:hAnsi="Calibri" w:cs="Calibri"/>
                <w:color w:val="000000"/>
              </w:rPr>
            </w:pPr>
            <w:sdt>
              <w:sdtPr>
                <w:tag w:val="goog_rdk_48"/>
                <w:id w:val="706527837"/>
              </w:sdtPr>
              <w:sdtContent>
                <w:r w:rsidR="00707826">
                  <w:rPr>
                    <w:rFonts w:ascii="Calibri" w:eastAsia="Calibri" w:hAnsi="Calibri" w:cs="Calibri"/>
                    <w:b/>
                    <w:color w:val="000000"/>
                  </w:rPr>
                  <w:t>Components</w:t>
                </w:r>
              </w:sdtContent>
            </w:sdt>
            <w:sdt>
              <w:sdtPr>
                <w:tag w:val="goog_rdk_49"/>
                <w:id w:val="2070989617"/>
              </w:sdtPr>
              <w:sdtContent>
                <w:sdt>
                  <w:sdtPr>
                    <w:tag w:val="goog_rdk_50"/>
                    <w:id w:val="-741711149"/>
                  </w:sdtPr>
                  <w:sdtContent/>
                </w:sdt>
              </w:sdtContent>
            </w:sdt>
          </w:p>
        </w:tc>
        <w:tc>
          <w:tcPr>
            <w:tcW w:w="2812" w:type="dxa"/>
            <w:shd w:val="clear" w:color="auto" w:fill="D5DCE4"/>
            <w:vAlign w:val="center"/>
          </w:tcPr>
          <w:p w14:paraId="000000D5"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jc w:val="center"/>
              <w:rPr>
                <w:rFonts w:ascii="Calibri" w:eastAsia="Calibri" w:hAnsi="Calibri" w:cs="Calibri"/>
                <w:color w:val="000000"/>
              </w:rPr>
            </w:pPr>
            <w:r>
              <w:rPr>
                <w:rFonts w:ascii="Calibri" w:eastAsia="Calibri" w:hAnsi="Calibri" w:cs="Calibri"/>
                <w:b/>
                <w:color w:val="000000"/>
              </w:rPr>
              <w:t>Activities to Mainstream Gender into Output</w:t>
            </w:r>
          </w:p>
        </w:tc>
        <w:tc>
          <w:tcPr>
            <w:tcW w:w="1752" w:type="dxa"/>
            <w:shd w:val="clear" w:color="auto" w:fill="D5DCE4"/>
            <w:vAlign w:val="center"/>
          </w:tcPr>
          <w:p w14:paraId="000000D6"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jc w:val="center"/>
              <w:rPr>
                <w:rFonts w:ascii="Calibri" w:eastAsia="Calibri" w:hAnsi="Calibri" w:cs="Calibri"/>
                <w:color w:val="000000"/>
              </w:rPr>
            </w:pPr>
            <w:r>
              <w:rPr>
                <w:rFonts w:ascii="Calibri" w:eastAsia="Calibri" w:hAnsi="Calibri" w:cs="Calibri"/>
                <w:b/>
                <w:color w:val="000000"/>
              </w:rPr>
              <w:t>Target</w:t>
            </w:r>
          </w:p>
        </w:tc>
        <w:tc>
          <w:tcPr>
            <w:tcW w:w="1741" w:type="dxa"/>
            <w:shd w:val="clear" w:color="auto" w:fill="D5DCE4"/>
            <w:vAlign w:val="center"/>
          </w:tcPr>
          <w:p w14:paraId="000000D7"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jc w:val="center"/>
              <w:rPr>
                <w:rFonts w:ascii="Calibri" w:eastAsia="Calibri" w:hAnsi="Calibri" w:cs="Calibri"/>
                <w:color w:val="000000"/>
              </w:rPr>
            </w:pPr>
            <w:r>
              <w:rPr>
                <w:rFonts w:ascii="Calibri" w:eastAsia="Calibri" w:hAnsi="Calibri" w:cs="Calibri"/>
                <w:b/>
                <w:color w:val="000000"/>
              </w:rPr>
              <w:t>Resources Required</w:t>
            </w:r>
          </w:p>
        </w:tc>
        <w:tc>
          <w:tcPr>
            <w:tcW w:w="1594" w:type="dxa"/>
            <w:shd w:val="clear" w:color="auto" w:fill="D5DCE4"/>
            <w:vAlign w:val="center"/>
          </w:tcPr>
          <w:p w14:paraId="000000D8"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jc w:val="center"/>
              <w:rPr>
                <w:rFonts w:ascii="Calibri" w:eastAsia="Calibri" w:hAnsi="Calibri" w:cs="Calibri"/>
                <w:color w:val="000000"/>
              </w:rPr>
            </w:pPr>
            <w:r>
              <w:rPr>
                <w:rFonts w:ascii="Calibri" w:eastAsia="Calibri" w:hAnsi="Calibri" w:cs="Calibri"/>
                <w:b/>
                <w:color w:val="000000"/>
              </w:rPr>
              <w:t>Budget</w:t>
            </w:r>
          </w:p>
        </w:tc>
      </w:tr>
      <w:tr w:rsidR="00490D7E" w14:paraId="4E081D4C" w14:textId="77777777">
        <w:trPr>
          <w:trHeight w:val="1296"/>
        </w:trPr>
        <w:tc>
          <w:tcPr>
            <w:tcW w:w="1880" w:type="dxa"/>
          </w:tcPr>
          <w:p w14:paraId="000000D9"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jc w:val="both"/>
              <w:rPr>
                <w:rFonts w:ascii="Calibri" w:eastAsia="Calibri" w:hAnsi="Calibri" w:cs="Calibri"/>
                <w:color w:val="000000"/>
              </w:rPr>
            </w:pPr>
          </w:p>
        </w:tc>
        <w:tc>
          <w:tcPr>
            <w:tcW w:w="2812" w:type="dxa"/>
          </w:tcPr>
          <w:p w14:paraId="000000DA" w14:textId="77777777" w:rsidR="00490D7E" w:rsidRDefault="00707826">
            <w:pPr>
              <w:widowControl w:val="0"/>
              <w:numPr>
                <w:ilvl w:val="0"/>
                <w:numId w:val="7"/>
              </w:numPr>
              <w:pBdr>
                <w:top w:val="nil"/>
                <w:left w:val="nil"/>
                <w:bottom w:val="nil"/>
                <w:right w:val="nil"/>
                <w:between w:val="nil"/>
              </w:pBdr>
              <w:tabs>
                <w:tab w:val="right" w:pos="73"/>
                <w:tab w:val="right" w:pos="1712"/>
                <w:tab w:val="right" w:pos="4160"/>
                <w:tab w:val="right" w:pos="6528"/>
                <w:tab w:val="right" w:pos="9384"/>
              </w:tabs>
              <w:spacing w:before="60" w:after="60" w:line="240" w:lineRule="auto"/>
              <w:ind w:left="346"/>
              <w:rPr>
                <w:rFonts w:ascii="Calibri" w:eastAsia="Calibri" w:hAnsi="Calibri" w:cs="Calibri"/>
                <w:i/>
                <w:color w:val="000000"/>
              </w:rPr>
            </w:pPr>
            <w:r>
              <w:rPr>
                <w:rFonts w:ascii="Calibri" w:eastAsia="Calibri" w:hAnsi="Calibri" w:cs="Calibri"/>
                <w:i/>
                <w:color w:val="000000"/>
              </w:rPr>
              <w:t>What actions can be taken to make this gender-responsive as possible? Example:</w:t>
            </w:r>
          </w:p>
          <w:p w14:paraId="000000DB" w14:textId="77777777" w:rsidR="00490D7E" w:rsidRDefault="00707826">
            <w:pPr>
              <w:widowControl w:val="0"/>
              <w:numPr>
                <w:ilvl w:val="0"/>
                <w:numId w:val="3"/>
              </w:numPr>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i/>
                <w:color w:val="000000"/>
              </w:rPr>
            </w:pPr>
            <w:r>
              <w:rPr>
                <w:rFonts w:ascii="Calibri" w:eastAsia="Calibri" w:hAnsi="Calibri" w:cs="Calibri"/>
                <w:i/>
                <w:color w:val="000000"/>
              </w:rPr>
              <w:t xml:space="preserve">Assess the training needs of men and women </w:t>
            </w:r>
          </w:p>
          <w:p w14:paraId="000000DC" w14:textId="77777777" w:rsidR="00490D7E" w:rsidRDefault="00707826">
            <w:pPr>
              <w:widowControl w:val="0"/>
              <w:numPr>
                <w:ilvl w:val="0"/>
                <w:numId w:val="3"/>
              </w:numPr>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i/>
                <w:color w:val="000000"/>
              </w:rPr>
            </w:pPr>
            <w:r>
              <w:rPr>
                <w:rFonts w:ascii="Calibri" w:eastAsia="Calibri" w:hAnsi="Calibri" w:cs="Calibri"/>
                <w:i/>
                <w:color w:val="000000"/>
              </w:rPr>
              <w:t>Design training course(s) that meet the needs of men and women as identified in the assessment.</w:t>
            </w:r>
          </w:p>
          <w:p w14:paraId="000000DD" w14:textId="77777777" w:rsidR="00490D7E" w:rsidRDefault="00707826">
            <w:pPr>
              <w:widowControl w:val="0"/>
              <w:numPr>
                <w:ilvl w:val="0"/>
                <w:numId w:val="3"/>
              </w:numPr>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i/>
                <w:color w:val="000000"/>
              </w:rPr>
            </w:pPr>
            <w:r>
              <w:rPr>
                <w:rFonts w:ascii="Calibri" w:eastAsia="Calibri" w:hAnsi="Calibri" w:cs="Calibri"/>
                <w:i/>
                <w:color w:val="000000"/>
              </w:rPr>
              <w:t>Conduct the training at a time and venue suitable for men and women to attend.</w:t>
            </w:r>
          </w:p>
          <w:p w14:paraId="000000DE" w14:textId="77777777" w:rsidR="00490D7E" w:rsidRDefault="00707826">
            <w:pPr>
              <w:widowControl w:val="0"/>
              <w:numPr>
                <w:ilvl w:val="0"/>
                <w:numId w:val="7"/>
              </w:numPr>
              <w:pBdr>
                <w:top w:val="nil"/>
                <w:left w:val="nil"/>
                <w:bottom w:val="nil"/>
                <w:right w:val="nil"/>
                <w:between w:val="nil"/>
              </w:pBdr>
              <w:tabs>
                <w:tab w:val="right" w:pos="73"/>
                <w:tab w:val="right" w:pos="1712"/>
                <w:tab w:val="right" w:pos="4160"/>
                <w:tab w:val="right" w:pos="6528"/>
                <w:tab w:val="right" w:pos="9384"/>
              </w:tabs>
              <w:spacing w:before="60" w:after="60" w:line="240" w:lineRule="auto"/>
              <w:ind w:left="346"/>
              <w:rPr>
                <w:rFonts w:ascii="Calibri" w:eastAsia="Calibri" w:hAnsi="Calibri" w:cs="Calibri"/>
                <w:i/>
                <w:color w:val="000000"/>
              </w:rPr>
            </w:pPr>
            <w:r>
              <w:rPr>
                <w:rFonts w:ascii="Calibri" w:eastAsia="Calibri" w:hAnsi="Calibri" w:cs="Calibri"/>
                <w:i/>
                <w:color w:val="000000"/>
              </w:rPr>
              <w:t>If no gender activity is applicable, put N/A.</w:t>
            </w:r>
          </w:p>
        </w:tc>
        <w:tc>
          <w:tcPr>
            <w:tcW w:w="1752" w:type="dxa"/>
          </w:tcPr>
          <w:p w14:paraId="000000DF" w14:textId="77777777" w:rsidR="00490D7E" w:rsidRDefault="00707826">
            <w:pPr>
              <w:widowControl w:val="0"/>
              <w:numPr>
                <w:ilvl w:val="0"/>
                <w:numId w:val="7"/>
              </w:numPr>
              <w:pBdr>
                <w:top w:val="nil"/>
                <w:left w:val="nil"/>
                <w:bottom w:val="nil"/>
                <w:right w:val="nil"/>
                <w:between w:val="nil"/>
              </w:pBdr>
              <w:tabs>
                <w:tab w:val="right" w:pos="73"/>
                <w:tab w:val="right" w:pos="1712"/>
                <w:tab w:val="right" w:pos="4160"/>
                <w:tab w:val="right" w:pos="6528"/>
                <w:tab w:val="right" w:pos="9384"/>
              </w:tabs>
              <w:spacing w:before="60" w:after="60" w:line="240" w:lineRule="auto"/>
              <w:ind w:left="391"/>
              <w:rPr>
                <w:rFonts w:ascii="Calibri" w:eastAsia="Calibri" w:hAnsi="Calibri" w:cs="Calibri"/>
                <w:i/>
                <w:color w:val="000000"/>
              </w:rPr>
            </w:pPr>
            <w:r>
              <w:rPr>
                <w:rFonts w:ascii="Calibri" w:eastAsia="Calibri" w:hAnsi="Calibri" w:cs="Calibri"/>
                <w:i/>
                <w:color w:val="000000"/>
              </w:rPr>
              <w:t xml:space="preserve">What are your baseline and targets for men and women? *Targets should be </w:t>
            </w:r>
            <w:r>
              <w:rPr>
                <w:rFonts w:ascii="Calibri" w:eastAsia="Calibri" w:hAnsi="Calibri" w:cs="Calibri"/>
                <w:i/>
                <w:color w:val="000000"/>
                <w:u w:val="single"/>
              </w:rPr>
              <w:t xml:space="preserve">ambitious </w:t>
            </w:r>
            <w:r>
              <w:rPr>
                <w:rFonts w:ascii="Calibri" w:eastAsia="Calibri" w:hAnsi="Calibri" w:cs="Calibri"/>
                <w:i/>
                <w:color w:val="000000"/>
              </w:rPr>
              <w:t xml:space="preserve">yet </w:t>
            </w:r>
            <w:r>
              <w:rPr>
                <w:rFonts w:ascii="Calibri" w:eastAsia="Calibri" w:hAnsi="Calibri" w:cs="Calibri"/>
                <w:i/>
                <w:color w:val="000000"/>
                <w:u w:val="single"/>
              </w:rPr>
              <w:t>realistic</w:t>
            </w:r>
            <w:r>
              <w:rPr>
                <w:rFonts w:ascii="Calibri" w:eastAsia="Calibri" w:hAnsi="Calibri" w:cs="Calibri"/>
                <w:i/>
                <w:color w:val="000000"/>
              </w:rPr>
              <w:t>.</w:t>
            </w:r>
          </w:p>
          <w:p w14:paraId="000000E0" w14:textId="77777777" w:rsidR="00490D7E" w:rsidRDefault="00707826">
            <w:pPr>
              <w:widowControl w:val="0"/>
              <w:numPr>
                <w:ilvl w:val="0"/>
                <w:numId w:val="7"/>
              </w:numPr>
              <w:pBdr>
                <w:top w:val="nil"/>
                <w:left w:val="nil"/>
                <w:bottom w:val="nil"/>
                <w:right w:val="nil"/>
                <w:between w:val="nil"/>
              </w:pBdr>
              <w:tabs>
                <w:tab w:val="right" w:pos="73"/>
                <w:tab w:val="right" w:pos="1712"/>
                <w:tab w:val="right" w:pos="4160"/>
                <w:tab w:val="right" w:pos="6528"/>
                <w:tab w:val="right" w:pos="9384"/>
              </w:tabs>
              <w:spacing w:before="60" w:after="60" w:line="240" w:lineRule="auto"/>
              <w:ind w:left="421"/>
              <w:rPr>
                <w:rFonts w:ascii="Calibri" w:eastAsia="Calibri" w:hAnsi="Calibri" w:cs="Calibri"/>
                <w:i/>
                <w:color w:val="000000"/>
              </w:rPr>
            </w:pPr>
            <w:r>
              <w:rPr>
                <w:rFonts w:ascii="Calibri" w:eastAsia="Calibri" w:hAnsi="Calibri" w:cs="Calibri"/>
                <w:i/>
                <w:color w:val="000000"/>
              </w:rPr>
              <w:t>How was the target determined?</w:t>
            </w:r>
          </w:p>
          <w:p w14:paraId="000000E1" w14:textId="77777777" w:rsidR="00490D7E" w:rsidRDefault="00707826">
            <w:pPr>
              <w:widowControl w:val="0"/>
              <w:numPr>
                <w:ilvl w:val="0"/>
                <w:numId w:val="7"/>
              </w:numPr>
              <w:pBdr>
                <w:top w:val="nil"/>
                <w:left w:val="nil"/>
                <w:bottom w:val="nil"/>
                <w:right w:val="nil"/>
                <w:between w:val="nil"/>
              </w:pBdr>
              <w:tabs>
                <w:tab w:val="right" w:pos="73"/>
                <w:tab w:val="right" w:pos="1712"/>
                <w:tab w:val="right" w:pos="4160"/>
                <w:tab w:val="right" w:pos="6528"/>
                <w:tab w:val="right" w:pos="9384"/>
              </w:tabs>
              <w:spacing w:before="60" w:after="60" w:line="240" w:lineRule="auto"/>
              <w:ind w:left="421"/>
              <w:rPr>
                <w:rFonts w:ascii="Calibri" w:eastAsia="Calibri" w:hAnsi="Calibri" w:cs="Calibri"/>
                <w:i/>
                <w:color w:val="000000"/>
              </w:rPr>
            </w:pPr>
            <w:r>
              <w:rPr>
                <w:rFonts w:ascii="Calibri" w:eastAsia="Calibri" w:hAnsi="Calibri" w:cs="Calibri"/>
                <w:i/>
                <w:color w:val="000000"/>
              </w:rPr>
              <w:t>Which gender indicator does this Output contribute to?</w:t>
            </w:r>
          </w:p>
        </w:tc>
        <w:tc>
          <w:tcPr>
            <w:tcW w:w="1741" w:type="dxa"/>
          </w:tcPr>
          <w:p w14:paraId="000000E2" w14:textId="77777777" w:rsidR="00490D7E" w:rsidRDefault="00707826">
            <w:pPr>
              <w:widowControl w:val="0"/>
              <w:numPr>
                <w:ilvl w:val="0"/>
                <w:numId w:val="7"/>
              </w:numPr>
              <w:pBdr>
                <w:top w:val="nil"/>
                <w:left w:val="nil"/>
                <w:bottom w:val="nil"/>
                <w:right w:val="nil"/>
                <w:between w:val="nil"/>
              </w:pBdr>
              <w:tabs>
                <w:tab w:val="right" w:pos="73"/>
                <w:tab w:val="right" w:pos="1712"/>
                <w:tab w:val="right" w:pos="4160"/>
                <w:tab w:val="right" w:pos="6528"/>
                <w:tab w:val="right" w:pos="9384"/>
              </w:tabs>
              <w:spacing w:before="60" w:after="60" w:line="240" w:lineRule="auto"/>
              <w:ind w:left="301"/>
              <w:rPr>
                <w:rFonts w:ascii="Calibri" w:eastAsia="Calibri" w:hAnsi="Calibri" w:cs="Calibri"/>
                <w:i/>
                <w:color w:val="000000"/>
              </w:rPr>
            </w:pPr>
            <w:r>
              <w:rPr>
                <w:rFonts w:ascii="Calibri" w:eastAsia="Calibri" w:hAnsi="Calibri" w:cs="Calibri"/>
                <w:i/>
                <w:color w:val="000000"/>
              </w:rPr>
              <w:t>What materials (presentations, websites, brochures, surveys, translation) are needed?</w:t>
            </w:r>
          </w:p>
          <w:p w14:paraId="000000E3" w14:textId="77777777" w:rsidR="00490D7E" w:rsidRDefault="00707826">
            <w:pPr>
              <w:widowControl w:val="0"/>
              <w:numPr>
                <w:ilvl w:val="0"/>
                <w:numId w:val="7"/>
              </w:numPr>
              <w:pBdr>
                <w:top w:val="nil"/>
                <w:left w:val="nil"/>
                <w:bottom w:val="nil"/>
                <w:right w:val="nil"/>
                <w:between w:val="nil"/>
              </w:pBdr>
              <w:tabs>
                <w:tab w:val="right" w:pos="73"/>
                <w:tab w:val="right" w:pos="1712"/>
                <w:tab w:val="right" w:pos="4160"/>
                <w:tab w:val="right" w:pos="6528"/>
                <w:tab w:val="right" w:pos="9384"/>
              </w:tabs>
              <w:spacing w:before="60" w:after="60" w:line="240" w:lineRule="auto"/>
              <w:ind w:left="301"/>
              <w:rPr>
                <w:rFonts w:ascii="Calibri" w:eastAsia="Calibri" w:hAnsi="Calibri" w:cs="Calibri"/>
                <w:i/>
                <w:color w:val="000000"/>
              </w:rPr>
            </w:pPr>
            <w:r>
              <w:rPr>
                <w:rFonts w:ascii="Calibri" w:eastAsia="Calibri" w:hAnsi="Calibri" w:cs="Calibri"/>
                <w:i/>
                <w:color w:val="000000"/>
              </w:rPr>
              <w:t>What personnel are needed to lead and monitor these actions?</w:t>
            </w:r>
          </w:p>
        </w:tc>
        <w:tc>
          <w:tcPr>
            <w:tcW w:w="1594" w:type="dxa"/>
          </w:tcPr>
          <w:p w14:paraId="000000E4" w14:textId="77777777" w:rsidR="00490D7E" w:rsidRDefault="00707826">
            <w:pPr>
              <w:widowControl w:val="0"/>
              <w:numPr>
                <w:ilvl w:val="0"/>
                <w:numId w:val="7"/>
              </w:numPr>
              <w:pBdr>
                <w:top w:val="nil"/>
                <w:left w:val="nil"/>
                <w:bottom w:val="nil"/>
                <w:right w:val="nil"/>
                <w:between w:val="nil"/>
              </w:pBdr>
              <w:tabs>
                <w:tab w:val="right" w:pos="73"/>
                <w:tab w:val="right" w:pos="1712"/>
                <w:tab w:val="right" w:pos="4160"/>
                <w:tab w:val="right" w:pos="6528"/>
                <w:tab w:val="right" w:pos="9384"/>
              </w:tabs>
              <w:spacing w:before="60" w:after="60" w:line="240" w:lineRule="auto"/>
              <w:ind w:left="391"/>
              <w:rPr>
                <w:rFonts w:ascii="Calibri" w:eastAsia="Calibri" w:hAnsi="Calibri" w:cs="Calibri"/>
                <w:i/>
                <w:color w:val="000000"/>
              </w:rPr>
            </w:pPr>
            <w:r>
              <w:rPr>
                <w:rFonts w:ascii="Calibri" w:eastAsia="Calibri" w:hAnsi="Calibri" w:cs="Calibri"/>
                <w:i/>
                <w:color w:val="000000"/>
              </w:rPr>
              <w:t xml:space="preserve">How much will this cost? </w:t>
            </w:r>
          </w:p>
        </w:tc>
      </w:tr>
      <w:tr w:rsidR="00490D7E" w14:paraId="2858B956" w14:textId="77777777">
        <w:trPr>
          <w:trHeight w:val="1296"/>
        </w:trPr>
        <w:tc>
          <w:tcPr>
            <w:tcW w:w="1880" w:type="dxa"/>
          </w:tcPr>
          <w:p w14:paraId="000000E5" w14:textId="77777777" w:rsidR="00490D7E" w:rsidRDefault="00707826">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Development of policies that take better account of women's specific needs and realities.</w:t>
            </w:r>
          </w:p>
        </w:tc>
        <w:tc>
          <w:tcPr>
            <w:tcW w:w="2812" w:type="dxa"/>
          </w:tcPr>
          <w:p w14:paraId="000000E6" w14:textId="77777777" w:rsidR="00490D7E" w:rsidRDefault="00707826">
            <w:pPr>
              <w:numPr>
                <w:ilvl w:val="0"/>
                <w:numId w:val="13"/>
              </w:numPr>
              <w:pBdr>
                <w:top w:val="nil"/>
                <w:left w:val="nil"/>
                <w:bottom w:val="nil"/>
                <w:right w:val="nil"/>
                <w:between w:val="nil"/>
              </w:pBdr>
              <w:spacing w:before="60" w:after="60" w:line="240" w:lineRule="auto"/>
              <w:ind w:left="308" w:hanging="283"/>
              <w:rPr>
                <w:rFonts w:ascii="Calibri" w:eastAsia="Calibri" w:hAnsi="Calibri" w:cs="Calibri"/>
                <w:color w:val="000000"/>
              </w:rPr>
            </w:pPr>
            <w:r>
              <w:rPr>
                <w:rFonts w:ascii="Calibri" w:eastAsia="Calibri" w:hAnsi="Calibri" w:cs="Calibri"/>
                <w:color w:val="000000"/>
              </w:rPr>
              <w:t>Promote participation of women representatives in collegiate bodies to discuss the national policy;</w:t>
            </w:r>
          </w:p>
          <w:p w14:paraId="000000E7" w14:textId="77777777" w:rsidR="00490D7E" w:rsidRDefault="00707826">
            <w:pPr>
              <w:numPr>
                <w:ilvl w:val="0"/>
                <w:numId w:val="13"/>
              </w:numPr>
              <w:spacing w:before="60" w:after="60" w:line="240" w:lineRule="auto"/>
              <w:ind w:left="308" w:hanging="283"/>
              <w:rPr>
                <w:rFonts w:ascii="Calibri" w:eastAsia="Calibri" w:hAnsi="Calibri" w:cs="Calibri"/>
              </w:rPr>
            </w:pPr>
            <w:r>
              <w:rPr>
                <w:rFonts w:ascii="Calibri" w:eastAsia="Calibri" w:hAnsi="Calibri" w:cs="Calibri"/>
              </w:rPr>
              <w:t>Develop and monitor gender-specific indicators to assess the impact of public policies on men and women.</w:t>
            </w:r>
          </w:p>
        </w:tc>
        <w:tc>
          <w:tcPr>
            <w:tcW w:w="1752" w:type="dxa"/>
          </w:tcPr>
          <w:p w14:paraId="000000E8" w14:textId="77777777" w:rsidR="00490D7E" w:rsidRDefault="00707826">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 Inclusion of at least 30% women representatives in all relevant collegiate bodies and policy discussion forums by the end of the first year;</w:t>
            </w:r>
          </w:p>
          <w:p w14:paraId="000000E9" w14:textId="77777777" w:rsidR="00490D7E" w:rsidRDefault="00707826">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 xml:space="preserve">- Development of at least 5 gender-specific </w:t>
            </w:r>
            <w:r>
              <w:rPr>
                <w:rFonts w:ascii="Calibri" w:eastAsia="Calibri" w:hAnsi="Calibri" w:cs="Calibri"/>
                <w:color w:val="000000"/>
              </w:rPr>
              <w:lastRenderedPageBreak/>
              <w:t>indicators to assess the impact of public policies on men and women in the first six months of the project;</w:t>
            </w:r>
          </w:p>
          <w:p w14:paraId="000000EA" w14:textId="77777777" w:rsidR="00490D7E" w:rsidRDefault="00707826">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 Implementing a monitoring and evaluation system by the end of the first year of the project to track these indicators, with annual reports on the impact of policies on gender equality.</w:t>
            </w:r>
          </w:p>
        </w:tc>
        <w:tc>
          <w:tcPr>
            <w:tcW w:w="1741" w:type="dxa"/>
          </w:tcPr>
          <w:p w14:paraId="000000EB" w14:textId="77777777" w:rsidR="00490D7E" w:rsidRDefault="00707826">
            <w:pPr>
              <w:spacing w:before="60" w:after="60" w:line="240" w:lineRule="auto"/>
              <w:rPr>
                <w:rFonts w:ascii="Calibri" w:eastAsia="Calibri" w:hAnsi="Calibri" w:cs="Calibri"/>
              </w:rPr>
            </w:pPr>
            <w:r>
              <w:rPr>
                <w:rFonts w:ascii="Calibri" w:eastAsia="Calibri" w:hAnsi="Calibri" w:cs="Calibri"/>
              </w:rPr>
              <w:lastRenderedPageBreak/>
              <w:t>- A senior safeguards specialist responsible for the execution of all safeguards plans, with particular attention to GMP;</w:t>
            </w:r>
          </w:p>
          <w:p w14:paraId="000000EC" w14:textId="77777777" w:rsidR="00490D7E" w:rsidRDefault="00707826">
            <w:pPr>
              <w:spacing w:before="60" w:after="60" w:line="240" w:lineRule="auto"/>
              <w:rPr>
                <w:rFonts w:ascii="Calibri" w:eastAsia="Calibri" w:hAnsi="Calibri" w:cs="Calibri"/>
              </w:rPr>
            </w:pPr>
            <w:r>
              <w:rPr>
                <w:rFonts w:ascii="Calibri" w:eastAsia="Calibri" w:hAnsi="Calibri" w:cs="Calibri"/>
              </w:rPr>
              <w:t xml:space="preserve">- A dedicated section on the project’s website to share </w:t>
            </w:r>
            <w:r>
              <w:rPr>
                <w:rFonts w:ascii="Calibri" w:eastAsia="Calibri" w:hAnsi="Calibri" w:cs="Calibri"/>
              </w:rPr>
              <w:lastRenderedPageBreak/>
              <w:t>updates, resources, best practices, and news related to gender mainstreaming;</w:t>
            </w:r>
          </w:p>
          <w:p w14:paraId="000000ED" w14:textId="77777777" w:rsidR="00490D7E" w:rsidRDefault="00707826">
            <w:pPr>
              <w:spacing w:before="60" w:after="60" w:line="240" w:lineRule="auto"/>
              <w:rPr>
                <w:rFonts w:ascii="Calibri" w:eastAsia="Calibri" w:hAnsi="Calibri" w:cs="Calibri"/>
              </w:rPr>
            </w:pPr>
            <w:r>
              <w:rPr>
                <w:rFonts w:ascii="Calibri" w:eastAsia="Calibri" w:hAnsi="Calibri" w:cs="Calibri"/>
              </w:rPr>
              <w:t>-  Information leaflets describing the principles, objectives and benefits of integrating gender into project activities;</w:t>
            </w:r>
          </w:p>
          <w:p w14:paraId="000000EE" w14:textId="77777777" w:rsidR="00490D7E" w:rsidRDefault="00707826">
            <w:pPr>
              <w:spacing w:before="60" w:after="60" w:line="240" w:lineRule="auto"/>
              <w:rPr>
                <w:rFonts w:ascii="Calibri" w:eastAsia="Calibri" w:hAnsi="Calibri" w:cs="Calibri"/>
              </w:rPr>
            </w:pPr>
            <w:r>
              <w:rPr>
                <w:rFonts w:ascii="Calibri" w:eastAsia="Calibri" w:hAnsi="Calibri" w:cs="Calibri"/>
              </w:rPr>
              <w:t>- Booklets with practical tips and resources for integrating gender considerations into technical assistance, policy development and monitoring;</w:t>
            </w:r>
          </w:p>
          <w:p w14:paraId="000000EF" w14:textId="77777777" w:rsidR="00490D7E" w:rsidRDefault="00707826">
            <w:pPr>
              <w:spacing w:before="60" w:after="60" w:line="240" w:lineRule="auto"/>
              <w:rPr>
                <w:rFonts w:ascii="Calibri" w:eastAsia="Calibri" w:hAnsi="Calibri" w:cs="Calibri"/>
              </w:rPr>
            </w:pPr>
            <w:r>
              <w:rPr>
                <w:rFonts w:ascii="Calibri" w:eastAsia="Calibri" w:hAnsi="Calibri" w:cs="Calibri"/>
              </w:rPr>
              <w:t>- Gender-sensitive surveys to collect data on the current situation and the impacts of the project's interventions on men and women, to be administered at the beginning and throughout the project;</w:t>
            </w:r>
          </w:p>
          <w:p w14:paraId="000000F0" w14:textId="77777777" w:rsidR="00490D7E" w:rsidRDefault="00707826">
            <w:pPr>
              <w:spacing w:before="60" w:after="60" w:line="240" w:lineRule="auto"/>
              <w:rPr>
                <w:rFonts w:ascii="Calibri" w:eastAsia="Calibri" w:hAnsi="Calibri" w:cs="Calibri"/>
              </w:rPr>
            </w:pPr>
            <w:r>
              <w:rPr>
                <w:rFonts w:ascii="Calibri" w:eastAsia="Calibri" w:hAnsi="Calibri" w:cs="Calibri"/>
              </w:rPr>
              <w:t xml:space="preserve">- Regular surveys for participants in workshops and training sessions </w:t>
            </w:r>
            <w:r>
              <w:rPr>
                <w:rFonts w:ascii="Calibri" w:eastAsia="Calibri" w:hAnsi="Calibri" w:cs="Calibri"/>
              </w:rPr>
              <w:lastRenderedPageBreak/>
              <w:t>to collect feedback on effectiveness and areas for improvement.</w:t>
            </w:r>
          </w:p>
        </w:tc>
        <w:tc>
          <w:tcPr>
            <w:tcW w:w="1594" w:type="dxa"/>
          </w:tcPr>
          <w:p w14:paraId="000000F1" w14:textId="05E921D2" w:rsidR="00490D7E" w:rsidRDefault="00707826">
            <w:pPr>
              <w:spacing w:before="60" w:after="60" w:line="240" w:lineRule="auto"/>
              <w:rPr>
                <w:rFonts w:ascii="Calibri" w:eastAsia="Calibri" w:hAnsi="Calibri" w:cs="Calibri"/>
                <w:i/>
                <w:color w:val="000000"/>
              </w:rPr>
            </w:pPr>
            <w:r>
              <w:rPr>
                <w:rFonts w:ascii="Calibri" w:eastAsia="Calibri" w:hAnsi="Calibri" w:cs="Calibri"/>
                <w:i/>
                <w:color w:val="000000"/>
              </w:rPr>
              <w:lastRenderedPageBreak/>
              <w:t>USD 250,000.00 (estimation based in 40% of the Safeguards Specialist time + costs for grievance hotline,</w:t>
            </w:r>
            <w:r w:rsidR="006E267A">
              <w:rPr>
                <w:rFonts w:ascii="Calibri" w:eastAsia="Calibri" w:hAnsi="Calibri" w:cs="Calibri"/>
                <w:i/>
                <w:color w:val="000000"/>
              </w:rPr>
              <w:t xml:space="preserve"> </w:t>
            </w:r>
            <w:r>
              <w:rPr>
                <w:rFonts w:ascii="Calibri" w:eastAsia="Calibri" w:hAnsi="Calibri" w:cs="Calibri"/>
                <w:i/>
                <w:color w:val="000000"/>
              </w:rPr>
              <w:t>comms materials and travel budget)</w:t>
            </w:r>
          </w:p>
        </w:tc>
      </w:tr>
      <w:tr w:rsidR="00490D7E" w14:paraId="6ECAF214" w14:textId="77777777">
        <w:trPr>
          <w:trHeight w:val="305"/>
        </w:trPr>
        <w:tc>
          <w:tcPr>
            <w:tcW w:w="9779" w:type="dxa"/>
            <w:gridSpan w:val="5"/>
            <w:shd w:val="clear" w:color="auto" w:fill="D5DCE4"/>
            <w:vAlign w:val="center"/>
          </w:tcPr>
          <w:p w14:paraId="000000F2"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b/>
                <w:color w:val="000000"/>
              </w:rPr>
            </w:pPr>
            <w:r>
              <w:rPr>
                <w:rFonts w:ascii="Calibri" w:eastAsia="Calibri" w:hAnsi="Calibri" w:cs="Calibri"/>
                <w:b/>
                <w:color w:val="000000"/>
              </w:rPr>
              <w:lastRenderedPageBreak/>
              <w:t xml:space="preserve">Component 2: Institutional strengthening and stakeholder engagement </w:t>
            </w:r>
          </w:p>
        </w:tc>
      </w:tr>
      <w:tr w:rsidR="00490D7E" w14:paraId="7AB5E14C" w14:textId="77777777">
        <w:trPr>
          <w:trHeight w:val="720"/>
        </w:trPr>
        <w:tc>
          <w:tcPr>
            <w:tcW w:w="1880" w:type="dxa"/>
            <w:vAlign w:val="center"/>
          </w:tcPr>
          <w:p w14:paraId="000000F7"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jc w:val="both"/>
              <w:rPr>
                <w:rFonts w:ascii="Calibri" w:eastAsia="Calibri" w:hAnsi="Calibri" w:cs="Calibri"/>
                <w:b/>
                <w:i/>
                <w:color w:val="000000"/>
              </w:rPr>
            </w:pPr>
            <w:r>
              <w:rPr>
                <w:rFonts w:ascii="Calibri" w:eastAsia="Calibri" w:hAnsi="Calibri" w:cs="Calibri"/>
                <w:color w:val="000000"/>
              </w:rPr>
              <w:t>Integrated Gender-Responsive Institutional Framework and Stakeholder Collaboration Model</w:t>
            </w:r>
          </w:p>
        </w:tc>
        <w:tc>
          <w:tcPr>
            <w:tcW w:w="2812" w:type="dxa"/>
          </w:tcPr>
          <w:p w14:paraId="000000F8" w14:textId="77777777" w:rsidR="00490D7E" w:rsidRDefault="00707826">
            <w:pPr>
              <w:numPr>
                <w:ilvl w:val="0"/>
                <w:numId w:val="10"/>
              </w:numPr>
              <w:pBdr>
                <w:top w:val="nil"/>
                <w:left w:val="nil"/>
                <w:bottom w:val="nil"/>
                <w:right w:val="nil"/>
                <w:between w:val="nil"/>
              </w:pBdr>
              <w:spacing w:before="60" w:after="60" w:line="240" w:lineRule="auto"/>
              <w:ind w:left="308" w:hanging="283"/>
              <w:rPr>
                <w:rFonts w:ascii="Calibri" w:eastAsia="Calibri" w:hAnsi="Calibri" w:cs="Calibri"/>
              </w:rPr>
            </w:pPr>
            <w:r>
              <w:rPr>
                <w:rFonts w:ascii="Calibri" w:eastAsia="Calibri" w:hAnsi="Calibri" w:cs="Calibri"/>
              </w:rPr>
              <w:t>Training or sensitizing institutions that deliver ATER aiming to have a gender approach in technical assistance programs (e.g. implementing a gender-responsive model for technical assistance; or developing internal policies for those institutions);</w:t>
            </w:r>
          </w:p>
          <w:p w14:paraId="000000F9" w14:textId="77777777" w:rsidR="00490D7E" w:rsidRDefault="00707826">
            <w:pPr>
              <w:numPr>
                <w:ilvl w:val="0"/>
                <w:numId w:val="10"/>
              </w:numPr>
              <w:pBdr>
                <w:top w:val="nil"/>
                <w:left w:val="nil"/>
                <w:bottom w:val="nil"/>
                <w:right w:val="nil"/>
                <w:between w:val="nil"/>
              </w:pBdr>
              <w:spacing w:before="60" w:after="60" w:line="240" w:lineRule="auto"/>
              <w:ind w:left="308" w:hanging="283"/>
              <w:rPr>
                <w:rFonts w:ascii="Calibri" w:eastAsia="Calibri" w:hAnsi="Calibri" w:cs="Calibri"/>
              </w:rPr>
            </w:pPr>
            <w:r>
              <w:rPr>
                <w:rFonts w:ascii="Calibri" w:eastAsia="Calibri" w:hAnsi="Calibri" w:cs="Calibri"/>
              </w:rPr>
              <w:t>Make site specific/supply chain specific gender analysis and baseline collection to identify gaps and opportunities for GESI (for example, when deciding demonstration sites to implement restoration and improved practices)</w:t>
            </w:r>
          </w:p>
          <w:p w14:paraId="000000FA" w14:textId="77777777" w:rsidR="00490D7E" w:rsidRDefault="00707826">
            <w:pPr>
              <w:numPr>
                <w:ilvl w:val="0"/>
                <w:numId w:val="10"/>
              </w:numPr>
              <w:pBdr>
                <w:top w:val="nil"/>
                <w:left w:val="nil"/>
                <w:bottom w:val="nil"/>
                <w:right w:val="nil"/>
                <w:between w:val="nil"/>
              </w:pBdr>
              <w:spacing w:before="60" w:after="60" w:line="240" w:lineRule="auto"/>
              <w:ind w:left="308" w:hanging="283"/>
              <w:rPr>
                <w:rFonts w:ascii="Calibri" w:eastAsia="Calibri" w:hAnsi="Calibri" w:cs="Calibri"/>
              </w:rPr>
            </w:pPr>
            <w:r>
              <w:rPr>
                <w:rFonts w:ascii="Calibri" w:eastAsia="Calibri" w:hAnsi="Calibri" w:cs="Calibri"/>
              </w:rPr>
              <w:t>Develop and monitor gender-specific indicators to assess the impact of restoration and sustainable production initiatives on women and men;</w:t>
            </w:r>
          </w:p>
          <w:p w14:paraId="000000FB" w14:textId="77777777" w:rsidR="00490D7E" w:rsidRDefault="00707826">
            <w:pPr>
              <w:numPr>
                <w:ilvl w:val="0"/>
                <w:numId w:val="10"/>
              </w:numPr>
              <w:pBdr>
                <w:top w:val="nil"/>
                <w:left w:val="nil"/>
                <w:bottom w:val="nil"/>
                <w:right w:val="nil"/>
                <w:between w:val="nil"/>
              </w:pBdr>
              <w:spacing w:before="60" w:after="60" w:line="240" w:lineRule="auto"/>
              <w:ind w:left="308" w:hanging="283"/>
              <w:rPr>
                <w:rFonts w:ascii="Calibri" w:eastAsia="Calibri" w:hAnsi="Calibri" w:cs="Calibri"/>
              </w:rPr>
            </w:pPr>
            <w:r>
              <w:rPr>
                <w:rFonts w:ascii="Calibri" w:eastAsia="Calibri" w:hAnsi="Calibri" w:cs="Calibri"/>
              </w:rPr>
              <w:t>Include gender impact assessments in the  operational management plans of the restoration network, adjusting approaches as necessary to ensure equity</w:t>
            </w:r>
          </w:p>
          <w:p w14:paraId="000000FC" w14:textId="77777777" w:rsidR="00490D7E" w:rsidRDefault="00707826">
            <w:pPr>
              <w:numPr>
                <w:ilvl w:val="0"/>
                <w:numId w:val="10"/>
              </w:numPr>
              <w:pBdr>
                <w:top w:val="nil"/>
                <w:left w:val="nil"/>
                <w:bottom w:val="nil"/>
                <w:right w:val="nil"/>
                <w:between w:val="nil"/>
              </w:pBdr>
              <w:spacing w:before="60" w:after="60" w:line="240" w:lineRule="auto"/>
              <w:ind w:left="308" w:hanging="283"/>
              <w:rPr>
                <w:rFonts w:ascii="Calibri" w:eastAsia="Calibri" w:hAnsi="Calibri" w:cs="Calibri"/>
              </w:rPr>
            </w:pPr>
            <w:r>
              <w:rPr>
                <w:rFonts w:ascii="Calibri" w:eastAsia="Calibri" w:hAnsi="Calibri" w:cs="Calibri"/>
              </w:rPr>
              <w:t xml:space="preserve">Ensure the inclusion of a gender criteria (e.g. </w:t>
            </w:r>
            <w:r>
              <w:rPr>
                <w:rFonts w:ascii="Calibri" w:eastAsia="Calibri" w:hAnsi="Calibri" w:cs="Calibri"/>
              </w:rPr>
              <w:lastRenderedPageBreak/>
              <w:t>woman leadership in the area; or participation of women in the supply chain) when selecting areas for the implementation demonstration sites.</w:t>
            </w:r>
          </w:p>
          <w:p w14:paraId="000000FD" w14:textId="77777777" w:rsidR="00490D7E" w:rsidRDefault="00490D7E">
            <w:pPr>
              <w:pBdr>
                <w:top w:val="nil"/>
                <w:left w:val="nil"/>
                <w:bottom w:val="nil"/>
                <w:right w:val="nil"/>
                <w:between w:val="nil"/>
              </w:pBdr>
              <w:spacing w:before="60" w:after="60" w:line="240" w:lineRule="auto"/>
              <w:rPr>
                <w:rFonts w:ascii="Calibri" w:eastAsia="Calibri" w:hAnsi="Calibri" w:cs="Calibri"/>
                <w:color w:val="000000"/>
              </w:rPr>
            </w:pPr>
          </w:p>
        </w:tc>
        <w:tc>
          <w:tcPr>
            <w:tcW w:w="1752" w:type="dxa"/>
            <w:vAlign w:val="center"/>
          </w:tcPr>
          <w:p w14:paraId="000000FE"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color w:val="000000"/>
              </w:rPr>
            </w:pPr>
            <w:r>
              <w:rPr>
                <w:rFonts w:ascii="Calibri" w:eastAsia="Calibri" w:hAnsi="Calibri" w:cs="Calibri"/>
                <w:color w:val="000000"/>
              </w:rPr>
              <w:lastRenderedPageBreak/>
              <w:t>- At least 50% of institutions providing ATER trained or sensitized on integrating a gender approach in their technical assistance programs;</w:t>
            </w:r>
          </w:p>
          <w:p w14:paraId="000000FF" w14:textId="77777777" w:rsidR="00490D7E" w:rsidRDefault="00707826">
            <w:pPr>
              <w:spacing w:before="60" w:after="60" w:line="240" w:lineRule="auto"/>
              <w:rPr>
                <w:rFonts w:ascii="Calibri" w:eastAsia="Calibri" w:hAnsi="Calibri" w:cs="Calibri"/>
              </w:rPr>
            </w:pPr>
            <w:r>
              <w:rPr>
                <w:rFonts w:ascii="Calibri" w:eastAsia="Calibri" w:hAnsi="Calibri" w:cs="Calibri"/>
              </w:rPr>
              <w:t>- Completion of gender analysis and baseline data collection for at least 10 key sites or supply chains within the first year of the project;</w:t>
            </w:r>
          </w:p>
          <w:p w14:paraId="00000100" w14:textId="77777777" w:rsidR="00490D7E" w:rsidRDefault="00707826">
            <w:pPr>
              <w:spacing w:before="60" w:after="60" w:line="240" w:lineRule="auto"/>
              <w:rPr>
                <w:rFonts w:ascii="Calibri" w:eastAsia="Calibri" w:hAnsi="Calibri" w:cs="Calibri"/>
              </w:rPr>
            </w:pPr>
            <w:r>
              <w:rPr>
                <w:rFonts w:ascii="Calibri" w:eastAsia="Calibri" w:hAnsi="Calibri" w:cs="Calibri"/>
              </w:rPr>
              <w:t>- Identification of at least 5 key gaps and opportunities for GESI in these sites or supply chains;</w:t>
            </w:r>
          </w:p>
          <w:p w14:paraId="00000101" w14:textId="77777777" w:rsidR="00490D7E" w:rsidRDefault="00707826">
            <w:pPr>
              <w:spacing w:before="60" w:after="60" w:line="240" w:lineRule="auto"/>
              <w:rPr>
                <w:rFonts w:ascii="Calibri" w:eastAsia="Calibri" w:hAnsi="Calibri" w:cs="Calibri"/>
              </w:rPr>
            </w:pPr>
            <w:r>
              <w:rPr>
                <w:rFonts w:ascii="Calibri" w:eastAsia="Calibri" w:hAnsi="Calibri" w:cs="Calibri"/>
              </w:rPr>
              <w:t xml:space="preserve">- Development of at least 10 gender-specific indicators to assess the impact of restoration and sustainable production initiatives within the first six </w:t>
            </w:r>
            <w:r>
              <w:rPr>
                <w:rFonts w:ascii="Calibri" w:eastAsia="Calibri" w:hAnsi="Calibri" w:cs="Calibri"/>
              </w:rPr>
              <w:lastRenderedPageBreak/>
              <w:t>months of the project;</w:t>
            </w:r>
          </w:p>
          <w:p w14:paraId="00000102" w14:textId="77777777" w:rsidR="00490D7E" w:rsidRDefault="00707826">
            <w:pPr>
              <w:spacing w:before="60" w:after="60" w:line="240" w:lineRule="auto"/>
              <w:rPr>
                <w:rFonts w:ascii="Calibri" w:eastAsia="Calibri" w:hAnsi="Calibri" w:cs="Calibri"/>
              </w:rPr>
            </w:pPr>
            <w:r>
              <w:rPr>
                <w:rFonts w:ascii="Calibri" w:eastAsia="Calibri" w:hAnsi="Calibri" w:cs="Calibri"/>
              </w:rPr>
              <w:t>At least 30% of selected demonstration sites led by women or featuring significant participation of women in the supply chain.</w:t>
            </w:r>
          </w:p>
        </w:tc>
        <w:tc>
          <w:tcPr>
            <w:tcW w:w="1741" w:type="dxa"/>
            <w:vAlign w:val="center"/>
          </w:tcPr>
          <w:p w14:paraId="00000103"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color w:val="000000"/>
              </w:rPr>
            </w:pPr>
            <w:r>
              <w:rPr>
                <w:rFonts w:ascii="Calibri" w:eastAsia="Calibri" w:hAnsi="Calibri" w:cs="Calibri"/>
                <w:color w:val="000000"/>
              </w:rPr>
              <w:lastRenderedPageBreak/>
              <w:t>Training materials: Training modules and manuals on gender mainstreaming;</w:t>
            </w:r>
          </w:p>
          <w:p w14:paraId="00000104"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color w:val="000000"/>
              </w:rPr>
            </w:pPr>
            <w:r>
              <w:rPr>
                <w:rFonts w:ascii="Calibri" w:eastAsia="Calibri" w:hAnsi="Calibri" w:cs="Calibri"/>
                <w:color w:val="000000"/>
              </w:rPr>
              <w:t>Workshops and materials: Venue and logistical support for workshops.</w:t>
            </w:r>
          </w:p>
          <w:p w14:paraId="00000105"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color w:val="000000"/>
              </w:rPr>
            </w:pPr>
            <w:r>
              <w:rPr>
                <w:rFonts w:ascii="Calibri" w:eastAsia="Calibri" w:hAnsi="Calibri" w:cs="Calibri"/>
                <w:color w:val="000000"/>
              </w:rPr>
              <w:t>Facilitators with experience in gender mainstreaming and technical assistance.</w:t>
            </w:r>
          </w:p>
          <w:p w14:paraId="00000106"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jc w:val="center"/>
              <w:rPr>
                <w:rFonts w:ascii="Calibri" w:eastAsia="Calibri" w:hAnsi="Calibri" w:cs="Calibri"/>
                <w:b/>
                <w:color w:val="000000"/>
              </w:rPr>
            </w:pPr>
          </w:p>
        </w:tc>
        <w:tc>
          <w:tcPr>
            <w:tcW w:w="1594" w:type="dxa"/>
          </w:tcPr>
          <w:p w14:paraId="00000107"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i/>
                <w:color w:val="000000"/>
              </w:rPr>
            </w:pPr>
            <w:r>
              <w:rPr>
                <w:rFonts w:ascii="Calibri" w:eastAsia="Calibri" w:hAnsi="Calibri" w:cs="Calibri"/>
                <w:i/>
                <w:color w:val="000000"/>
              </w:rPr>
              <w:t>USD 100.000,00 (Costs for Comms Materials, Travels &amp; Consultants)</w:t>
            </w:r>
          </w:p>
        </w:tc>
      </w:tr>
      <w:tr w:rsidR="00490D7E" w14:paraId="2E91205D" w14:textId="77777777">
        <w:trPr>
          <w:trHeight w:val="152"/>
        </w:trPr>
        <w:tc>
          <w:tcPr>
            <w:tcW w:w="9779" w:type="dxa"/>
            <w:gridSpan w:val="5"/>
            <w:shd w:val="clear" w:color="auto" w:fill="D5DCE4"/>
            <w:vAlign w:val="center"/>
          </w:tcPr>
          <w:p w14:paraId="00000108"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b/>
                <w:color w:val="000000"/>
              </w:rPr>
            </w:pPr>
            <w:r>
              <w:rPr>
                <w:rFonts w:ascii="Calibri" w:eastAsia="Calibri" w:hAnsi="Calibri" w:cs="Calibri"/>
                <w:b/>
                <w:color w:val="000000"/>
              </w:rPr>
              <w:t>Component 3: Financial Mechanisms</w:t>
            </w:r>
          </w:p>
        </w:tc>
      </w:tr>
      <w:tr w:rsidR="00490D7E" w14:paraId="10935E17" w14:textId="77777777">
        <w:trPr>
          <w:trHeight w:val="720"/>
        </w:trPr>
        <w:tc>
          <w:tcPr>
            <w:tcW w:w="1880" w:type="dxa"/>
            <w:vAlign w:val="center"/>
          </w:tcPr>
          <w:p w14:paraId="0000010D"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b/>
                <w:i/>
                <w:color w:val="000000"/>
              </w:rPr>
            </w:pPr>
            <w:r>
              <w:rPr>
                <w:rFonts w:ascii="Calibri" w:eastAsia="Calibri" w:hAnsi="Calibri" w:cs="Calibri"/>
                <w:b/>
                <w:i/>
                <w:color w:val="000000"/>
              </w:rPr>
              <w:t>Development and Implementation of Gender-Sensitive Financial Mechanisms for Restoration and Sustainable Production Initiatives</w:t>
            </w:r>
          </w:p>
        </w:tc>
        <w:tc>
          <w:tcPr>
            <w:tcW w:w="2812" w:type="dxa"/>
            <w:vAlign w:val="center"/>
          </w:tcPr>
          <w:p w14:paraId="0000010E" w14:textId="77777777" w:rsidR="00490D7E" w:rsidRDefault="00707826">
            <w:pPr>
              <w:numPr>
                <w:ilvl w:val="0"/>
                <w:numId w:val="11"/>
              </w:numPr>
              <w:pBdr>
                <w:top w:val="nil"/>
                <w:left w:val="nil"/>
                <w:bottom w:val="nil"/>
                <w:right w:val="nil"/>
                <w:between w:val="nil"/>
              </w:pBdr>
              <w:spacing w:before="60" w:after="60" w:line="240" w:lineRule="auto"/>
              <w:ind w:left="308" w:hanging="283"/>
              <w:rPr>
                <w:rFonts w:ascii="Calibri" w:eastAsia="Calibri" w:hAnsi="Calibri" w:cs="Calibri"/>
              </w:rPr>
            </w:pPr>
            <w:r>
              <w:rPr>
                <w:rFonts w:ascii="Calibri" w:eastAsia="Calibri" w:hAnsi="Calibri" w:cs="Calibri"/>
              </w:rPr>
              <w:t>Analysis on financial needs to identify opportunities to incorporate GESI criteria in financial mechanisms (e.g. giving extra points for women-led proposals)</w:t>
            </w:r>
          </w:p>
          <w:p w14:paraId="0000010F" w14:textId="77777777" w:rsidR="00490D7E" w:rsidRDefault="00707826">
            <w:pPr>
              <w:numPr>
                <w:ilvl w:val="0"/>
                <w:numId w:val="11"/>
              </w:numPr>
              <w:pBdr>
                <w:top w:val="nil"/>
                <w:left w:val="nil"/>
                <w:bottom w:val="nil"/>
                <w:right w:val="nil"/>
                <w:between w:val="nil"/>
              </w:pBdr>
              <w:spacing w:before="60" w:after="60" w:line="240" w:lineRule="auto"/>
              <w:ind w:left="308" w:hanging="283"/>
              <w:rPr>
                <w:rFonts w:ascii="Calibri" w:eastAsia="Calibri" w:hAnsi="Calibri" w:cs="Calibri"/>
              </w:rPr>
            </w:pPr>
            <w:r>
              <w:rPr>
                <w:rFonts w:ascii="Calibri" w:eastAsia="Calibri" w:hAnsi="Calibri" w:cs="Calibri"/>
              </w:rPr>
              <w:t>Develop specific indicators to monitor access to resources on women and men</w:t>
            </w:r>
          </w:p>
          <w:p w14:paraId="00000110" w14:textId="77777777" w:rsidR="00490D7E" w:rsidRDefault="00707826">
            <w:pPr>
              <w:numPr>
                <w:ilvl w:val="0"/>
                <w:numId w:val="11"/>
              </w:numPr>
              <w:pBdr>
                <w:top w:val="nil"/>
                <w:left w:val="nil"/>
                <w:bottom w:val="nil"/>
                <w:right w:val="nil"/>
                <w:between w:val="nil"/>
              </w:pBdr>
              <w:spacing w:before="60" w:after="60" w:line="240" w:lineRule="auto"/>
              <w:ind w:left="308" w:hanging="283"/>
              <w:rPr>
                <w:rFonts w:ascii="Calibri" w:eastAsia="Calibri" w:hAnsi="Calibri" w:cs="Calibri"/>
              </w:rPr>
            </w:pPr>
            <w:r>
              <w:rPr>
                <w:rFonts w:ascii="Calibri" w:eastAsia="Calibri" w:hAnsi="Calibri" w:cs="Calibri"/>
              </w:rPr>
              <w:t>Support the structuring of funds dedicated to supporting restoration initiatives and production practices that promote gender equality;</w:t>
            </w:r>
          </w:p>
          <w:p w14:paraId="00000111" w14:textId="77777777" w:rsidR="00490D7E" w:rsidRDefault="00707826">
            <w:pPr>
              <w:numPr>
                <w:ilvl w:val="0"/>
                <w:numId w:val="11"/>
              </w:numPr>
              <w:pBdr>
                <w:top w:val="nil"/>
                <w:left w:val="nil"/>
                <w:bottom w:val="nil"/>
                <w:right w:val="nil"/>
                <w:between w:val="nil"/>
              </w:pBdr>
              <w:spacing w:before="60" w:after="60" w:line="240" w:lineRule="auto"/>
              <w:ind w:left="308" w:hanging="283"/>
              <w:rPr>
                <w:rFonts w:ascii="Calibri" w:eastAsia="Calibri" w:hAnsi="Calibri" w:cs="Calibri"/>
              </w:rPr>
            </w:pPr>
            <w:r>
              <w:rPr>
                <w:rFonts w:ascii="Calibri" w:eastAsia="Calibri" w:hAnsi="Calibri" w:cs="Calibri"/>
              </w:rPr>
              <w:t>Organize workshops and trainings for women on financing opportunities, carbon markets and PSA.</w:t>
            </w:r>
          </w:p>
          <w:p w14:paraId="00000112"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ind w:left="-15" w:firstLine="15"/>
              <w:jc w:val="center"/>
              <w:rPr>
                <w:rFonts w:ascii="Calibri" w:eastAsia="Calibri" w:hAnsi="Calibri" w:cs="Calibri"/>
                <w:color w:val="000000"/>
              </w:rPr>
            </w:pPr>
          </w:p>
        </w:tc>
        <w:tc>
          <w:tcPr>
            <w:tcW w:w="1752" w:type="dxa"/>
            <w:vAlign w:val="center"/>
          </w:tcPr>
          <w:p w14:paraId="00000113" w14:textId="77777777" w:rsidR="00490D7E" w:rsidRDefault="00707826">
            <w:pPr>
              <w:spacing w:before="60" w:after="60" w:line="240" w:lineRule="auto"/>
              <w:rPr>
                <w:rFonts w:ascii="Calibri" w:eastAsia="Calibri" w:hAnsi="Calibri" w:cs="Calibri"/>
              </w:rPr>
            </w:pPr>
            <w:r>
              <w:rPr>
                <w:rFonts w:ascii="Calibri" w:eastAsia="Calibri" w:hAnsi="Calibri" w:cs="Calibri"/>
              </w:rPr>
              <w:t>- Completion of a comprehensive financial needs analysis identifying opportunities to incorporate GESI criteria within the first six months of the project;</w:t>
            </w:r>
          </w:p>
          <w:p w14:paraId="00000114" w14:textId="77777777" w:rsidR="00490D7E" w:rsidRDefault="00707826">
            <w:pPr>
              <w:spacing w:before="60" w:after="60" w:line="240" w:lineRule="auto"/>
              <w:rPr>
                <w:rFonts w:ascii="Calibri" w:eastAsia="Calibri" w:hAnsi="Calibri" w:cs="Calibri"/>
              </w:rPr>
            </w:pPr>
            <w:r>
              <w:rPr>
                <w:rFonts w:ascii="Calibri" w:eastAsia="Calibri" w:hAnsi="Calibri" w:cs="Calibri"/>
              </w:rPr>
              <w:t>- Integration of GESI criteria in at least 35% of financial mechanisms reviewed by the end of the first year;</w:t>
            </w:r>
          </w:p>
          <w:p w14:paraId="00000115" w14:textId="77777777" w:rsidR="00490D7E" w:rsidRDefault="00707826">
            <w:pPr>
              <w:spacing w:before="60" w:after="60" w:line="240" w:lineRule="auto"/>
              <w:rPr>
                <w:rFonts w:ascii="Calibri" w:eastAsia="Calibri" w:hAnsi="Calibri" w:cs="Calibri"/>
              </w:rPr>
            </w:pPr>
            <w:r>
              <w:rPr>
                <w:rFonts w:ascii="Calibri" w:eastAsia="Calibri" w:hAnsi="Calibri" w:cs="Calibri"/>
              </w:rPr>
              <w:t xml:space="preserve">- Organization of at least one workshop or training sessions per year focusing on financing opportunities, carbon markets and Payment for Ecosystem </w:t>
            </w:r>
            <w:r>
              <w:rPr>
                <w:rFonts w:ascii="Calibri" w:eastAsia="Calibri" w:hAnsi="Calibri" w:cs="Calibri"/>
              </w:rPr>
              <w:lastRenderedPageBreak/>
              <w:t>Services (PES) for women</w:t>
            </w:r>
          </w:p>
        </w:tc>
        <w:tc>
          <w:tcPr>
            <w:tcW w:w="1741" w:type="dxa"/>
            <w:vAlign w:val="center"/>
          </w:tcPr>
          <w:p w14:paraId="00000116" w14:textId="77777777" w:rsidR="00490D7E" w:rsidRDefault="00707826">
            <w:pPr>
              <w:widowControl w:val="0"/>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lastRenderedPageBreak/>
              <w:t>Financial consultant with experience in GESI integration.</w:t>
            </w:r>
          </w:p>
          <w:p w14:paraId="00000117" w14:textId="77777777" w:rsidR="00490D7E" w:rsidRDefault="00707826">
            <w:pPr>
              <w:widowControl w:val="0"/>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Gender  specialist to support the adaptation of financial mechanisms.</w:t>
            </w:r>
          </w:p>
        </w:tc>
        <w:tc>
          <w:tcPr>
            <w:tcW w:w="1594" w:type="dxa"/>
          </w:tcPr>
          <w:p w14:paraId="00000118"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i/>
                <w:color w:val="000000"/>
              </w:rPr>
            </w:pPr>
            <w:r>
              <w:rPr>
                <w:rFonts w:ascii="Calibri" w:eastAsia="Calibri" w:hAnsi="Calibri" w:cs="Calibri"/>
                <w:i/>
                <w:color w:val="000000"/>
              </w:rPr>
              <w:t>USD 100,000.00 (Financial Consultant + Gender Specialist within the consultancy teams)</w:t>
            </w:r>
          </w:p>
        </w:tc>
      </w:tr>
      <w:tr w:rsidR="00490D7E" w14:paraId="008D44B8" w14:textId="77777777">
        <w:trPr>
          <w:trHeight w:val="495"/>
        </w:trPr>
        <w:tc>
          <w:tcPr>
            <w:tcW w:w="9779" w:type="dxa"/>
            <w:gridSpan w:val="5"/>
            <w:shd w:val="clear" w:color="auto" w:fill="D5DCE4"/>
            <w:vAlign w:val="center"/>
          </w:tcPr>
          <w:p w14:paraId="00000119"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b/>
                <w:color w:val="000000"/>
              </w:rPr>
            </w:pPr>
            <w:r>
              <w:rPr>
                <w:rFonts w:ascii="Calibri" w:eastAsia="Calibri" w:hAnsi="Calibri" w:cs="Calibri"/>
                <w:b/>
                <w:color w:val="000000"/>
              </w:rPr>
              <w:t>Component 4: Monitoring and Evaluation</w:t>
            </w:r>
          </w:p>
        </w:tc>
      </w:tr>
      <w:tr w:rsidR="00490D7E" w14:paraId="4691E856" w14:textId="77777777">
        <w:trPr>
          <w:trHeight w:val="720"/>
        </w:trPr>
        <w:tc>
          <w:tcPr>
            <w:tcW w:w="1880" w:type="dxa"/>
            <w:vAlign w:val="center"/>
          </w:tcPr>
          <w:p w14:paraId="0000011E"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b/>
                <w:i/>
                <w:color w:val="000000"/>
              </w:rPr>
            </w:pPr>
            <w:r>
              <w:rPr>
                <w:rFonts w:ascii="Calibri" w:eastAsia="Calibri" w:hAnsi="Calibri" w:cs="Calibri"/>
                <w:color w:val="000000"/>
              </w:rPr>
              <w:t>Comprehensive Gender-Sensitive Monitoring and Evaluation Framework</w:t>
            </w:r>
          </w:p>
        </w:tc>
        <w:tc>
          <w:tcPr>
            <w:tcW w:w="2812" w:type="dxa"/>
            <w:vAlign w:val="center"/>
          </w:tcPr>
          <w:p w14:paraId="0000011F" w14:textId="77777777" w:rsidR="00490D7E" w:rsidRDefault="00707826">
            <w:pPr>
              <w:numPr>
                <w:ilvl w:val="0"/>
                <w:numId w:val="8"/>
              </w:numPr>
              <w:pBdr>
                <w:top w:val="nil"/>
                <w:left w:val="nil"/>
                <w:bottom w:val="nil"/>
                <w:right w:val="nil"/>
                <w:between w:val="nil"/>
              </w:pBdr>
              <w:spacing w:before="60" w:after="60" w:line="240" w:lineRule="auto"/>
              <w:ind w:left="308" w:hanging="283"/>
              <w:rPr>
                <w:rFonts w:ascii="Calibri" w:eastAsia="Calibri" w:hAnsi="Calibri" w:cs="Calibri"/>
              </w:rPr>
            </w:pPr>
            <w:r>
              <w:rPr>
                <w:rFonts w:ascii="Calibri" w:eastAsia="Calibri" w:hAnsi="Calibri" w:cs="Calibri"/>
              </w:rPr>
              <w:t>Knowledge management product on GESI;</w:t>
            </w:r>
          </w:p>
          <w:p w14:paraId="00000120" w14:textId="77777777" w:rsidR="00490D7E" w:rsidRDefault="00707826">
            <w:pPr>
              <w:numPr>
                <w:ilvl w:val="0"/>
                <w:numId w:val="8"/>
              </w:numPr>
              <w:pBdr>
                <w:top w:val="nil"/>
                <w:left w:val="nil"/>
                <w:bottom w:val="nil"/>
                <w:right w:val="nil"/>
                <w:between w:val="nil"/>
              </w:pBdr>
              <w:spacing w:before="60" w:after="60" w:line="240" w:lineRule="auto"/>
              <w:ind w:left="308" w:hanging="283"/>
              <w:rPr>
                <w:rFonts w:ascii="Calibri" w:eastAsia="Calibri" w:hAnsi="Calibri" w:cs="Calibri"/>
              </w:rPr>
            </w:pPr>
            <w:r>
              <w:rPr>
                <w:rFonts w:ascii="Calibri" w:eastAsia="Calibri" w:hAnsi="Calibri" w:cs="Calibri"/>
              </w:rPr>
              <w:t>Training project staff in mainstreaming gender or at least sensitizing (100% of project staff) </w:t>
            </w:r>
          </w:p>
          <w:p w14:paraId="00000121" w14:textId="77777777" w:rsidR="00490D7E" w:rsidRDefault="00707826">
            <w:pPr>
              <w:numPr>
                <w:ilvl w:val="0"/>
                <w:numId w:val="8"/>
              </w:numPr>
              <w:pBdr>
                <w:top w:val="nil"/>
                <w:left w:val="nil"/>
                <w:bottom w:val="nil"/>
                <w:right w:val="nil"/>
                <w:between w:val="nil"/>
              </w:pBdr>
              <w:spacing w:before="60" w:after="60" w:line="240" w:lineRule="auto"/>
              <w:ind w:left="308" w:hanging="283"/>
              <w:rPr>
                <w:rFonts w:ascii="Calibri" w:eastAsia="Calibri" w:hAnsi="Calibri" w:cs="Calibri"/>
              </w:rPr>
            </w:pPr>
            <w:r>
              <w:rPr>
                <w:rFonts w:ascii="Calibri" w:eastAsia="Calibri" w:hAnsi="Calibri" w:cs="Calibri"/>
              </w:rPr>
              <w:t>Ensure that at least 50% of the lecturers for any training/events are women;</w:t>
            </w:r>
          </w:p>
          <w:p w14:paraId="00000122" w14:textId="77777777" w:rsidR="00490D7E" w:rsidRDefault="00707826">
            <w:pPr>
              <w:numPr>
                <w:ilvl w:val="0"/>
                <w:numId w:val="8"/>
              </w:numPr>
              <w:pBdr>
                <w:top w:val="nil"/>
                <w:left w:val="nil"/>
                <w:bottom w:val="nil"/>
                <w:right w:val="nil"/>
                <w:between w:val="nil"/>
              </w:pBdr>
              <w:spacing w:before="60" w:after="60" w:line="240" w:lineRule="auto"/>
              <w:ind w:left="308" w:hanging="283"/>
              <w:rPr>
                <w:rFonts w:ascii="Calibri" w:eastAsia="Calibri" w:hAnsi="Calibri" w:cs="Calibri"/>
              </w:rPr>
            </w:pPr>
            <w:r>
              <w:rPr>
                <w:rFonts w:ascii="Calibri" w:eastAsia="Calibri" w:hAnsi="Calibri" w:cs="Calibri"/>
              </w:rPr>
              <w:t>Consider gender-sensitive approach across the project’s results framework.</w:t>
            </w:r>
          </w:p>
        </w:tc>
        <w:tc>
          <w:tcPr>
            <w:tcW w:w="1752" w:type="dxa"/>
            <w:vAlign w:val="center"/>
          </w:tcPr>
          <w:p w14:paraId="00000123"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color w:val="000000"/>
              </w:rPr>
            </w:pPr>
            <w:r>
              <w:rPr>
                <w:rFonts w:ascii="Calibri" w:eastAsia="Calibri" w:hAnsi="Calibri" w:cs="Calibri"/>
                <w:color w:val="000000"/>
              </w:rPr>
              <w:t>- At least 1 knowledge management product developed and disseminated;</w:t>
            </w:r>
          </w:p>
          <w:p w14:paraId="00000124"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color w:val="000000"/>
              </w:rPr>
            </w:pPr>
            <w:r>
              <w:rPr>
                <w:rFonts w:ascii="Calibri" w:eastAsia="Calibri" w:hAnsi="Calibri" w:cs="Calibri"/>
                <w:color w:val="000000"/>
              </w:rPr>
              <w:t>100% of project staff trained and sensitized on gender mainstreaming;</w:t>
            </w:r>
          </w:p>
          <w:p w14:paraId="00000125"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color w:val="000000"/>
              </w:rPr>
            </w:pPr>
            <w:r>
              <w:rPr>
                <w:rFonts w:ascii="Calibri" w:eastAsia="Calibri" w:hAnsi="Calibri" w:cs="Calibri"/>
                <w:color w:val="000000"/>
              </w:rPr>
              <w:t>- Organization of at least 4 events or trainings per year with balanced gender representation;</w:t>
            </w:r>
          </w:p>
          <w:p w14:paraId="00000126"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b/>
                <w:color w:val="000000"/>
              </w:rPr>
            </w:pPr>
            <w:r>
              <w:rPr>
                <w:rFonts w:ascii="Calibri" w:eastAsia="Calibri" w:hAnsi="Calibri" w:cs="Calibri"/>
                <w:color w:val="000000"/>
              </w:rPr>
              <w:t>- Project results framework revised and adjusted to include gender-sensitive indicators by the end of the first year of the project.</w:t>
            </w:r>
          </w:p>
        </w:tc>
        <w:tc>
          <w:tcPr>
            <w:tcW w:w="1741" w:type="dxa"/>
          </w:tcPr>
          <w:p w14:paraId="00000127"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b/>
                <w:color w:val="000000"/>
              </w:rPr>
            </w:pPr>
          </w:p>
        </w:tc>
        <w:tc>
          <w:tcPr>
            <w:tcW w:w="1594" w:type="dxa"/>
          </w:tcPr>
          <w:p w14:paraId="00000128"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60" w:after="60" w:line="240" w:lineRule="auto"/>
              <w:rPr>
                <w:rFonts w:ascii="Calibri" w:eastAsia="Calibri" w:hAnsi="Calibri" w:cs="Calibri"/>
                <w:i/>
                <w:color w:val="000000"/>
              </w:rPr>
            </w:pPr>
            <w:r>
              <w:rPr>
                <w:rFonts w:ascii="Calibri" w:eastAsia="Calibri" w:hAnsi="Calibri" w:cs="Calibri"/>
                <w:i/>
                <w:color w:val="000000"/>
              </w:rPr>
              <w:t xml:space="preserve">USD 250,000 .00(22,5% of the PMEL Analyst time; 20% of the Safeguards Specialist time for training/workshops; 20% of the PMO Technical Analyst’s time) </w:t>
            </w:r>
          </w:p>
        </w:tc>
      </w:tr>
    </w:tbl>
    <w:p w14:paraId="00000129" w14:textId="77777777" w:rsidR="00490D7E" w:rsidRDefault="00490D7E">
      <w:pPr>
        <w:pBdr>
          <w:top w:val="nil"/>
          <w:left w:val="nil"/>
          <w:bottom w:val="single" w:sz="4" w:space="1" w:color="000000"/>
          <w:right w:val="nil"/>
          <w:between w:val="nil"/>
        </w:pBdr>
        <w:spacing w:line="240" w:lineRule="auto"/>
        <w:rPr>
          <w:rFonts w:ascii="Calibri" w:eastAsia="Calibri" w:hAnsi="Calibri" w:cs="Calibri"/>
          <w:b/>
          <w:color w:val="000000"/>
          <w:sz w:val="28"/>
          <w:szCs w:val="28"/>
        </w:rPr>
      </w:pPr>
    </w:p>
    <w:p w14:paraId="0000012A" w14:textId="77777777" w:rsidR="00490D7E" w:rsidRDefault="00707826">
      <w:pPr>
        <w:pBdr>
          <w:top w:val="nil"/>
          <w:left w:val="nil"/>
          <w:bottom w:val="single" w:sz="4" w:space="1" w:color="000000"/>
          <w:right w:val="nil"/>
          <w:between w:val="nil"/>
        </w:pBdr>
        <w:spacing w:line="240" w:lineRule="auto"/>
        <w:rPr>
          <w:rFonts w:ascii="Calibri" w:eastAsia="Calibri" w:hAnsi="Calibri" w:cs="Calibri"/>
          <w:b/>
          <w:color w:val="000000"/>
          <w:sz w:val="28"/>
          <w:szCs w:val="28"/>
        </w:rPr>
      </w:pPr>
      <w:r>
        <w:rPr>
          <w:rFonts w:ascii="Calibri" w:eastAsia="Calibri" w:hAnsi="Calibri" w:cs="Calibri"/>
          <w:b/>
          <w:color w:val="000000"/>
          <w:sz w:val="28"/>
          <w:szCs w:val="28"/>
        </w:rPr>
        <w:t>SECTION IV: Monitoring and Reporting</w:t>
      </w:r>
    </w:p>
    <w:p w14:paraId="0000012B"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r>
        <w:rPr>
          <w:rFonts w:ascii="Calibri" w:eastAsia="Calibri" w:hAnsi="Calibri" w:cs="Calibri"/>
          <w:color w:val="000000"/>
        </w:rPr>
        <w:t xml:space="preserve">The GEF/GCF Gender Mainstreaming Policy requires the collection and analysis of sex- disaggregated data and gender information to inform gender-responsive monitoring and evaluation. The project is expected to report on a </w:t>
      </w:r>
      <w:r>
        <w:rPr>
          <w:rFonts w:ascii="Calibri" w:eastAsia="Calibri" w:hAnsi="Calibri" w:cs="Calibri"/>
          <w:color w:val="000000"/>
          <w:u w:val="single"/>
        </w:rPr>
        <w:t>quarterly basis</w:t>
      </w:r>
      <w:r>
        <w:rPr>
          <w:rFonts w:ascii="Calibri" w:eastAsia="Calibri" w:hAnsi="Calibri" w:cs="Calibri"/>
          <w:color w:val="000000"/>
        </w:rPr>
        <w:t xml:space="preserve"> (using the CI-GEF/GCF Quarterly Reporting template), progress made towards the achievement of gender mainstreaming activities identified in the Gender Action Plan above. The project is also expected to report on an </w:t>
      </w:r>
      <w:r>
        <w:rPr>
          <w:rFonts w:ascii="Calibri" w:eastAsia="Calibri" w:hAnsi="Calibri" w:cs="Calibri"/>
          <w:color w:val="000000"/>
          <w:u w:val="single"/>
        </w:rPr>
        <w:t>annual</w:t>
      </w:r>
      <w:r>
        <w:rPr>
          <w:rFonts w:ascii="Calibri" w:eastAsia="Calibri" w:hAnsi="Calibri" w:cs="Calibri"/>
          <w:color w:val="000000"/>
        </w:rPr>
        <w:t xml:space="preserve"> basis and using the CI-GEF/GCF Project Implementation Report (PIR) or Annual Performance Report (APR) template, the following CI-GEF/GCF minimum indicators: </w:t>
      </w:r>
    </w:p>
    <w:p w14:paraId="0000012C"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p>
    <w:tbl>
      <w:tblPr>
        <w:tblW w:w="93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3" w:type="dxa"/>
          <w:left w:w="115" w:type="dxa"/>
          <w:bottom w:w="43" w:type="dxa"/>
          <w:right w:w="115" w:type="dxa"/>
        </w:tblCellMar>
        <w:tblLook w:val="0400" w:firstRow="0" w:lastRow="0" w:firstColumn="0" w:lastColumn="0" w:noHBand="0" w:noVBand="1"/>
      </w:tblPr>
      <w:tblGrid>
        <w:gridCol w:w="4681"/>
        <w:gridCol w:w="782"/>
        <w:gridCol w:w="782"/>
        <w:gridCol w:w="782"/>
        <w:gridCol w:w="782"/>
        <w:gridCol w:w="782"/>
        <w:gridCol w:w="782"/>
      </w:tblGrid>
      <w:tr w:rsidR="00490D7E" w14:paraId="668B0C80" w14:textId="77777777">
        <w:tc>
          <w:tcPr>
            <w:tcW w:w="4681" w:type="dxa"/>
            <w:vMerge w:val="restart"/>
          </w:tcPr>
          <w:p w14:paraId="0000012D"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r>
              <w:rPr>
                <w:rFonts w:ascii="Calibri" w:eastAsia="Calibri" w:hAnsi="Calibri" w:cs="Calibri"/>
                <w:b/>
                <w:color w:val="000000"/>
              </w:rPr>
              <w:t>Indicator</w:t>
            </w:r>
          </w:p>
        </w:tc>
        <w:tc>
          <w:tcPr>
            <w:tcW w:w="2346" w:type="dxa"/>
            <w:gridSpan w:val="3"/>
          </w:tcPr>
          <w:p w14:paraId="0000012E"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center"/>
              <w:rPr>
                <w:rFonts w:ascii="Calibri" w:eastAsia="Calibri" w:hAnsi="Calibri" w:cs="Calibri"/>
                <w:color w:val="000000"/>
              </w:rPr>
            </w:pPr>
            <w:r>
              <w:rPr>
                <w:rFonts w:ascii="Calibri" w:eastAsia="Calibri" w:hAnsi="Calibri" w:cs="Calibri"/>
                <w:b/>
                <w:color w:val="000000"/>
              </w:rPr>
              <w:t>Baseline</w:t>
            </w:r>
          </w:p>
        </w:tc>
        <w:tc>
          <w:tcPr>
            <w:tcW w:w="2346" w:type="dxa"/>
            <w:gridSpan w:val="3"/>
          </w:tcPr>
          <w:p w14:paraId="00000131"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center"/>
              <w:rPr>
                <w:rFonts w:ascii="Calibri" w:eastAsia="Calibri" w:hAnsi="Calibri" w:cs="Calibri"/>
                <w:b/>
                <w:color w:val="000000"/>
              </w:rPr>
            </w:pPr>
            <w:r>
              <w:rPr>
                <w:rFonts w:ascii="Calibri" w:eastAsia="Calibri" w:hAnsi="Calibri" w:cs="Calibri"/>
                <w:b/>
                <w:color w:val="000000"/>
              </w:rPr>
              <w:t>Target</w:t>
            </w:r>
          </w:p>
        </w:tc>
      </w:tr>
      <w:tr w:rsidR="00490D7E" w14:paraId="7F6B66F5" w14:textId="77777777">
        <w:tc>
          <w:tcPr>
            <w:tcW w:w="4681" w:type="dxa"/>
            <w:vMerge/>
          </w:tcPr>
          <w:p w14:paraId="00000134" w14:textId="77777777" w:rsidR="00490D7E" w:rsidRDefault="00490D7E">
            <w:pPr>
              <w:widowControl w:val="0"/>
              <w:pBdr>
                <w:top w:val="nil"/>
                <w:left w:val="nil"/>
                <w:bottom w:val="nil"/>
                <w:right w:val="nil"/>
                <w:between w:val="nil"/>
              </w:pBdr>
              <w:rPr>
                <w:rFonts w:ascii="Calibri" w:eastAsia="Calibri" w:hAnsi="Calibri" w:cs="Calibri"/>
                <w:b/>
                <w:color w:val="000000"/>
              </w:rPr>
            </w:pPr>
          </w:p>
        </w:tc>
        <w:tc>
          <w:tcPr>
            <w:tcW w:w="782" w:type="dxa"/>
          </w:tcPr>
          <w:p w14:paraId="00000135"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center"/>
              <w:rPr>
                <w:rFonts w:ascii="Calibri" w:eastAsia="Calibri" w:hAnsi="Calibri" w:cs="Calibri"/>
                <w:b/>
                <w:i/>
                <w:color w:val="000000"/>
              </w:rPr>
            </w:pPr>
            <w:r>
              <w:rPr>
                <w:rFonts w:ascii="Calibri" w:eastAsia="Calibri" w:hAnsi="Calibri" w:cs="Calibri"/>
                <w:b/>
                <w:i/>
                <w:color w:val="000000"/>
              </w:rPr>
              <w:t>Men</w:t>
            </w:r>
          </w:p>
        </w:tc>
        <w:tc>
          <w:tcPr>
            <w:tcW w:w="782" w:type="dxa"/>
          </w:tcPr>
          <w:p w14:paraId="00000136"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center"/>
              <w:rPr>
                <w:rFonts w:ascii="Calibri" w:eastAsia="Calibri" w:hAnsi="Calibri" w:cs="Calibri"/>
                <w:b/>
                <w:i/>
                <w:color w:val="000000"/>
              </w:rPr>
            </w:pPr>
            <w:r>
              <w:rPr>
                <w:rFonts w:ascii="Calibri" w:eastAsia="Calibri" w:hAnsi="Calibri" w:cs="Calibri"/>
                <w:b/>
                <w:i/>
                <w:color w:val="000000"/>
              </w:rPr>
              <w:t>Wom</w:t>
            </w:r>
            <w:r>
              <w:rPr>
                <w:rFonts w:ascii="Calibri" w:eastAsia="Calibri" w:hAnsi="Calibri" w:cs="Calibri"/>
                <w:b/>
                <w:i/>
                <w:color w:val="000000"/>
              </w:rPr>
              <w:lastRenderedPageBreak/>
              <w:t>en</w:t>
            </w:r>
          </w:p>
        </w:tc>
        <w:tc>
          <w:tcPr>
            <w:tcW w:w="782" w:type="dxa"/>
          </w:tcPr>
          <w:p w14:paraId="00000137"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center"/>
              <w:rPr>
                <w:rFonts w:ascii="Calibri" w:eastAsia="Calibri" w:hAnsi="Calibri" w:cs="Calibri"/>
                <w:b/>
                <w:i/>
                <w:color w:val="000000"/>
              </w:rPr>
            </w:pPr>
            <w:r>
              <w:rPr>
                <w:rFonts w:ascii="Calibri" w:eastAsia="Calibri" w:hAnsi="Calibri" w:cs="Calibri"/>
                <w:b/>
                <w:i/>
                <w:color w:val="000000"/>
              </w:rPr>
              <w:lastRenderedPageBreak/>
              <w:t>Total</w:t>
            </w:r>
          </w:p>
        </w:tc>
        <w:tc>
          <w:tcPr>
            <w:tcW w:w="782" w:type="dxa"/>
          </w:tcPr>
          <w:p w14:paraId="00000138"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b/>
                <w:i/>
                <w:color w:val="000000"/>
              </w:rPr>
            </w:pPr>
            <w:r>
              <w:rPr>
                <w:rFonts w:ascii="Calibri" w:eastAsia="Calibri" w:hAnsi="Calibri" w:cs="Calibri"/>
                <w:b/>
                <w:i/>
                <w:color w:val="000000"/>
              </w:rPr>
              <w:t>Men</w:t>
            </w:r>
          </w:p>
        </w:tc>
        <w:tc>
          <w:tcPr>
            <w:tcW w:w="782" w:type="dxa"/>
          </w:tcPr>
          <w:p w14:paraId="00000139"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b/>
                <w:i/>
                <w:color w:val="000000"/>
              </w:rPr>
            </w:pPr>
            <w:r>
              <w:rPr>
                <w:rFonts w:ascii="Calibri" w:eastAsia="Calibri" w:hAnsi="Calibri" w:cs="Calibri"/>
                <w:b/>
                <w:i/>
                <w:color w:val="000000"/>
              </w:rPr>
              <w:t>Wom</w:t>
            </w:r>
            <w:r>
              <w:rPr>
                <w:rFonts w:ascii="Calibri" w:eastAsia="Calibri" w:hAnsi="Calibri" w:cs="Calibri"/>
                <w:b/>
                <w:i/>
                <w:color w:val="000000"/>
              </w:rPr>
              <w:lastRenderedPageBreak/>
              <w:t>en</w:t>
            </w:r>
          </w:p>
        </w:tc>
        <w:tc>
          <w:tcPr>
            <w:tcW w:w="782" w:type="dxa"/>
          </w:tcPr>
          <w:p w14:paraId="0000013A"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b/>
                <w:i/>
                <w:color w:val="000000"/>
              </w:rPr>
            </w:pPr>
            <w:r>
              <w:rPr>
                <w:rFonts w:ascii="Calibri" w:eastAsia="Calibri" w:hAnsi="Calibri" w:cs="Calibri"/>
                <w:b/>
                <w:i/>
                <w:color w:val="000000"/>
              </w:rPr>
              <w:lastRenderedPageBreak/>
              <w:t>Total</w:t>
            </w:r>
          </w:p>
        </w:tc>
      </w:tr>
      <w:tr w:rsidR="00490D7E" w14:paraId="51DC7416" w14:textId="77777777">
        <w:tc>
          <w:tcPr>
            <w:tcW w:w="4681" w:type="dxa"/>
          </w:tcPr>
          <w:p w14:paraId="0000013B"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color w:val="000000"/>
              </w:rPr>
              <w:t>Number of persons (disaggregated by gender) who received benefits in the project implementation phase.</w:t>
            </w:r>
          </w:p>
        </w:tc>
        <w:tc>
          <w:tcPr>
            <w:tcW w:w="782" w:type="dxa"/>
          </w:tcPr>
          <w:p w14:paraId="0000013C"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r>
              <w:rPr>
                <w:rFonts w:ascii="Calibri" w:eastAsia="Calibri" w:hAnsi="Calibri" w:cs="Calibri"/>
                <w:color w:val="000000"/>
              </w:rPr>
              <w:t>0</w:t>
            </w:r>
          </w:p>
        </w:tc>
        <w:tc>
          <w:tcPr>
            <w:tcW w:w="782" w:type="dxa"/>
          </w:tcPr>
          <w:p w14:paraId="0000013D"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r>
              <w:rPr>
                <w:rFonts w:ascii="Calibri" w:eastAsia="Calibri" w:hAnsi="Calibri" w:cs="Calibri"/>
                <w:color w:val="000000"/>
              </w:rPr>
              <w:t>0</w:t>
            </w:r>
          </w:p>
        </w:tc>
        <w:tc>
          <w:tcPr>
            <w:tcW w:w="782" w:type="dxa"/>
          </w:tcPr>
          <w:p w14:paraId="0000013E"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r>
              <w:rPr>
                <w:rFonts w:ascii="Calibri" w:eastAsia="Calibri" w:hAnsi="Calibri" w:cs="Calibri"/>
                <w:color w:val="000000"/>
              </w:rPr>
              <w:t>0</w:t>
            </w:r>
          </w:p>
        </w:tc>
        <w:tc>
          <w:tcPr>
            <w:tcW w:w="782" w:type="dxa"/>
          </w:tcPr>
          <w:p w14:paraId="0000013F" w14:textId="1B84D2BC"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color w:val="000000"/>
              </w:rPr>
              <w:t xml:space="preserve">   </w:t>
            </w:r>
            <w:sdt>
              <w:sdtPr>
                <w:tag w:val="goog_rdk_52"/>
                <w:id w:val="-1397580921"/>
              </w:sdtPr>
              <w:sdtContent>
                <w:r>
                  <w:rPr>
                    <w:rFonts w:ascii="Calibri" w:eastAsia="Calibri" w:hAnsi="Calibri" w:cs="Calibri"/>
                    <w:color w:val="000000"/>
                  </w:rPr>
                  <w:t>97,500</w:t>
                </w:r>
              </w:sdtContent>
            </w:sdt>
            <w:sdt>
              <w:sdtPr>
                <w:tag w:val="goog_rdk_53"/>
                <w:id w:val="-375315960"/>
                <w:showingPlcHdr/>
              </w:sdtPr>
              <w:sdtContent>
                <w:r w:rsidR="006E267A">
                  <w:t xml:space="preserve">     </w:t>
                </w:r>
              </w:sdtContent>
            </w:sdt>
          </w:p>
        </w:tc>
        <w:tc>
          <w:tcPr>
            <w:tcW w:w="782" w:type="dxa"/>
          </w:tcPr>
          <w:p w14:paraId="00000140" w14:textId="519544E5" w:rsidR="00490D7E" w:rsidRDefault="00000000">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sdt>
              <w:sdtPr>
                <w:tag w:val="goog_rdk_55"/>
                <w:id w:val="-910074618"/>
              </w:sdtPr>
              <w:sdtContent>
                <w:r w:rsidR="00707826">
                  <w:rPr>
                    <w:rFonts w:ascii="Calibri" w:eastAsia="Calibri" w:hAnsi="Calibri" w:cs="Calibri"/>
                    <w:color w:val="000000"/>
                  </w:rPr>
                  <w:t>52,500</w:t>
                </w:r>
              </w:sdtContent>
            </w:sdt>
            <w:sdt>
              <w:sdtPr>
                <w:tag w:val="goog_rdk_56"/>
                <w:id w:val="202364706"/>
                <w:showingPlcHdr/>
              </w:sdtPr>
              <w:sdtContent>
                <w:r w:rsidR="006E267A">
                  <w:t xml:space="preserve">     </w:t>
                </w:r>
              </w:sdtContent>
            </w:sdt>
          </w:p>
        </w:tc>
        <w:tc>
          <w:tcPr>
            <w:tcW w:w="782" w:type="dxa"/>
          </w:tcPr>
          <w:p w14:paraId="00000141"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color w:val="000000"/>
              </w:rPr>
              <w:t>150,000</w:t>
            </w:r>
          </w:p>
        </w:tc>
      </w:tr>
      <w:tr w:rsidR="00490D7E" w14:paraId="2B83DAC1" w14:textId="77777777">
        <w:tc>
          <w:tcPr>
            <w:tcW w:w="4681" w:type="dxa"/>
          </w:tcPr>
          <w:p w14:paraId="00000142"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color w:val="000000"/>
              </w:rPr>
              <w:t>Number of documents (disaggregated by type) derived from the project that included gender considerations or address gender gaps.</w:t>
            </w:r>
          </w:p>
        </w:tc>
        <w:tc>
          <w:tcPr>
            <w:tcW w:w="2346" w:type="dxa"/>
            <w:gridSpan w:val="3"/>
          </w:tcPr>
          <w:p w14:paraId="00000143"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r>
              <w:rPr>
                <w:rFonts w:ascii="Calibri" w:eastAsia="Calibri" w:hAnsi="Calibri" w:cs="Calibri"/>
                <w:color w:val="000000"/>
              </w:rPr>
              <w:t>0</w:t>
            </w:r>
          </w:p>
        </w:tc>
        <w:tc>
          <w:tcPr>
            <w:tcW w:w="2346" w:type="dxa"/>
            <w:gridSpan w:val="3"/>
          </w:tcPr>
          <w:p w14:paraId="00000146" w14:textId="6680F3C9" w:rsidR="00490D7E" w:rsidRDefault="00000000">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sdt>
              <w:sdtPr>
                <w:tag w:val="goog_rdk_58"/>
                <w:id w:val="582801362"/>
              </w:sdtPr>
              <w:sdtContent>
                <w:r w:rsidR="00707826">
                  <w:rPr>
                    <w:rFonts w:ascii="Calibri" w:eastAsia="Calibri" w:hAnsi="Calibri" w:cs="Calibri"/>
                    <w:color w:val="000000"/>
                  </w:rPr>
                  <w:t>6</w:t>
                </w:r>
              </w:sdtContent>
            </w:sdt>
            <w:sdt>
              <w:sdtPr>
                <w:tag w:val="goog_rdk_59"/>
                <w:id w:val="-94015689"/>
                <w:showingPlcHdr/>
              </w:sdtPr>
              <w:sdtContent>
                <w:r w:rsidR="006E267A">
                  <w:t xml:space="preserve">     </w:t>
                </w:r>
              </w:sdtContent>
            </w:sdt>
            <w:r w:rsidR="00707826">
              <w:rPr>
                <w:rFonts w:ascii="Calibri" w:eastAsia="Calibri" w:hAnsi="Calibri" w:cs="Calibri"/>
                <w:color w:val="000000"/>
              </w:rPr>
              <w:t xml:space="preserve"> - total</w:t>
            </w:r>
          </w:p>
          <w:p w14:paraId="00000147" w14:textId="77777777" w:rsidR="00490D7E" w:rsidRDefault="00707826">
            <w:pPr>
              <w:widowControl w:val="0"/>
              <w:numPr>
                <w:ilvl w:val="0"/>
                <w:numId w:val="14"/>
              </w:numPr>
              <w:pBdr>
                <w:top w:val="nil"/>
                <w:left w:val="nil"/>
                <w:bottom w:val="nil"/>
                <w:right w:val="nil"/>
                <w:between w:val="nil"/>
              </w:pBdr>
              <w:tabs>
                <w:tab w:val="right" w:pos="73"/>
                <w:tab w:val="right" w:pos="1712"/>
                <w:tab w:val="right" w:pos="4160"/>
                <w:tab w:val="right" w:pos="6528"/>
                <w:tab w:val="right" w:pos="9384"/>
              </w:tabs>
              <w:spacing w:line="240" w:lineRule="auto"/>
              <w:ind w:left="283" w:hanging="283"/>
              <w:rPr>
                <w:rFonts w:ascii="Calibri" w:eastAsia="Calibri" w:hAnsi="Calibri" w:cs="Calibri"/>
                <w:color w:val="000000"/>
              </w:rPr>
            </w:pPr>
            <w:r>
              <w:rPr>
                <w:rFonts w:ascii="Calibri" w:eastAsia="Calibri" w:hAnsi="Calibri" w:cs="Calibri"/>
                <w:color w:val="000000"/>
              </w:rPr>
              <w:t>1 action plan to implement strategies to increase women's representation and to develop gender-specific indicators;</w:t>
            </w:r>
          </w:p>
          <w:p w14:paraId="00000148" w14:textId="77777777" w:rsidR="00490D7E" w:rsidRDefault="00707826">
            <w:pPr>
              <w:widowControl w:val="0"/>
              <w:numPr>
                <w:ilvl w:val="0"/>
                <w:numId w:val="14"/>
              </w:numPr>
              <w:pBdr>
                <w:top w:val="nil"/>
                <w:left w:val="nil"/>
                <w:bottom w:val="nil"/>
                <w:right w:val="nil"/>
                <w:between w:val="nil"/>
              </w:pBdr>
              <w:tabs>
                <w:tab w:val="right" w:pos="73"/>
                <w:tab w:val="right" w:pos="1712"/>
                <w:tab w:val="right" w:pos="4160"/>
                <w:tab w:val="right" w:pos="6528"/>
                <w:tab w:val="right" w:pos="9384"/>
              </w:tabs>
              <w:spacing w:line="240" w:lineRule="auto"/>
              <w:ind w:left="283" w:hanging="283"/>
              <w:rPr>
                <w:rFonts w:ascii="Calibri" w:eastAsia="Calibri" w:hAnsi="Calibri" w:cs="Calibri"/>
                <w:color w:val="000000"/>
              </w:rPr>
            </w:pPr>
            <w:r>
              <w:rPr>
                <w:rFonts w:ascii="Calibri" w:eastAsia="Calibri" w:hAnsi="Calibri" w:cs="Calibri"/>
                <w:color w:val="000000"/>
              </w:rPr>
              <w:t>2 knowledge products highlighting progress towards gender inclusion goals and the development of gender-sensitive policies;</w:t>
            </w:r>
          </w:p>
          <w:p w14:paraId="00000149" w14:textId="77777777" w:rsidR="00490D7E" w:rsidRDefault="00707826">
            <w:pPr>
              <w:widowControl w:val="0"/>
              <w:numPr>
                <w:ilvl w:val="0"/>
                <w:numId w:val="14"/>
              </w:numPr>
              <w:pBdr>
                <w:top w:val="nil"/>
                <w:left w:val="nil"/>
                <w:bottom w:val="nil"/>
                <w:right w:val="nil"/>
                <w:between w:val="nil"/>
              </w:pBdr>
              <w:tabs>
                <w:tab w:val="right" w:pos="73"/>
                <w:tab w:val="right" w:pos="1712"/>
                <w:tab w:val="right" w:pos="4160"/>
                <w:tab w:val="right" w:pos="6528"/>
                <w:tab w:val="right" w:pos="9384"/>
              </w:tabs>
              <w:spacing w:line="240" w:lineRule="auto"/>
              <w:ind w:left="283" w:hanging="283"/>
              <w:rPr>
                <w:rFonts w:ascii="Calibri" w:eastAsia="Calibri" w:hAnsi="Calibri" w:cs="Calibri"/>
                <w:color w:val="000000"/>
              </w:rPr>
            </w:pPr>
            <w:r>
              <w:rPr>
                <w:rFonts w:ascii="Calibri" w:eastAsia="Calibri" w:hAnsi="Calibri" w:cs="Calibri"/>
                <w:color w:val="000000"/>
              </w:rPr>
              <w:t>1 document outlining the monitoring and evaluation system, including methodologies, tools, and processes for tracking gender-specific indicators;</w:t>
            </w:r>
          </w:p>
          <w:p w14:paraId="0000014A" w14:textId="77777777" w:rsidR="00490D7E" w:rsidRDefault="00707826">
            <w:pPr>
              <w:widowControl w:val="0"/>
              <w:numPr>
                <w:ilvl w:val="0"/>
                <w:numId w:val="14"/>
              </w:numPr>
              <w:pBdr>
                <w:top w:val="nil"/>
                <w:left w:val="nil"/>
                <w:bottom w:val="nil"/>
                <w:right w:val="nil"/>
                <w:between w:val="nil"/>
              </w:pBdr>
              <w:tabs>
                <w:tab w:val="right" w:pos="73"/>
                <w:tab w:val="right" w:pos="1712"/>
                <w:tab w:val="right" w:pos="4160"/>
                <w:tab w:val="right" w:pos="6528"/>
                <w:tab w:val="right" w:pos="9384"/>
              </w:tabs>
              <w:spacing w:line="240" w:lineRule="auto"/>
              <w:ind w:left="283" w:hanging="283"/>
              <w:rPr>
                <w:rFonts w:ascii="Calibri" w:eastAsia="Calibri" w:hAnsi="Calibri" w:cs="Calibri"/>
                <w:color w:val="000000"/>
              </w:rPr>
            </w:pPr>
            <w:r>
              <w:rPr>
                <w:rFonts w:ascii="Calibri" w:eastAsia="Calibri" w:hAnsi="Calibri" w:cs="Calibri"/>
                <w:color w:val="000000"/>
              </w:rPr>
              <w:t>1 Gender analysis and baseline data collection report, identifying gaps and opportunities for gender equality and social inclusion (GESI).</w:t>
            </w:r>
          </w:p>
          <w:p w14:paraId="0000014B" w14:textId="77777777" w:rsidR="00490D7E" w:rsidRDefault="00707826">
            <w:pPr>
              <w:widowControl w:val="0"/>
              <w:numPr>
                <w:ilvl w:val="0"/>
                <w:numId w:val="14"/>
              </w:numPr>
              <w:pBdr>
                <w:top w:val="nil"/>
                <w:left w:val="nil"/>
                <w:bottom w:val="nil"/>
                <w:right w:val="nil"/>
                <w:between w:val="nil"/>
              </w:pBdr>
              <w:tabs>
                <w:tab w:val="right" w:pos="73"/>
                <w:tab w:val="right" w:pos="1712"/>
                <w:tab w:val="right" w:pos="4160"/>
                <w:tab w:val="right" w:pos="6528"/>
                <w:tab w:val="right" w:pos="9384"/>
              </w:tabs>
              <w:spacing w:line="240" w:lineRule="auto"/>
              <w:ind w:left="283" w:hanging="283"/>
              <w:rPr>
                <w:rFonts w:ascii="Calibri" w:eastAsia="Calibri" w:hAnsi="Calibri" w:cs="Calibri"/>
                <w:color w:val="000000"/>
              </w:rPr>
            </w:pPr>
            <w:r>
              <w:rPr>
                <w:rFonts w:ascii="Calibri" w:eastAsia="Calibri" w:hAnsi="Calibri" w:cs="Calibri"/>
                <w:color w:val="000000"/>
              </w:rPr>
              <w:t xml:space="preserve">1 comprehensive report detailing the process of developing at least 5 gender-specific indicators, including methodology, data sources and validation </w:t>
            </w:r>
            <w:r>
              <w:rPr>
                <w:rFonts w:ascii="Calibri" w:eastAsia="Calibri" w:hAnsi="Calibri" w:cs="Calibri"/>
                <w:color w:val="000000"/>
              </w:rPr>
              <w:lastRenderedPageBreak/>
              <w:t>processes.</w:t>
            </w:r>
          </w:p>
          <w:p w14:paraId="0000014C" w14:textId="66BDDF62" w:rsidR="00490D7E" w:rsidRDefault="00000000">
            <w:pPr>
              <w:widowControl w:val="0"/>
              <w:numPr>
                <w:ilvl w:val="0"/>
                <w:numId w:val="14"/>
              </w:numPr>
              <w:pBdr>
                <w:top w:val="nil"/>
                <w:left w:val="nil"/>
                <w:bottom w:val="nil"/>
                <w:right w:val="nil"/>
                <w:between w:val="nil"/>
              </w:pBdr>
              <w:tabs>
                <w:tab w:val="right" w:pos="73"/>
                <w:tab w:val="right" w:pos="1712"/>
                <w:tab w:val="right" w:pos="4160"/>
                <w:tab w:val="right" w:pos="6528"/>
                <w:tab w:val="right" w:pos="9384"/>
              </w:tabs>
              <w:spacing w:line="240" w:lineRule="auto"/>
              <w:ind w:left="283" w:hanging="283"/>
              <w:rPr>
                <w:rFonts w:ascii="Calibri" w:eastAsia="Calibri" w:hAnsi="Calibri" w:cs="Calibri"/>
                <w:color w:val="000000"/>
              </w:rPr>
            </w:pPr>
            <w:sdt>
              <w:sdtPr>
                <w:tag w:val="goog_rdk_61"/>
                <w:id w:val="1186324481"/>
              </w:sdtPr>
              <w:sdtContent>
                <w:sdt>
                  <w:sdtPr>
                    <w:tag w:val="goog_rdk_62"/>
                    <w:id w:val="-287817625"/>
                  </w:sdtPr>
                  <w:sdtContent/>
                </w:sdt>
              </w:sdtContent>
            </w:sdt>
          </w:p>
          <w:p w14:paraId="0000014D"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p>
        </w:tc>
      </w:tr>
      <w:tr w:rsidR="00490D7E" w14:paraId="44797319" w14:textId="77777777" w:rsidTr="006E267A">
        <w:tc>
          <w:tcPr>
            <w:tcW w:w="4681" w:type="dxa"/>
          </w:tcPr>
          <w:p w14:paraId="00000150" w14:textId="77777777" w:rsidR="00490D7E" w:rsidRDefault="00000000">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sdt>
              <w:sdtPr>
                <w:tag w:val="goog_rdk_64"/>
                <w:id w:val="-120150253"/>
              </w:sdtPr>
              <w:sdtContent/>
            </w:sdt>
            <w:sdt>
              <w:sdtPr>
                <w:tag w:val="goog_rdk_65"/>
                <w:id w:val="-133410674"/>
              </w:sdtPr>
              <w:sdtContent/>
            </w:sdt>
            <w:r w:rsidR="00707826">
              <w:rPr>
                <w:rFonts w:ascii="Calibri" w:eastAsia="Calibri" w:hAnsi="Calibri" w:cs="Calibri"/>
                <w:color w:val="000000"/>
              </w:rPr>
              <w:t xml:space="preserve">Number of direct beneficiaries (disaggregated by gender) who benefitted directly from Restaura Biomas in the project implementation phase </w:t>
            </w:r>
          </w:p>
        </w:tc>
        <w:tc>
          <w:tcPr>
            <w:tcW w:w="782" w:type="dxa"/>
          </w:tcPr>
          <w:p w14:paraId="00000151"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color w:val="000000"/>
              </w:rPr>
              <w:t>0</w:t>
            </w:r>
          </w:p>
        </w:tc>
        <w:tc>
          <w:tcPr>
            <w:tcW w:w="782" w:type="dxa"/>
          </w:tcPr>
          <w:p w14:paraId="00000152" w14:textId="77777777" w:rsidR="00490D7E" w:rsidRDefault="00707826">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0</w:t>
            </w:r>
          </w:p>
        </w:tc>
        <w:tc>
          <w:tcPr>
            <w:tcW w:w="782" w:type="dxa"/>
          </w:tcPr>
          <w:p w14:paraId="00000153" w14:textId="77777777" w:rsidR="00490D7E" w:rsidRDefault="00707826">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0</w:t>
            </w:r>
          </w:p>
        </w:tc>
        <w:sdt>
          <w:sdtPr>
            <w:tag w:val="goog_rdk_66"/>
            <w:id w:val="460851037"/>
          </w:sdtPr>
          <w:sdtContent>
            <w:tc>
              <w:tcPr>
                <w:tcW w:w="782" w:type="dxa"/>
              </w:tcPr>
              <w:sdt>
                <w:sdtPr>
                  <w:tag w:val="goog_rdk_71"/>
                  <w:id w:val="1209376732"/>
                </w:sdtPr>
                <w:sdtContent>
                  <w:p w14:paraId="00000154" w14:textId="7C1543C0" w:rsidR="00490D7E" w:rsidRPr="006E267A" w:rsidRDefault="00000000" w:rsidP="006E267A">
                    <w:pPr>
                      <w:widowControl w:val="0"/>
                      <w:tabs>
                        <w:tab w:val="right" w:pos="73"/>
                        <w:tab w:val="right" w:pos="1712"/>
                        <w:tab w:val="right" w:pos="4160"/>
                        <w:tab w:val="right" w:pos="6528"/>
                        <w:tab w:val="right" w:pos="9384"/>
                      </w:tabs>
                      <w:spacing w:line="240" w:lineRule="auto"/>
                      <w:rPr>
                        <w:rFonts w:ascii="Calibri" w:eastAsia="Calibri" w:hAnsi="Calibri" w:cs="Calibri"/>
                      </w:rPr>
                    </w:pPr>
                    <w:sdt>
                      <w:sdtPr>
                        <w:tag w:val="goog_rdk_68"/>
                        <w:id w:val="-1075892316"/>
                      </w:sdtPr>
                      <w:sdtContent>
                        <w:r w:rsidR="00707826">
                          <w:rPr>
                            <w:rFonts w:ascii="Calibri" w:eastAsia="Calibri" w:hAnsi="Calibri" w:cs="Calibri"/>
                            <w:color w:val="000000"/>
                          </w:rPr>
                          <w:t xml:space="preserve">   97,500</w:t>
                        </w:r>
                      </w:sdtContent>
                    </w:sdt>
                    <w:sdt>
                      <w:sdtPr>
                        <w:tag w:val="goog_rdk_69"/>
                        <w:id w:val="-331606364"/>
                        <w:showingPlcHdr/>
                      </w:sdtPr>
                      <w:sdtContent>
                        <w:r w:rsidR="006E267A">
                          <w:t xml:space="preserve">     </w:t>
                        </w:r>
                      </w:sdtContent>
                    </w:sdt>
                    <w:sdt>
                      <w:sdtPr>
                        <w:tag w:val="goog_rdk_70"/>
                        <w:id w:val="-256823820"/>
                      </w:sdtPr>
                      <w:sdtContent/>
                    </w:sdt>
                  </w:p>
                </w:sdtContent>
              </w:sdt>
            </w:tc>
          </w:sdtContent>
        </w:sdt>
        <w:sdt>
          <w:sdtPr>
            <w:tag w:val="goog_rdk_72"/>
            <w:id w:val="2134061503"/>
          </w:sdtPr>
          <w:sdtContent>
            <w:tc>
              <w:tcPr>
                <w:tcW w:w="782" w:type="dxa"/>
              </w:tcPr>
              <w:sdt>
                <w:sdtPr>
                  <w:tag w:val="goog_rdk_77"/>
                  <w:id w:val="-398827538"/>
                </w:sdtPr>
                <w:sdtContent>
                  <w:p w14:paraId="00000155" w14:textId="56D525DE" w:rsidR="00490D7E" w:rsidRPr="006E267A" w:rsidRDefault="00000000" w:rsidP="006E267A">
                    <w:pPr>
                      <w:widowControl w:val="0"/>
                      <w:spacing w:line="240" w:lineRule="auto"/>
                      <w:rPr>
                        <w:rFonts w:ascii="Calibri" w:eastAsia="Calibri" w:hAnsi="Calibri" w:cs="Calibri"/>
                      </w:rPr>
                    </w:pPr>
                    <w:sdt>
                      <w:sdtPr>
                        <w:tag w:val="goog_rdk_74"/>
                        <w:id w:val="-1159544053"/>
                      </w:sdtPr>
                      <w:sdtContent>
                        <w:r w:rsidR="00707826">
                          <w:rPr>
                            <w:rFonts w:ascii="Calibri" w:eastAsia="Calibri" w:hAnsi="Calibri" w:cs="Calibri"/>
                            <w:color w:val="000000"/>
                          </w:rPr>
                          <w:t>52,500</w:t>
                        </w:r>
                      </w:sdtContent>
                    </w:sdt>
                    <w:sdt>
                      <w:sdtPr>
                        <w:tag w:val="goog_rdk_75"/>
                        <w:id w:val="-256602938"/>
                        <w:showingPlcHdr/>
                      </w:sdtPr>
                      <w:sdtContent>
                        <w:r w:rsidR="006E267A">
                          <w:t xml:space="preserve">     </w:t>
                        </w:r>
                      </w:sdtContent>
                    </w:sdt>
                    <w:sdt>
                      <w:sdtPr>
                        <w:tag w:val="goog_rdk_76"/>
                        <w:id w:val="-130952983"/>
                      </w:sdtPr>
                      <w:sdtContent/>
                    </w:sdt>
                  </w:p>
                </w:sdtContent>
              </w:sdt>
            </w:tc>
          </w:sdtContent>
        </w:sdt>
        <w:sdt>
          <w:sdtPr>
            <w:tag w:val="goog_rdk_78"/>
            <w:id w:val="625273818"/>
          </w:sdtPr>
          <w:sdtContent>
            <w:tc>
              <w:tcPr>
                <w:tcW w:w="782" w:type="dxa"/>
              </w:tcPr>
              <w:sdt>
                <w:sdtPr>
                  <w:tag w:val="goog_rdk_83"/>
                  <w:id w:val="1299418065"/>
                </w:sdtPr>
                <w:sdtContent>
                  <w:p w14:paraId="00000156" w14:textId="4A1A9EEC" w:rsidR="00490D7E" w:rsidRPr="006E267A" w:rsidRDefault="00000000" w:rsidP="006E267A">
                    <w:pPr>
                      <w:widowControl w:val="0"/>
                      <w:spacing w:line="240" w:lineRule="auto"/>
                      <w:rPr>
                        <w:rFonts w:ascii="Calibri" w:eastAsia="Calibri" w:hAnsi="Calibri" w:cs="Calibri"/>
                      </w:rPr>
                    </w:pPr>
                    <w:sdt>
                      <w:sdtPr>
                        <w:tag w:val="goog_rdk_80"/>
                        <w:id w:val="1414513044"/>
                      </w:sdtPr>
                      <w:sdtContent>
                        <w:r w:rsidR="00707826">
                          <w:rPr>
                            <w:rFonts w:ascii="Calibri" w:eastAsia="Calibri" w:hAnsi="Calibri" w:cs="Calibri"/>
                            <w:color w:val="000000"/>
                          </w:rPr>
                          <w:t>150,000</w:t>
                        </w:r>
                      </w:sdtContent>
                    </w:sdt>
                    <w:sdt>
                      <w:sdtPr>
                        <w:tag w:val="goog_rdk_81"/>
                        <w:id w:val="-1509285270"/>
                        <w:showingPlcHdr/>
                      </w:sdtPr>
                      <w:sdtContent>
                        <w:r w:rsidR="006E267A">
                          <w:t xml:space="preserve">     </w:t>
                        </w:r>
                      </w:sdtContent>
                    </w:sdt>
                    <w:sdt>
                      <w:sdtPr>
                        <w:tag w:val="goog_rdk_82"/>
                        <w:id w:val="2099135930"/>
                      </w:sdtPr>
                      <w:sdtContent/>
                    </w:sdt>
                  </w:p>
                </w:sdtContent>
              </w:sdt>
            </w:tc>
          </w:sdtContent>
        </w:sdt>
      </w:tr>
    </w:tbl>
    <w:p w14:paraId="00000157"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p>
    <w:p w14:paraId="00000158" w14:textId="742BD32F" w:rsidR="00490D7E" w:rsidRDefault="00000000">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sdt>
        <w:sdtPr>
          <w:tag w:val="goog_rdk_84"/>
          <w:id w:val="75644125"/>
          <w:showingPlcHdr/>
        </w:sdtPr>
        <w:sdtContent>
          <w:r w:rsidR="00FB3B5B">
            <w:t xml:space="preserve">     </w:t>
          </w:r>
        </w:sdtContent>
      </w:sdt>
    </w:p>
    <w:p w14:paraId="00000159"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p>
    <w:tbl>
      <w:tblPr>
        <w:tblW w:w="93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3" w:type="dxa"/>
          <w:left w:w="115" w:type="dxa"/>
          <w:bottom w:w="43" w:type="dxa"/>
          <w:right w:w="115" w:type="dxa"/>
        </w:tblCellMar>
        <w:tblLook w:val="0400" w:firstRow="0" w:lastRow="0" w:firstColumn="0" w:lastColumn="0" w:noHBand="0" w:noVBand="1"/>
      </w:tblPr>
      <w:tblGrid>
        <w:gridCol w:w="4681"/>
        <w:gridCol w:w="782"/>
        <w:gridCol w:w="782"/>
        <w:gridCol w:w="782"/>
        <w:gridCol w:w="782"/>
        <w:gridCol w:w="782"/>
        <w:gridCol w:w="782"/>
      </w:tblGrid>
      <w:tr w:rsidR="00490D7E" w14:paraId="16BFE32C" w14:textId="77777777">
        <w:tc>
          <w:tcPr>
            <w:tcW w:w="4681" w:type="dxa"/>
          </w:tcPr>
          <w:p w14:paraId="0000015A"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color w:val="000000"/>
              </w:rPr>
              <w:t>Number of people participating in project activities, including decision-making bodies, training sessions, and community engagement events</w:t>
            </w:r>
          </w:p>
        </w:tc>
        <w:tc>
          <w:tcPr>
            <w:tcW w:w="782" w:type="dxa"/>
          </w:tcPr>
          <w:p w14:paraId="0000015B"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color w:val="000000"/>
              </w:rPr>
              <w:t>0</w:t>
            </w:r>
          </w:p>
        </w:tc>
        <w:tc>
          <w:tcPr>
            <w:tcW w:w="782" w:type="dxa"/>
          </w:tcPr>
          <w:p w14:paraId="0000015C" w14:textId="77777777" w:rsidR="00490D7E" w:rsidRDefault="00707826">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0</w:t>
            </w:r>
          </w:p>
        </w:tc>
        <w:tc>
          <w:tcPr>
            <w:tcW w:w="782" w:type="dxa"/>
          </w:tcPr>
          <w:p w14:paraId="0000015D" w14:textId="77777777" w:rsidR="00490D7E" w:rsidRDefault="00707826">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0</w:t>
            </w:r>
          </w:p>
        </w:tc>
        <w:tc>
          <w:tcPr>
            <w:tcW w:w="782" w:type="dxa"/>
          </w:tcPr>
          <w:p w14:paraId="0000015E"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color w:val="000000"/>
              </w:rPr>
              <w:t>330</w:t>
            </w:r>
          </w:p>
        </w:tc>
        <w:tc>
          <w:tcPr>
            <w:tcW w:w="782" w:type="dxa"/>
          </w:tcPr>
          <w:p w14:paraId="0000015F" w14:textId="77777777" w:rsidR="00490D7E" w:rsidRDefault="00707826">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330</w:t>
            </w:r>
          </w:p>
        </w:tc>
        <w:tc>
          <w:tcPr>
            <w:tcW w:w="782" w:type="dxa"/>
          </w:tcPr>
          <w:p w14:paraId="00000160" w14:textId="77777777" w:rsidR="00490D7E" w:rsidRDefault="00707826">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660</w:t>
            </w:r>
          </w:p>
        </w:tc>
      </w:tr>
      <w:tr w:rsidR="00490D7E" w14:paraId="5A7ADD0F" w14:textId="77777777">
        <w:tc>
          <w:tcPr>
            <w:tcW w:w="4681" w:type="dxa"/>
          </w:tcPr>
          <w:p w14:paraId="00000161"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color w:val="000000"/>
              </w:rPr>
              <w:t>Number of gender-specific indicators developed and used to assess the impact of the project on men and women.</w:t>
            </w:r>
          </w:p>
        </w:tc>
        <w:tc>
          <w:tcPr>
            <w:tcW w:w="782" w:type="dxa"/>
          </w:tcPr>
          <w:p w14:paraId="00000162"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color w:val="000000"/>
              </w:rPr>
              <w:t>0</w:t>
            </w:r>
          </w:p>
        </w:tc>
        <w:tc>
          <w:tcPr>
            <w:tcW w:w="782" w:type="dxa"/>
          </w:tcPr>
          <w:p w14:paraId="00000163" w14:textId="77777777" w:rsidR="00490D7E" w:rsidRDefault="00707826">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0</w:t>
            </w:r>
          </w:p>
        </w:tc>
        <w:tc>
          <w:tcPr>
            <w:tcW w:w="782" w:type="dxa"/>
          </w:tcPr>
          <w:p w14:paraId="00000164" w14:textId="77777777" w:rsidR="00490D7E" w:rsidRDefault="00707826">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0</w:t>
            </w:r>
          </w:p>
        </w:tc>
        <w:tc>
          <w:tcPr>
            <w:tcW w:w="2346" w:type="dxa"/>
            <w:gridSpan w:val="3"/>
          </w:tcPr>
          <w:p w14:paraId="00000165" w14:textId="77777777" w:rsidR="00490D7E" w:rsidRDefault="00707826">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10</w:t>
            </w:r>
          </w:p>
        </w:tc>
      </w:tr>
      <w:tr w:rsidR="00490D7E" w14:paraId="367F6CA1" w14:textId="77777777">
        <w:tc>
          <w:tcPr>
            <w:tcW w:w="4681" w:type="dxa"/>
          </w:tcPr>
          <w:p w14:paraId="00000168"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color w:val="000000"/>
              </w:rPr>
              <w:t>Number of project staff trained and sensitized on gender mainstreaming</w:t>
            </w:r>
          </w:p>
        </w:tc>
        <w:tc>
          <w:tcPr>
            <w:tcW w:w="782" w:type="dxa"/>
          </w:tcPr>
          <w:p w14:paraId="00000169"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color w:val="000000"/>
              </w:rPr>
              <w:t>0</w:t>
            </w:r>
          </w:p>
        </w:tc>
        <w:tc>
          <w:tcPr>
            <w:tcW w:w="782" w:type="dxa"/>
          </w:tcPr>
          <w:p w14:paraId="0000016A" w14:textId="77777777" w:rsidR="00490D7E" w:rsidRDefault="00707826">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0</w:t>
            </w:r>
          </w:p>
        </w:tc>
        <w:tc>
          <w:tcPr>
            <w:tcW w:w="782" w:type="dxa"/>
          </w:tcPr>
          <w:p w14:paraId="0000016B" w14:textId="77777777" w:rsidR="00490D7E" w:rsidRDefault="00707826">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0</w:t>
            </w:r>
          </w:p>
        </w:tc>
        <w:tc>
          <w:tcPr>
            <w:tcW w:w="782" w:type="dxa"/>
          </w:tcPr>
          <w:p w14:paraId="0000016C"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color w:val="000000"/>
              </w:rPr>
              <w:t>20</w:t>
            </w:r>
          </w:p>
        </w:tc>
        <w:tc>
          <w:tcPr>
            <w:tcW w:w="782" w:type="dxa"/>
          </w:tcPr>
          <w:p w14:paraId="0000016D" w14:textId="77777777" w:rsidR="00490D7E" w:rsidRDefault="00707826">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20</w:t>
            </w:r>
          </w:p>
        </w:tc>
        <w:tc>
          <w:tcPr>
            <w:tcW w:w="782" w:type="dxa"/>
          </w:tcPr>
          <w:p w14:paraId="0000016E" w14:textId="77777777" w:rsidR="00490D7E" w:rsidRDefault="00707826">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40</w:t>
            </w:r>
          </w:p>
        </w:tc>
      </w:tr>
      <w:tr w:rsidR="00490D7E" w14:paraId="517730B5" w14:textId="77777777">
        <w:tc>
          <w:tcPr>
            <w:tcW w:w="4681" w:type="dxa"/>
          </w:tcPr>
          <w:p w14:paraId="0000016F"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color w:val="000000"/>
              </w:rPr>
              <w:t>Percentage of women representatives in relevant collegiate bodies and policy discussion forums.</w:t>
            </w:r>
          </w:p>
        </w:tc>
        <w:tc>
          <w:tcPr>
            <w:tcW w:w="782" w:type="dxa"/>
          </w:tcPr>
          <w:p w14:paraId="00000170"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color w:val="000000"/>
              </w:rPr>
              <w:t>0</w:t>
            </w:r>
          </w:p>
        </w:tc>
        <w:tc>
          <w:tcPr>
            <w:tcW w:w="782" w:type="dxa"/>
          </w:tcPr>
          <w:p w14:paraId="00000171" w14:textId="77777777" w:rsidR="00490D7E" w:rsidRDefault="00707826">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0</w:t>
            </w:r>
          </w:p>
        </w:tc>
        <w:tc>
          <w:tcPr>
            <w:tcW w:w="782" w:type="dxa"/>
          </w:tcPr>
          <w:p w14:paraId="00000172" w14:textId="77777777" w:rsidR="00490D7E" w:rsidRDefault="00707826">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0</w:t>
            </w:r>
          </w:p>
        </w:tc>
        <w:tc>
          <w:tcPr>
            <w:tcW w:w="2346" w:type="dxa"/>
            <w:gridSpan w:val="3"/>
          </w:tcPr>
          <w:p w14:paraId="00000173" w14:textId="77777777" w:rsidR="00490D7E" w:rsidRDefault="00707826">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50%</w:t>
            </w:r>
          </w:p>
        </w:tc>
      </w:tr>
      <w:tr w:rsidR="00490D7E" w14:paraId="7CE45C99" w14:textId="77777777">
        <w:tc>
          <w:tcPr>
            <w:tcW w:w="4681" w:type="dxa"/>
          </w:tcPr>
          <w:p w14:paraId="00000176"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color w:val="000000"/>
              </w:rPr>
              <w:t>Number of policies or strategies revised or developed to include gender considerations.</w:t>
            </w:r>
          </w:p>
        </w:tc>
        <w:tc>
          <w:tcPr>
            <w:tcW w:w="782" w:type="dxa"/>
          </w:tcPr>
          <w:p w14:paraId="00000177"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p>
        </w:tc>
        <w:tc>
          <w:tcPr>
            <w:tcW w:w="782" w:type="dxa"/>
          </w:tcPr>
          <w:p w14:paraId="00000178" w14:textId="77777777" w:rsidR="00490D7E" w:rsidRDefault="00490D7E">
            <w:pPr>
              <w:widowControl w:val="0"/>
              <w:pBdr>
                <w:top w:val="nil"/>
                <w:left w:val="nil"/>
                <w:bottom w:val="nil"/>
                <w:right w:val="nil"/>
                <w:between w:val="nil"/>
              </w:pBdr>
              <w:spacing w:line="240" w:lineRule="auto"/>
              <w:rPr>
                <w:rFonts w:ascii="Calibri" w:eastAsia="Calibri" w:hAnsi="Calibri" w:cs="Calibri"/>
                <w:color w:val="000000"/>
              </w:rPr>
            </w:pPr>
          </w:p>
        </w:tc>
        <w:tc>
          <w:tcPr>
            <w:tcW w:w="782" w:type="dxa"/>
          </w:tcPr>
          <w:p w14:paraId="00000179" w14:textId="77777777" w:rsidR="00490D7E" w:rsidRDefault="00490D7E">
            <w:pPr>
              <w:widowControl w:val="0"/>
              <w:pBdr>
                <w:top w:val="nil"/>
                <w:left w:val="nil"/>
                <w:bottom w:val="nil"/>
                <w:right w:val="nil"/>
                <w:between w:val="nil"/>
              </w:pBdr>
              <w:spacing w:line="240" w:lineRule="auto"/>
              <w:rPr>
                <w:rFonts w:ascii="Calibri" w:eastAsia="Calibri" w:hAnsi="Calibri" w:cs="Calibri"/>
                <w:color w:val="000000"/>
              </w:rPr>
            </w:pPr>
          </w:p>
        </w:tc>
        <w:tc>
          <w:tcPr>
            <w:tcW w:w="2346" w:type="dxa"/>
            <w:gridSpan w:val="3"/>
          </w:tcPr>
          <w:p w14:paraId="0000017A" w14:textId="77777777" w:rsidR="00490D7E" w:rsidRDefault="00000000">
            <w:pPr>
              <w:widowControl w:val="0"/>
              <w:pBdr>
                <w:top w:val="nil"/>
                <w:left w:val="nil"/>
                <w:bottom w:val="nil"/>
                <w:right w:val="nil"/>
                <w:between w:val="nil"/>
              </w:pBdr>
              <w:spacing w:line="240" w:lineRule="auto"/>
              <w:rPr>
                <w:rFonts w:ascii="Calibri" w:eastAsia="Calibri" w:hAnsi="Calibri" w:cs="Calibri"/>
                <w:color w:val="000000"/>
              </w:rPr>
            </w:pPr>
            <w:sdt>
              <w:sdtPr>
                <w:tag w:val="goog_rdk_85"/>
                <w:id w:val="-920102102"/>
              </w:sdtPr>
              <w:sdtContent/>
            </w:sdt>
            <w:r w:rsidR="00707826">
              <w:rPr>
                <w:rFonts w:ascii="Calibri" w:eastAsia="Calibri" w:hAnsi="Calibri" w:cs="Calibri"/>
                <w:color w:val="000000"/>
              </w:rPr>
              <w:t>7 (1 at federal level and 6 state level)</w:t>
            </w:r>
          </w:p>
        </w:tc>
      </w:tr>
      <w:tr w:rsidR="00490D7E" w14:paraId="5B737036" w14:textId="77777777">
        <w:tc>
          <w:tcPr>
            <w:tcW w:w="4681" w:type="dxa"/>
          </w:tcPr>
          <w:p w14:paraId="0000017D"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color w:val="000000"/>
              </w:rPr>
              <w:t>Indicator 4: Number of people benefitting from investments financed by the GEF, disaggregated by gender.</w:t>
            </w:r>
          </w:p>
        </w:tc>
        <w:tc>
          <w:tcPr>
            <w:tcW w:w="782" w:type="dxa"/>
          </w:tcPr>
          <w:p w14:paraId="0000017E"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r>
              <w:rPr>
                <w:rFonts w:ascii="Calibri" w:eastAsia="Calibri" w:hAnsi="Calibri" w:cs="Calibri"/>
                <w:color w:val="000000"/>
              </w:rPr>
              <w:t>0</w:t>
            </w:r>
          </w:p>
        </w:tc>
        <w:tc>
          <w:tcPr>
            <w:tcW w:w="782" w:type="dxa"/>
          </w:tcPr>
          <w:p w14:paraId="0000017F" w14:textId="77777777" w:rsidR="00490D7E" w:rsidRDefault="00707826">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0</w:t>
            </w:r>
          </w:p>
        </w:tc>
        <w:tc>
          <w:tcPr>
            <w:tcW w:w="782" w:type="dxa"/>
          </w:tcPr>
          <w:p w14:paraId="00000180" w14:textId="77777777" w:rsidR="00490D7E" w:rsidRDefault="00707826">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0</w:t>
            </w:r>
          </w:p>
        </w:tc>
        <w:tc>
          <w:tcPr>
            <w:tcW w:w="782" w:type="dxa"/>
            <w:shd w:val="clear" w:color="auto" w:fill="auto"/>
          </w:tcPr>
          <w:p w14:paraId="00000181" w14:textId="7A4FA570" w:rsidR="00490D7E" w:rsidRDefault="00000000">
            <w:pPr>
              <w:widowControl w:val="0"/>
              <w:pBdr>
                <w:top w:val="nil"/>
                <w:left w:val="nil"/>
                <w:bottom w:val="nil"/>
                <w:right w:val="nil"/>
                <w:between w:val="nil"/>
              </w:pBdr>
              <w:tabs>
                <w:tab w:val="right" w:pos="73"/>
                <w:tab w:val="right" w:pos="1712"/>
                <w:tab w:val="right" w:pos="4160"/>
                <w:tab w:val="right" w:pos="6528"/>
                <w:tab w:val="right" w:pos="9384"/>
              </w:tabs>
              <w:spacing w:line="240" w:lineRule="auto"/>
              <w:rPr>
                <w:rFonts w:ascii="Calibri" w:eastAsia="Calibri" w:hAnsi="Calibri" w:cs="Calibri"/>
                <w:color w:val="000000"/>
              </w:rPr>
            </w:pPr>
            <w:sdt>
              <w:sdtPr>
                <w:tag w:val="goog_rdk_87"/>
                <w:id w:val="-1082053034"/>
              </w:sdtPr>
              <w:sdtContent>
                <w:r w:rsidR="00707826">
                  <w:rPr>
                    <w:rFonts w:ascii="Calibri" w:eastAsia="Calibri" w:hAnsi="Calibri" w:cs="Calibri"/>
                    <w:color w:val="000000"/>
                  </w:rPr>
                  <w:t>97,500</w:t>
                </w:r>
              </w:sdtContent>
            </w:sdt>
            <w:sdt>
              <w:sdtPr>
                <w:tag w:val="goog_rdk_88"/>
                <w:id w:val="-439602117"/>
                <w:showingPlcHdr/>
              </w:sdtPr>
              <w:sdtContent>
                <w:r w:rsidR="006E267A">
                  <w:t xml:space="preserve">     </w:t>
                </w:r>
              </w:sdtContent>
            </w:sdt>
          </w:p>
        </w:tc>
        <w:tc>
          <w:tcPr>
            <w:tcW w:w="782" w:type="dxa"/>
            <w:shd w:val="clear" w:color="auto" w:fill="auto"/>
          </w:tcPr>
          <w:p w14:paraId="00000182" w14:textId="5C8AB47E" w:rsidR="00490D7E" w:rsidRDefault="00000000">
            <w:pPr>
              <w:widowControl w:val="0"/>
              <w:pBdr>
                <w:top w:val="nil"/>
                <w:left w:val="nil"/>
                <w:bottom w:val="nil"/>
                <w:right w:val="nil"/>
                <w:between w:val="nil"/>
              </w:pBdr>
              <w:spacing w:line="240" w:lineRule="auto"/>
              <w:rPr>
                <w:rFonts w:ascii="Calibri" w:eastAsia="Calibri" w:hAnsi="Calibri" w:cs="Calibri"/>
                <w:color w:val="000000"/>
              </w:rPr>
            </w:pPr>
            <w:sdt>
              <w:sdtPr>
                <w:tag w:val="goog_rdk_90"/>
                <w:id w:val="271748901"/>
              </w:sdtPr>
              <w:sdtContent>
                <w:r w:rsidR="00707826">
                  <w:rPr>
                    <w:rFonts w:ascii="Calibri" w:eastAsia="Calibri" w:hAnsi="Calibri" w:cs="Calibri"/>
                    <w:color w:val="000000"/>
                  </w:rPr>
                  <w:t>52,500</w:t>
                </w:r>
              </w:sdtContent>
            </w:sdt>
            <w:sdt>
              <w:sdtPr>
                <w:tag w:val="goog_rdk_91"/>
                <w:id w:val="-687443490"/>
                <w:showingPlcHdr/>
              </w:sdtPr>
              <w:sdtContent>
                <w:r w:rsidR="006E267A">
                  <w:t xml:space="preserve">     </w:t>
                </w:r>
              </w:sdtContent>
            </w:sdt>
          </w:p>
        </w:tc>
        <w:tc>
          <w:tcPr>
            <w:tcW w:w="782" w:type="dxa"/>
          </w:tcPr>
          <w:p w14:paraId="00000183" w14:textId="77777777" w:rsidR="00490D7E" w:rsidRDefault="00707826">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150,000</w:t>
            </w:r>
          </w:p>
        </w:tc>
      </w:tr>
    </w:tbl>
    <w:p w14:paraId="00000184"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p>
    <w:p w14:paraId="00000185"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r>
        <w:rPr>
          <w:rFonts w:ascii="Calibri" w:eastAsia="Calibri" w:hAnsi="Calibri" w:cs="Calibri"/>
          <w:color w:val="000000"/>
        </w:rPr>
        <w:t xml:space="preserve">Note 1: In addition to the minimum indicators above, projects are strongly encouraged to provide additional gender indicators specific to their projects. </w:t>
      </w:r>
    </w:p>
    <w:p w14:paraId="00000186"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r>
        <w:rPr>
          <w:rFonts w:ascii="Calibri" w:eastAsia="Calibri" w:hAnsi="Calibri" w:cs="Calibri"/>
          <w:color w:val="000000"/>
        </w:rPr>
        <w:t>Note 2: Provide justification or explain the rationale for the gender disaggregated targets set for the project. Targets should be ambitious yet realistic.</w:t>
      </w:r>
    </w:p>
    <w:p w14:paraId="00000187"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p>
    <w:p w14:paraId="00000188"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p>
    <w:p w14:paraId="00000189" w14:textId="77777777" w:rsidR="00490D7E" w:rsidRDefault="00707826">
      <w:pPr>
        <w:widowControl w:val="0"/>
        <w:pBdr>
          <w:top w:val="nil"/>
          <w:left w:val="nil"/>
          <w:bottom w:val="single" w:sz="4" w:space="1" w:color="000000"/>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b/>
          <w:color w:val="3F3F3F"/>
          <w:sz w:val="20"/>
          <w:szCs w:val="20"/>
          <w:highlight w:val="white"/>
        </w:rPr>
      </w:pPr>
      <w:r>
        <w:rPr>
          <w:rFonts w:ascii="Calibri" w:eastAsia="Calibri" w:hAnsi="Calibri" w:cs="Calibri"/>
          <w:b/>
          <w:color w:val="000000"/>
          <w:sz w:val="28"/>
          <w:szCs w:val="28"/>
        </w:rPr>
        <w:t xml:space="preserve">SECTION V: </w:t>
      </w:r>
      <w:r>
        <w:rPr>
          <w:rFonts w:ascii="Calibri" w:eastAsia="Calibri" w:hAnsi="Calibri" w:cs="Calibri"/>
          <w:b/>
          <w:color w:val="3F3F3F"/>
          <w:sz w:val="28"/>
          <w:szCs w:val="28"/>
          <w:highlight w:val="white"/>
        </w:rPr>
        <w:t>Considerations for the Implementation of the GMP</w:t>
      </w:r>
    </w:p>
    <w:p w14:paraId="0000018A" w14:textId="77777777" w:rsidR="00490D7E" w:rsidRDefault="00707826">
      <w:pPr>
        <w:widowControl w:val="0"/>
        <w:numPr>
          <w:ilvl w:val="0"/>
          <w:numId w:val="4"/>
        </w:numPr>
        <w:pBdr>
          <w:top w:val="nil"/>
          <w:left w:val="nil"/>
          <w:bottom w:val="nil"/>
          <w:right w:val="nil"/>
          <w:between w:val="nil"/>
        </w:pBdr>
        <w:tabs>
          <w:tab w:val="right" w:pos="73"/>
          <w:tab w:val="right" w:pos="1712"/>
          <w:tab w:val="right" w:pos="4160"/>
          <w:tab w:val="right" w:pos="6528"/>
          <w:tab w:val="right" w:pos="9384"/>
        </w:tabs>
        <w:spacing w:line="240" w:lineRule="auto"/>
        <w:ind w:left="360"/>
        <w:jc w:val="both"/>
        <w:rPr>
          <w:rFonts w:ascii="Calibri" w:eastAsia="Calibri" w:hAnsi="Calibri" w:cs="Calibri"/>
          <w:b/>
          <w:color w:val="000000"/>
        </w:rPr>
      </w:pPr>
      <w:r>
        <w:rPr>
          <w:rFonts w:ascii="Calibri" w:eastAsia="Calibri" w:hAnsi="Calibri" w:cs="Calibri"/>
          <w:b/>
          <w:color w:val="000000"/>
        </w:rPr>
        <w:t>Alignment + integration</w:t>
      </w:r>
    </w:p>
    <w:p w14:paraId="0000018B"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r>
        <w:rPr>
          <w:rFonts w:ascii="Calibri" w:eastAsia="Calibri" w:hAnsi="Calibri" w:cs="Calibri"/>
          <w:color w:val="000000"/>
        </w:rPr>
        <w:t xml:space="preserve">The activities, budget and staffing outlined in this action plan must be integrated into the project’s overall Project Document + Results Framework. Please confirm that: </w:t>
      </w:r>
    </w:p>
    <w:p w14:paraId="0000018C" w14:textId="77777777" w:rsidR="00490D7E" w:rsidRDefault="00707826">
      <w:pPr>
        <w:widowControl w:val="0"/>
        <w:numPr>
          <w:ilvl w:val="0"/>
          <w:numId w:val="6"/>
        </w:numPr>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r>
        <w:rPr>
          <w:rFonts w:ascii="Calibri" w:eastAsia="Calibri" w:hAnsi="Calibri" w:cs="Calibri"/>
          <w:color w:val="000000"/>
        </w:rPr>
        <w:t>The activities identified in this Action Plan have been integrated into the project’s proposal document including the results framework. (Y/N)</w:t>
      </w:r>
    </w:p>
    <w:p w14:paraId="0000018D" w14:textId="77777777" w:rsidR="00490D7E" w:rsidRDefault="00707826">
      <w:pPr>
        <w:widowControl w:val="0"/>
        <w:numPr>
          <w:ilvl w:val="0"/>
          <w:numId w:val="2"/>
        </w:numPr>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r>
        <w:rPr>
          <w:rFonts w:ascii="Calibri" w:eastAsia="Calibri" w:hAnsi="Calibri" w:cs="Calibri"/>
          <w:color w:val="000000"/>
        </w:rPr>
        <w:t>Yes.</w:t>
      </w:r>
    </w:p>
    <w:p w14:paraId="0000018E" w14:textId="77777777" w:rsidR="00490D7E" w:rsidRDefault="00707826">
      <w:pPr>
        <w:widowControl w:val="0"/>
        <w:numPr>
          <w:ilvl w:val="0"/>
          <w:numId w:val="6"/>
        </w:numPr>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r>
        <w:rPr>
          <w:rFonts w:ascii="Calibri" w:eastAsia="Calibri" w:hAnsi="Calibri" w:cs="Calibri"/>
          <w:color w:val="000000"/>
        </w:rPr>
        <w:t>The necessary budget for activities identified in this Action Plan have been integrated into the project’s overall budget. (Y/N)</w:t>
      </w:r>
    </w:p>
    <w:p w14:paraId="0000018F" w14:textId="77777777" w:rsidR="00490D7E" w:rsidRDefault="00707826">
      <w:pPr>
        <w:widowControl w:val="0"/>
        <w:numPr>
          <w:ilvl w:val="0"/>
          <w:numId w:val="9"/>
        </w:numPr>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r>
        <w:rPr>
          <w:rFonts w:ascii="Calibri" w:eastAsia="Calibri" w:hAnsi="Calibri" w:cs="Calibri"/>
          <w:color w:val="000000"/>
        </w:rPr>
        <w:t>Yes.</w:t>
      </w:r>
    </w:p>
    <w:p w14:paraId="00000190" w14:textId="77777777" w:rsidR="00490D7E" w:rsidRDefault="00707826">
      <w:pPr>
        <w:widowControl w:val="0"/>
        <w:numPr>
          <w:ilvl w:val="0"/>
          <w:numId w:val="4"/>
        </w:numPr>
        <w:pBdr>
          <w:top w:val="nil"/>
          <w:left w:val="nil"/>
          <w:bottom w:val="nil"/>
          <w:right w:val="nil"/>
          <w:between w:val="nil"/>
        </w:pBdr>
        <w:tabs>
          <w:tab w:val="right" w:pos="73"/>
          <w:tab w:val="right" w:pos="1712"/>
          <w:tab w:val="right" w:pos="4160"/>
          <w:tab w:val="right" w:pos="6528"/>
          <w:tab w:val="right" w:pos="9384"/>
        </w:tabs>
        <w:spacing w:line="240" w:lineRule="auto"/>
        <w:ind w:left="360"/>
        <w:jc w:val="both"/>
        <w:rPr>
          <w:rFonts w:ascii="Calibri" w:eastAsia="Calibri" w:hAnsi="Calibri" w:cs="Calibri"/>
          <w:b/>
          <w:color w:val="000000"/>
        </w:rPr>
      </w:pPr>
      <w:r>
        <w:rPr>
          <w:rFonts w:ascii="Calibri" w:eastAsia="Calibri" w:hAnsi="Calibri" w:cs="Calibri"/>
          <w:b/>
          <w:color w:val="000000"/>
        </w:rPr>
        <w:t>Staffing capacities</w:t>
      </w:r>
    </w:p>
    <w:p w14:paraId="00000191" w14:textId="503B3AE3" w:rsidR="00490D7E" w:rsidRDefault="00000000">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sdt>
        <w:sdtPr>
          <w:tag w:val="goog_rdk_93"/>
          <w:id w:val="-314027814"/>
          <w:showingPlcHdr/>
        </w:sdtPr>
        <w:sdtContent>
          <w:r w:rsidR="006E267A">
            <w:t xml:space="preserve">     </w:t>
          </w:r>
        </w:sdtContent>
      </w:sdt>
    </w:p>
    <w:p w14:paraId="00000192"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p>
    <w:p w14:paraId="00000193"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The executing agency will have a basic structure and team to start implementing the Gender Mainstreaming Plan. To build capacity and ensure successful implementation, the strategic hiring of a senior s</w:t>
      </w:r>
      <w:r>
        <w:rPr>
          <w:rFonts w:ascii="Calibri" w:eastAsia="Calibri" w:hAnsi="Calibri" w:cs="Calibri"/>
        </w:rPr>
        <w:t>afe</w:t>
      </w:r>
      <w:r>
        <w:rPr>
          <w:rFonts w:ascii="Calibri" w:eastAsia="Calibri" w:hAnsi="Calibri" w:cs="Calibri"/>
          <w:color w:val="000000"/>
        </w:rPr>
        <w:t>guards specialist and targeted training for existing staff will be essential. The allocation of time and resources will be closely monitored to ensure that the objectives of the GMP are achieved effectively and sustainably.</w:t>
      </w:r>
    </w:p>
    <w:p w14:paraId="00000194"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The Senior Safeguards Specialist will be responsible for overseeing the implementation of the GMP. This role is key to ensuring that gender considerations are systematically integrated into all project activities.</w:t>
      </w:r>
    </w:p>
    <w:p w14:paraId="00000195"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The Sa</w:t>
      </w:r>
      <w:r>
        <w:rPr>
          <w:rFonts w:ascii="Calibri" w:eastAsia="Calibri" w:hAnsi="Calibri" w:cs="Calibri"/>
        </w:rPr>
        <w:t>fe</w:t>
      </w:r>
      <w:r>
        <w:rPr>
          <w:rFonts w:ascii="Calibri" w:eastAsia="Calibri" w:hAnsi="Calibri" w:cs="Calibri"/>
          <w:color w:val="000000"/>
        </w:rPr>
        <w:t>guards Specialist should have specific experience in gender mainstreaming, policy analysis and monitoring and evaluation.</w:t>
      </w:r>
    </w:p>
    <w:p w14:paraId="00000196"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The Senior Safeguards Specialist will dedicate approximately 50-60% of his/her time to the implementation of the GMP, ensuring that all gender-related activities and objectives are adequately addressed.</w:t>
      </w:r>
    </w:p>
    <w:p w14:paraId="00000197" w14:textId="77777777" w:rsidR="00490D7E" w:rsidRDefault="00707826">
      <w:pPr>
        <w:widowControl w:val="0"/>
        <w:pBdr>
          <w:top w:val="nil"/>
          <w:left w:val="nil"/>
          <w:bottom w:val="nil"/>
          <w:right w:val="nil"/>
          <w:between w:val="nil"/>
        </w:pBdr>
        <w:tabs>
          <w:tab w:val="right" w:pos="73"/>
          <w:tab w:val="right" w:pos="1712"/>
          <w:tab w:val="right" w:pos="4160"/>
          <w:tab w:val="right" w:pos="6528"/>
          <w:tab w:val="right" w:pos="9384"/>
        </w:tabs>
        <w:spacing w:before="120" w:after="120" w:line="240" w:lineRule="auto"/>
        <w:jc w:val="both"/>
        <w:rPr>
          <w:rFonts w:ascii="Calibri" w:eastAsia="Calibri" w:hAnsi="Calibri" w:cs="Calibri"/>
          <w:color w:val="000000"/>
        </w:rPr>
      </w:pPr>
      <w:r>
        <w:rPr>
          <w:rFonts w:ascii="Calibri" w:eastAsia="Calibri" w:hAnsi="Calibri" w:cs="Calibri"/>
          <w:color w:val="000000"/>
        </w:rPr>
        <w:t>Other team members will allocate around 20% of their time to supporting the GMP, focusing on specific tasks such as monitoring gender-specific indicators, facilitating training sessions and coordinating with stakeholders.</w:t>
      </w:r>
      <w:sdt>
        <w:sdtPr>
          <w:tag w:val="goog_rdk_94"/>
          <w:id w:val="-1316179770"/>
        </w:sdtPr>
        <w:sdtContent>
          <w:sdt>
            <w:sdtPr>
              <w:tag w:val="goog_rdk_95"/>
              <w:id w:val="465629011"/>
            </w:sdtPr>
            <w:sdtContent/>
          </w:sdt>
          <w:r>
            <w:rPr>
              <w:rFonts w:ascii="Calibri" w:eastAsia="Calibri" w:hAnsi="Calibri" w:cs="Calibri"/>
              <w:color w:val="000000"/>
            </w:rPr>
            <w:t xml:space="preserve"> WRI-Brasil must train all project members on gender-related issues, including those involved in resolving complaints. The project will establish a training protocol for all PMU members. This protocol will be updated annually</w:t>
          </w:r>
        </w:sdtContent>
      </w:sdt>
    </w:p>
    <w:p w14:paraId="00000198" w14:textId="77777777" w:rsidR="00490D7E" w:rsidRDefault="00490D7E">
      <w:pPr>
        <w:widowControl w:val="0"/>
        <w:pBdr>
          <w:top w:val="nil"/>
          <w:left w:val="nil"/>
          <w:bottom w:val="nil"/>
          <w:right w:val="nil"/>
          <w:between w:val="nil"/>
        </w:pBdr>
        <w:tabs>
          <w:tab w:val="right" w:pos="73"/>
          <w:tab w:val="right" w:pos="1712"/>
          <w:tab w:val="right" w:pos="4160"/>
          <w:tab w:val="right" w:pos="6528"/>
          <w:tab w:val="right" w:pos="9384"/>
        </w:tabs>
        <w:spacing w:line="240" w:lineRule="auto"/>
        <w:jc w:val="both"/>
        <w:rPr>
          <w:rFonts w:ascii="Calibri" w:eastAsia="Calibri" w:hAnsi="Calibri" w:cs="Calibri"/>
          <w:color w:val="000000"/>
        </w:rPr>
      </w:pPr>
    </w:p>
    <w:sectPr w:rsidR="00490D7E">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5C946F" w14:textId="77777777" w:rsidR="00801E70" w:rsidRDefault="00801E70">
      <w:pPr>
        <w:spacing w:line="240" w:lineRule="auto"/>
      </w:pPr>
      <w:r>
        <w:separator/>
      </w:r>
    </w:p>
  </w:endnote>
  <w:endnote w:type="continuationSeparator" w:id="0">
    <w:p w14:paraId="7F589811" w14:textId="77777777" w:rsidR="00801E70" w:rsidRDefault="00801E70">
      <w:pPr>
        <w:spacing w:line="240" w:lineRule="auto"/>
      </w:pPr>
      <w:r>
        <w:continuationSeparator/>
      </w:r>
    </w:p>
  </w:endnote>
  <w:endnote w:type="continuationNotice" w:id="1">
    <w:p w14:paraId="0D75965D" w14:textId="77777777" w:rsidR="00801E70" w:rsidRDefault="00801E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545A095-71BE-4A78-AEE9-982EE7507DD9}"/>
    <w:embedBold r:id="rId2" w:fontKey="{BECD4B28-0201-4EE6-A146-02A444558EDC}"/>
    <w:embedItalic r:id="rId3" w:fontKey="{5D36351F-F498-48CA-A351-5AD72746E1C6}"/>
    <w:embedBoldItalic r:id="rId4" w:fontKey="{87B79174-C158-4924-9D1B-2FF03A970A95}"/>
  </w:font>
  <w:font w:name="Calibri Light">
    <w:panose1 w:val="020F0302020204030204"/>
    <w:charset w:val="00"/>
    <w:family w:val="swiss"/>
    <w:pitch w:val="variable"/>
    <w:sig w:usb0="E4002EFF" w:usb1="C200247B" w:usb2="00000009" w:usb3="00000000" w:csb0="000001FF" w:csb1="00000000"/>
    <w:embedRegular r:id="rId5" w:fontKey="{50879F4A-B244-48A6-AB5F-7102AC56EED8}"/>
    <w:embedItalic r:id="rId6" w:fontKey="{15FABEE8-C62B-483A-8970-8262ACBF61DB}"/>
  </w:font>
  <w:font w:name="Segoe UI">
    <w:panose1 w:val="020B0502040204020203"/>
    <w:charset w:val="00"/>
    <w:family w:val="swiss"/>
    <w:pitch w:val="variable"/>
    <w:sig w:usb0="E4002EFF" w:usb1="C000E47F" w:usb2="00000009" w:usb3="00000000" w:csb0="000001FF" w:csb1="00000000"/>
    <w:embedRegular r:id="rId7" w:fontKey="{85DF82A9-FF31-4B9F-A208-09DF04B5DB46}"/>
  </w:font>
  <w:font w:name="Georgia">
    <w:panose1 w:val="02040502050405020303"/>
    <w:charset w:val="00"/>
    <w:family w:val="roman"/>
    <w:pitch w:val="variable"/>
    <w:sig w:usb0="00000287" w:usb1="00000000" w:usb2="00000000" w:usb3="00000000" w:csb0="0000009F" w:csb1="00000000"/>
    <w:embedRegular r:id="rId8" w:fontKey="{5B64DE4F-74A1-4B26-940B-0FD69724FE9E}"/>
    <w:embedItalic r:id="rId9" w:fontKey="{8B407FBF-693A-402F-BE5B-4B835B054CE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0C" w14:textId="77777777" w:rsidR="00490D7E" w:rsidRDefault="00490D7E">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0D" w14:textId="77777777" w:rsidR="00490D7E" w:rsidRDefault="00707826">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color w:val="000000"/>
        <w:sz w:val="18"/>
        <w:szCs w:val="18"/>
      </w:rPr>
      <w:t xml:space="preserve"> </w:t>
    </w:r>
  </w:p>
  <w:p w14:paraId="0000020E" w14:textId="77777777" w:rsidR="00490D7E" w:rsidRDefault="00490D7E">
    <w:pPr>
      <w:pBdr>
        <w:top w:val="nil"/>
        <w:left w:val="nil"/>
        <w:bottom w:val="nil"/>
        <w:right w:val="nil"/>
        <w:between w:val="nil"/>
      </w:pBdr>
      <w:tabs>
        <w:tab w:val="center" w:pos="4680"/>
        <w:tab w:val="right" w:pos="9360"/>
      </w:tabs>
      <w:rPr>
        <w:rFonts w:ascii="Calibri" w:eastAsia="Calibri" w:hAnsi="Calibri" w:cs="Calibri"/>
        <w:color w:val="000000"/>
        <w:sz w:val="18"/>
        <w:szCs w:val="18"/>
      </w:rPr>
    </w:pPr>
  </w:p>
  <w:p w14:paraId="0000020F" w14:textId="4EB49E3A" w:rsidR="00490D7E" w:rsidRDefault="00707826">
    <w:pPr>
      <w:pBdr>
        <w:top w:val="nil"/>
        <w:left w:val="nil"/>
        <w:bottom w:val="nil"/>
        <w:right w:val="nil"/>
        <w:between w:val="nil"/>
      </w:pBdr>
      <w:tabs>
        <w:tab w:val="center" w:pos="4680"/>
        <w:tab w:val="right" w:pos="9360"/>
      </w:tabs>
      <w:jc w:val="right"/>
      <w:rPr>
        <w:rFonts w:ascii="Calibri" w:eastAsia="Calibri" w:hAnsi="Calibri" w:cs="Calibri"/>
        <w:color w:val="000000"/>
        <w:sz w:val="18"/>
        <w:szCs w:val="18"/>
      </w:rPr>
    </w:pP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sidR="006E267A">
      <w:rPr>
        <w:rFonts w:ascii="Calibri" w:eastAsia="Calibri" w:hAnsi="Calibri" w:cs="Calibri"/>
        <w:noProof/>
        <w:color w:val="000000"/>
        <w:sz w:val="18"/>
        <w:szCs w:val="18"/>
      </w:rPr>
      <w:t>1</w:t>
    </w:r>
    <w:r>
      <w:rPr>
        <w:rFonts w:ascii="Calibri" w:eastAsia="Calibri" w:hAnsi="Calibri" w:cs="Calibri"/>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10" w14:textId="77777777" w:rsidR="00490D7E" w:rsidRDefault="00490D7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70F1D" w14:textId="77777777" w:rsidR="00801E70" w:rsidRDefault="00801E70">
      <w:pPr>
        <w:spacing w:line="240" w:lineRule="auto"/>
      </w:pPr>
      <w:r>
        <w:separator/>
      </w:r>
    </w:p>
  </w:footnote>
  <w:footnote w:type="continuationSeparator" w:id="0">
    <w:p w14:paraId="2B76322C" w14:textId="77777777" w:rsidR="00801E70" w:rsidRDefault="00801E70">
      <w:pPr>
        <w:spacing w:line="240" w:lineRule="auto"/>
      </w:pPr>
      <w:r>
        <w:continuationSeparator/>
      </w:r>
    </w:p>
  </w:footnote>
  <w:footnote w:type="continuationNotice" w:id="1">
    <w:p w14:paraId="7FBA98DF" w14:textId="77777777" w:rsidR="00801E70" w:rsidRDefault="00801E70">
      <w:pPr>
        <w:spacing w:line="240" w:lineRule="auto"/>
      </w:pPr>
    </w:p>
  </w:footnote>
  <w:footnote w:id="2">
    <w:p w14:paraId="00000199"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Approved Safeguard plans are to be disclosed to stakeholders in a manner and form that they will understand and that is culturally appropriate. This may require translation of the document.</w:t>
      </w:r>
    </w:p>
  </w:footnote>
  <w:footnote w:id="3">
    <w:p w14:paraId="0000019A"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World Bank (2022). </w:t>
      </w:r>
      <w:r w:rsidRPr="006E267A">
        <w:rPr>
          <w:rFonts w:asciiTheme="minorHAnsi" w:eastAsia="Calibri" w:hAnsiTheme="minorHAnsi" w:cstheme="minorHAnsi"/>
          <w:i/>
          <w:color w:val="000000"/>
          <w:sz w:val="18"/>
          <w:szCs w:val="18"/>
        </w:rPr>
        <w:t>Population - Brazil</w:t>
      </w:r>
      <w:r w:rsidRPr="006E267A">
        <w:rPr>
          <w:rFonts w:asciiTheme="minorHAnsi" w:eastAsia="Calibri" w:hAnsiTheme="minorHAnsi" w:cstheme="minorHAnsi"/>
          <w:color w:val="000000"/>
          <w:sz w:val="18"/>
          <w:szCs w:val="18"/>
        </w:rPr>
        <w:t xml:space="preserve">. Available online: </w:t>
      </w:r>
      <w:hyperlink r:id="rId1">
        <w:r w:rsidRPr="006E267A">
          <w:rPr>
            <w:rFonts w:asciiTheme="minorHAnsi" w:eastAsia="Calibri" w:hAnsiTheme="minorHAnsi" w:cstheme="minorHAnsi"/>
            <w:color w:val="000000"/>
            <w:sz w:val="18"/>
            <w:szCs w:val="18"/>
            <w:u w:val="single"/>
          </w:rPr>
          <w:t>https://data.worldbank.org/indicator/SP.POP.TOTL.MA.IN?locations=BR</w:t>
        </w:r>
      </w:hyperlink>
      <w:r w:rsidRPr="006E267A">
        <w:rPr>
          <w:rFonts w:asciiTheme="minorHAnsi" w:eastAsia="Calibri" w:hAnsiTheme="minorHAnsi" w:cstheme="minorHAnsi"/>
          <w:color w:val="000000"/>
          <w:sz w:val="18"/>
          <w:szCs w:val="18"/>
        </w:rPr>
        <w:t xml:space="preserve"> </w:t>
      </w:r>
    </w:p>
  </w:footnote>
  <w:footnote w:id="4">
    <w:p w14:paraId="0000019B"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UN Women. (n.d.). </w:t>
      </w:r>
      <w:r w:rsidRPr="006E267A">
        <w:rPr>
          <w:rFonts w:asciiTheme="minorHAnsi" w:eastAsia="Calibri" w:hAnsiTheme="minorHAnsi" w:cstheme="minorHAnsi"/>
          <w:i/>
          <w:color w:val="000000"/>
          <w:sz w:val="18"/>
          <w:szCs w:val="18"/>
        </w:rPr>
        <w:t>Data – Brazil</w:t>
      </w:r>
      <w:r w:rsidRPr="006E267A">
        <w:rPr>
          <w:rFonts w:asciiTheme="minorHAnsi" w:eastAsia="Calibri" w:hAnsiTheme="minorHAnsi" w:cstheme="minorHAnsi"/>
          <w:color w:val="000000"/>
          <w:sz w:val="18"/>
          <w:szCs w:val="18"/>
        </w:rPr>
        <w:t xml:space="preserve">. Available online: </w:t>
      </w:r>
      <w:hyperlink r:id="rId2">
        <w:r w:rsidRPr="006E267A">
          <w:rPr>
            <w:rFonts w:asciiTheme="minorHAnsi" w:eastAsia="Calibri" w:hAnsiTheme="minorHAnsi" w:cstheme="minorHAnsi"/>
            <w:color w:val="000000"/>
            <w:sz w:val="18"/>
            <w:szCs w:val="18"/>
            <w:u w:val="single"/>
          </w:rPr>
          <w:t>https://data.unwomen.org/country/brazil</w:t>
        </w:r>
      </w:hyperlink>
      <w:r w:rsidRPr="006E267A">
        <w:rPr>
          <w:rFonts w:asciiTheme="minorHAnsi" w:eastAsia="Calibri" w:hAnsiTheme="minorHAnsi" w:cstheme="minorHAnsi"/>
          <w:color w:val="000000"/>
          <w:sz w:val="18"/>
          <w:szCs w:val="18"/>
        </w:rPr>
        <w:t xml:space="preserve"> </w:t>
      </w:r>
    </w:p>
  </w:footnote>
  <w:footnote w:id="5">
    <w:p w14:paraId="0000019C"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World Bank (2022). </w:t>
      </w:r>
      <w:r w:rsidRPr="006E267A">
        <w:rPr>
          <w:rFonts w:asciiTheme="minorHAnsi" w:eastAsia="Calibri" w:hAnsiTheme="minorHAnsi" w:cstheme="minorHAnsi"/>
          <w:i/>
          <w:color w:val="000000"/>
          <w:sz w:val="18"/>
          <w:szCs w:val="18"/>
        </w:rPr>
        <w:t>School enrollment, tertiary, female (% gross) – Brazil</w:t>
      </w:r>
      <w:r w:rsidRPr="006E267A">
        <w:rPr>
          <w:rFonts w:asciiTheme="minorHAnsi" w:eastAsia="Calibri" w:hAnsiTheme="minorHAnsi" w:cstheme="minorHAnsi"/>
          <w:color w:val="000000"/>
          <w:sz w:val="18"/>
          <w:szCs w:val="18"/>
        </w:rPr>
        <w:t xml:space="preserve">. Available online: </w:t>
      </w:r>
      <w:hyperlink r:id="rId3">
        <w:r w:rsidRPr="006E267A">
          <w:rPr>
            <w:rFonts w:asciiTheme="minorHAnsi" w:eastAsia="Calibri" w:hAnsiTheme="minorHAnsi" w:cstheme="minorHAnsi"/>
            <w:color w:val="000000"/>
            <w:sz w:val="18"/>
            <w:szCs w:val="18"/>
            <w:u w:val="single"/>
          </w:rPr>
          <w:t>https://data.worldbank.org/indicator/SE.TER.ENRR.FE?locations=BR</w:t>
        </w:r>
      </w:hyperlink>
      <w:r w:rsidRPr="006E267A">
        <w:rPr>
          <w:rFonts w:asciiTheme="minorHAnsi" w:eastAsia="Calibri" w:hAnsiTheme="minorHAnsi" w:cstheme="minorHAnsi"/>
          <w:color w:val="000000"/>
          <w:sz w:val="18"/>
          <w:szCs w:val="18"/>
        </w:rPr>
        <w:t xml:space="preserve"> ;</w:t>
      </w:r>
    </w:p>
    <w:p w14:paraId="0000019D"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eastAsia="Calibri" w:hAnsiTheme="minorHAnsi" w:cstheme="minorHAnsi"/>
          <w:color w:val="000000"/>
          <w:sz w:val="18"/>
          <w:szCs w:val="18"/>
        </w:rPr>
        <w:t xml:space="preserve">World Bank (2017). </w:t>
      </w:r>
      <w:r w:rsidRPr="006E267A">
        <w:rPr>
          <w:rFonts w:asciiTheme="minorHAnsi" w:eastAsia="Calibri" w:hAnsiTheme="minorHAnsi" w:cstheme="minorHAnsi"/>
          <w:i/>
          <w:color w:val="000000"/>
          <w:sz w:val="18"/>
          <w:szCs w:val="18"/>
        </w:rPr>
        <w:t>What Does It Mean to Be a Woman in Brazil? The Answer Will Surprise You</w:t>
      </w:r>
      <w:r w:rsidRPr="006E267A">
        <w:rPr>
          <w:rFonts w:asciiTheme="minorHAnsi" w:eastAsia="Calibri" w:hAnsiTheme="minorHAnsi" w:cstheme="minorHAnsi"/>
          <w:color w:val="000000"/>
          <w:sz w:val="18"/>
          <w:szCs w:val="18"/>
        </w:rPr>
        <w:t xml:space="preserve">. Available online: </w:t>
      </w:r>
      <w:hyperlink r:id="rId4">
        <w:r w:rsidRPr="006E267A">
          <w:rPr>
            <w:rFonts w:asciiTheme="minorHAnsi" w:eastAsia="Calibri" w:hAnsiTheme="minorHAnsi" w:cstheme="minorHAnsi"/>
            <w:color w:val="000000"/>
            <w:sz w:val="18"/>
            <w:szCs w:val="18"/>
            <w:u w:val="single"/>
          </w:rPr>
          <w:t>https://www.worldbank.org/en/news/feature/2017/03/08/ser-mujer-brasil</w:t>
        </w:r>
      </w:hyperlink>
      <w:r w:rsidRPr="006E267A">
        <w:rPr>
          <w:rFonts w:asciiTheme="minorHAnsi" w:eastAsia="Calibri" w:hAnsiTheme="minorHAnsi" w:cstheme="minorHAnsi"/>
          <w:color w:val="000000"/>
          <w:sz w:val="18"/>
          <w:szCs w:val="18"/>
        </w:rPr>
        <w:t xml:space="preserve"> </w:t>
      </w:r>
    </w:p>
  </w:footnote>
  <w:footnote w:id="6">
    <w:p w14:paraId="0000019E"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World Bank (2022). </w:t>
      </w:r>
      <w:r w:rsidRPr="006E267A">
        <w:rPr>
          <w:rFonts w:asciiTheme="minorHAnsi" w:eastAsia="Calibri" w:hAnsiTheme="minorHAnsi" w:cstheme="minorHAnsi"/>
          <w:i/>
          <w:color w:val="000000"/>
          <w:sz w:val="18"/>
          <w:szCs w:val="18"/>
        </w:rPr>
        <w:t xml:space="preserve">Literacy Rate, Adult Women – Brazil. </w:t>
      </w:r>
      <w:r w:rsidRPr="006E267A">
        <w:rPr>
          <w:rFonts w:asciiTheme="minorHAnsi" w:eastAsia="Calibri" w:hAnsiTheme="minorHAnsi" w:cstheme="minorHAnsi"/>
          <w:color w:val="000000"/>
          <w:sz w:val="18"/>
          <w:szCs w:val="18"/>
        </w:rPr>
        <w:t xml:space="preserve">Available online: </w:t>
      </w:r>
      <w:hyperlink r:id="rId5">
        <w:r w:rsidRPr="006E267A">
          <w:rPr>
            <w:rFonts w:asciiTheme="minorHAnsi" w:eastAsia="Calibri" w:hAnsiTheme="minorHAnsi" w:cstheme="minorHAnsi"/>
            <w:color w:val="000000"/>
            <w:sz w:val="18"/>
            <w:szCs w:val="18"/>
            <w:u w:val="single"/>
          </w:rPr>
          <w:t>https://data.worldbank.org/indicator/SE.ADT.LITR.FE.ZS?locations=BR</w:t>
        </w:r>
      </w:hyperlink>
      <w:r w:rsidRPr="006E267A">
        <w:rPr>
          <w:rFonts w:asciiTheme="minorHAnsi" w:eastAsia="Calibri" w:hAnsiTheme="minorHAnsi" w:cstheme="minorHAnsi"/>
          <w:color w:val="000000"/>
          <w:sz w:val="18"/>
          <w:szCs w:val="18"/>
        </w:rPr>
        <w:t xml:space="preserve"> ;</w:t>
      </w:r>
    </w:p>
    <w:p w14:paraId="0000019F"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eastAsia="Calibri" w:hAnsiTheme="minorHAnsi" w:cstheme="minorHAnsi"/>
          <w:color w:val="000000"/>
          <w:sz w:val="18"/>
          <w:szCs w:val="18"/>
        </w:rPr>
        <w:t>World Bank (2022).</w:t>
      </w:r>
      <w:r w:rsidRPr="006E267A">
        <w:rPr>
          <w:rFonts w:asciiTheme="minorHAnsi" w:eastAsia="Calibri" w:hAnsiTheme="minorHAnsi" w:cstheme="minorHAnsi"/>
          <w:i/>
          <w:color w:val="000000"/>
          <w:sz w:val="18"/>
          <w:szCs w:val="18"/>
        </w:rPr>
        <w:t xml:space="preserve"> Literacy Rate, Adult Men – Brazil.</w:t>
      </w:r>
      <w:r w:rsidRPr="006E267A">
        <w:rPr>
          <w:rFonts w:asciiTheme="minorHAnsi" w:eastAsia="Calibri" w:hAnsiTheme="minorHAnsi" w:cstheme="minorHAnsi"/>
          <w:color w:val="000000"/>
          <w:sz w:val="18"/>
          <w:szCs w:val="18"/>
        </w:rPr>
        <w:t xml:space="preserve"> Available online: </w:t>
      </w:r>
      <w:hyperlink r:id="rId6">
        <w:r w:rsidRPr="006E267A">
          <w:rPr>
            <w:rFonts w:asciiTheme="minorHAnsi" w:eastAsia="Calibri" w:hAnsiTheme="minorHAnsi" w:cstheme="minorHAnsi"/>
            <w:color w:val="000000"/>
            <w:sz w:val="18"/>
            <w:szCs w:val="18"/>
            <w:u w:val="single"/>
          </w:rPr>
          <w:t>https://data.worldbank.org/indicator/SE.ADT.LITR.MA.ZS?locations=BR</w:t>
        </w:r>
      </w:hyperlink>
      <w:r w:rsidRPr="006E267A">
        <w:rPr>
          <w:rFonts w:asciiTheme="minorHAnsi" w:eastAsia="Calibri" w:hAnsiTheme="minorHAnsi" w:cstheme="minorHAnsi"/>
          <w:color w:val="000000"/>
          <w:sz w:val="18"/>
          <w:szCs w:val="18"/>
        </w:rPr>
        <w:t xml:space="preserve"> </w:t>
      </w:r>
    </w:p>
  </w:footnote>
  <w:footnote w:id="7">
    <w:p w14:paraId="000001A0"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Oliver Wyman (n.d.). </w:t>
      </w:r>
      <w:r w:rsidRPr="006E267A">
        <w:rPr>
          <w:rFonts w:asciiTheme="minorHAnsi" w:eastAsia="Calibri" w:hAnsiTheme="minorHAnsi" w:cstheme="minorHAnsi"/>
          <w:i/>
          <w:color w:val="000000"/>
          <w:sz w:val="18"/>
          <w:szCs w:val="18"/>
        </w:rPr>
        <w:t>The Gender Gap Lifecycle: Evidence from the Financial Services and Public Sectors in Brazil</w:t>
      </w:r>
      <w:r w:rsidRPr="006E267A">
        <w:rPr>
          <w:rFonts w:asciiTheme="minorHAnsi" w:eastAsia="Calibri" w:hAnsiTheme="minorHAnsi" w:cstheme="minorHAnsi"/>
          <w:color w:val="000000"/>
          <w:sz w:val="18"/>
          <w:szCs w:val="18"/>
        </w:rPr>
        <w:t xml:space="preserve">. Available online: </w:t>
      </w:r>
      <w:hyperlink r:id="rId7">
        <w:r w:rsidRPr="006E267A">
          <w:rPr>
            <w:rFonts w:asciiTheme="minorHAnsi" w:eastAsia="Calibri" w:hAnsiTheme="minorHAnsi" w:cstheme="minorHAnsi"/>
            <w:color w:val="000000"/>
            <w:sz w:val="18"/>
            <w:szCs w:val="18"/>
            <w:u w:val="single"/>
          </w:rPr>
          <w:t>https://www.oliverwyman.com/our-expertise/insights/2018/aug/the-gender-gap-lifecycle.html</w:t>
        </w:r>
      </w:hyperlink>
      <w:r w:rsidRPr="006E267A">
        <w:rPr>
          <w:rFonts w:asciiTheme="minorHAnsi" w:eastAsia="Calibri" w:hAnsiTheme="minorHAnsi" w:cstheme="minorHAnsi"/>
          <w:color w:val="000000"/>
          <w:sz w:val="18"/>
          <w:szCs w:val="18"/>
        </w:rPr>
        <w:t xml:space="preserve"> </w:t>
      </w:r>
    </w:p>
  </w:footnote>
  <w:footnote w:id="8">
    <w:p w14:paraId="000001A1"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World Bank (2022). </w:t>
      </w:r>
      <w:r w:rsidRPr="006E267A">
        <w:rPr>
          <w:rFonts w:asciiTheme="minorHAnsi" w:eastAsia="Calibri" w:hAnsiTheme="minorHAnsi" w:cstheme="minorHAnsi"/>
          <w:i/>
          <w:color w:val="000000"/>
          <w:sz w:val="18"/>
          <w:szCs w:val="18"/>
        </w:rPr>
        <w:t>Unemployment, Female – Brazil.</w:t>
      </w:r>
      <w:r w:rsidRPr="006E267A">
        <w:rPr>
          <w:rFonts w:asciiTheme="minorHAnsi" w:eastAsia="Calibri" w:hAnsiTheme="minorHAnsi" w:cstheme="minorHAnsi"/>
          <w:color w:val="000000"/>
          <w:sz w:val="18"/>
          <w:szCs w:val="18"/>
        </w:rPr>
        <w:t xml:space="preserve"> Available online: </w:t>
      </w:r>
      <w:hyperlink r:id="rId8">
        <w:r w:rsidRPr="006E267A">
          <w:rPr>
            <w:rFonts w:asciiTheme="minorHAnsi" w:eastAsia="Calibri" w:hAnsiTheme="minorHAnsi" w:cstheme="minorHAnsi"/>
            <w:color w:val="000000"/>
            <w:sz w:val="18"/>
            <w:szCs w:val="18"/>
            <w:u w:val="single"/>
          </w:rPr>
          <w:t>https://data.worldbank.org/indicator/SL.UEM.TOTL.FE.ZS?locations=BR</w:t>
        </w:r>
      </w:hyperlink>
      <w:r w:rsidRPr="006E267A">
        <w:rPr>
          <w:rFonts w:asciiTheme="minorHAnsi" w:eastAsia="Calibri" w:hAnsiTheme="minorHAnsi" w:cstheme="minorHAnsi"/>
          <w:color w:val="000000"/>
          <w:sz w:val="18"/>
          <w:szCs w:val="18"/>
        </w:rPr>
        <w:t xml:space="preserve"> ;</w:t>
      </w:r>
    </w:p>
    <w:p w14:paraId="000001A2"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eastAsia="Calibri" w:hAnsiTheme="minorHAnsi" w:cstheme="minorHAnsi"/>
          <w:color w:val="000000"/>
          <w:sz w:val="18"/>
          <w:szCs w:val="18"/>
        </w:rPr>
        <w:t xml:space="preserve">World Bank (2022). </w:t>
      </w:r>
      <w:r w:rsidRPr="006E267A">
        <w:rPr>
          <w:rFonts w:asciiTheme="minorHAnsi" w:eastAsia="Calibri" w:hAnsiTheme="minorHAnsi" w:cstheme="minorHAnsi"/>
          <w:i/>
          <w:color w:val="000000"/>
          <w:sz w:val="18"/>
          <w:szCs w:val="18"/>
        </w:rPr>
        <w:t>Unemployment, Male – Brazil</w:t>
      </w:r>
      <w:r w:rsidRPr="006E267A">
        <w:rPr>
          <w:rFonts w:asciiTheme="minorHAnsi" w:eastAsia="Calibri" w:hAnsiTheme="minorHAnsi" w:cstheme="minorHAnsi"/>
          <w:color w:val="000000"/>
          <w:sz w:val="18"/>
          <w:szCs w:val="18"/>
        </w:rPr>
        <w:t xml:space="preserve">. Available online: </w:t>
      </w:r>
      <w:hyperlink r:id="rId9">
        <w:r w:rsidRPr="006E267A">
          <w:rPr>
            <w:rFonts w:asciiTheme="minorHAnsi" w:eastAsia="Calibri" w:hAnsiTheme="minorHAnsi" w:cstheme="minorHAnsi"/>
            <w:color w:val="000000"/>
            <w:sz w:val="18"/>
            <w:szCs w:val="18"/>
            <w:u w:val="single"/>
          </w:rPr>
          <w:t>https://data.worldbank.org/indicator/SL.UEM.TOTL.MA.ZS?locations=BR</w:t>
        </w:r>
      </w:hyperlink>
      <w:r w:rsidRPr="006E267A">
        <w:rPr>
          <w:rFonts w:asciiTheme="minorHAnsi" w:eastAsia="Calibri" w:hAnsiTheme="minorHAnsi" w:cstheme="minorHAnsi"/>
          <w:color w:val="000000"/>
          <w:sz w:val="18"/>
          <w:szCs w:val="18"/>
        </w:rPr>
        <w:t xml:space="preserve"> </w:t>
      </w:r>
    </w:p>
  </w:footnote>
  <w:footnote w:id="9">
    <w:p w14:paraId="000001A3"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World Bank (2022).</w:t>
      </w:r>
      <w:r w:rsidRPr="006E267A">
        <w:rPr>
          <w:rFonts w:asciiTheme="minorHAnsi" w:eastAsia="Calibri" w:hAnsiTheme="minorHAnsi" w:cstheme="minorHAnsi"/>
          <w:i/>
          <w:color w:val="000000"/>
          <w:sz w:val="18"/>
          <w:szCs w:val="18"/>
        </w:rPr>
        <w:t xml:space="preserve"> Labor Force, Female – Brazil</w:t>
      </w:r>
      <w:r w:rsidRPr="006E267A">
        <w:rPr>
          <w:rFonts w:asciiTheme="minorHAnsi" w:eastAsia="Calibri" w:hAnsiTheme="minorHAnsi" w:cstheme="minorHAnsi"/>
          <w:color w:val="000000"/>
          <w:sz w:val="18"/>
          <w:szCs w:val="18"/>
        </w:rPr>
        <w:t xml:space="preserve">. Available online: </w:t>
      </w:r>
      <w:hyperlink r:id="rId10">
        <w:r w:rsidRPr="006E267A">
          <w:rPr>
            <w:rFonts w:asciiTheme="minorHAnsi" w:eastAsia="Calibri" w:hAnsiTheme="minorHAnsi" w:cstheme="minorHAnsi"/>
            <w:color w:val="000000"/>
            <w:sz w:val="18"/>
            <w:szCs w:val="18"/>
            <w:u w:val="single"/>
          </w:rPr>
          <w:t>https://data.worldbank.org/indicator/SL.TLF.TOTL.FE.ZS?locations=BR</w:t>
        </w:r>
      </w:hyperlink>
      <w:r w:rsidRPr="006E267A">
        <w:rPr>
          <w:rFonts w:asciiTheme="minorHAnsi" w:eastAsia="Calibri" w:hAnsiTheme="minorHAnsi" w:cstheme="minorHAnsi"/>
          <w:color w:val="000000"/>
          <w:sz w:val="18"/>
          <w:szCs w:val="18"/>
        </w:rPr>
        <w:t xml:space="preserve"> </w:t>
      </w:r>
    </w:p>
  </w:footnote>
  <w:footnote w:id="10">
    <w:p w14:paraId="000001A4"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World Bank (2022). </w:t>
      </w:r>
      <w:r w:rsidRPr="006E267A">
        <w:rPr>
          <w:rFonts w:asciiTheme="minorHAnsi" w:eastAsia="Calibri" w:hAnsiTheme="minorHAnsi" w:cstheme="minorHAnsi"/>
          <w:i/>
          <w:color w:val="000000"/>
          <w:sz w:val="18"/>
          <w:szCs w:val="18"/>
        </w:rPr>
        <w:t>Account ownership at a financial institution - Brazil</w:t>
      </w:r>
      <w:r w:rsidRPr="006E267A">
        <w:rPr>
          <w:rFonts w:asciiTheme="minorHAnsi" w:eastAsia="Calibri" w:hAnsiTheme="minorHAnsi" w:cstheme="minorHAnsi"/>
          <w:color w:val="000000"/>
          <w:sz w:val="18"/>
          <w:szCs w:val="18"/>
        </w:rPr>
        <w:t xml:space="preserve">. Available online: </w:t>
      </w:r>
      <w:hyperlink r:id="rId11">
        <w:r w:rsidRPr="006E267A">
          <w:rPr>
            <w:rFonts w:asciiTheme="minorHAnsi" w:eastAsia="Calibri" w:hAnsiTheme="minorHAnsi" w:cstheme="minorHAnsi"/>
            <w:color w:val="000000"/>
            <w:sz w:val="18"/>
            <w:szCs w:val="18"/>
            <w:u w:val="single"/>
          </w:rPr>
          <w:t>https://data.worldbank.org/indicator/FX.OWN.TOTL.MA.ZS?locations=BR</w:t>
        </w:r>
      </w:hyperlink>
      <w:r w:rsidRPr="006E267A">
        <w:rPr>
          <w:rFonts w:asciiTheme="minorHAnsi" w:eastAsia="Calibri" w:hAnsiTheme="minorHAnsi" w:cstheme="minorHAnsi"/>
          <w:color w:val="000000"/>
          <w:sz w:val="18"/>
          <w:szCs w:val="18"/>
        </w:rPr>
        <w:t xml:space="preserve"> </w:t>
      </w:r>
    </w:p>
  </w:footnote>
  <w:footnote w:id="11">
    <w:p w14:paraId="000001A5"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Schmink and Gómez-García (2015). </w:t>
      </w:r>
      <w:r w:rsidRPr="006E267A">
        <w:rPr>
          <w:rFonts w:asciiTheme="minorHAnsi" w:eastAsia="Calibri" w:hAnsiTheme="minorHAnsi" w:cstheme="minorHAnsi"/>
          <w:i/>
          <w:color w:val="000000"/>
          <w:sz w:val="18"/>
          <w:szCs w:val="18"/>
        </w:rPr>
        <w:t>Under the canopy: Gender and forests in Amazonia.</w:t>
      </w:r>
      <w:r w:rsidRPr="006E267A">
        <w:rPr>
          <w:rFonts w:asciiTheme="minorHAnsi" w:eastAsia="Calibri" w:hAnsiTheme="minorHAnsi" w:cstheme="minorHAnsi"/>
          <w:color w:val="000000"/>
          <w:sz w:val="18"/>
          <w:szCs w:val="18"/>
        </w:rPr>
        <w:t xml:space="preserve"> CIFOR. Available online: </w:t>
      </w:r>
      <w:hyperlink r:id="rId12">
        <w:r w:rsidRPr="006E267A">
          <w:rPr>
            <w:rFonts w:asciiTheme="minorHAnsi" w:eastAsia="Calibri" w:hAnsiTheme="minorHAnsi" w:cstheme="minorHAnsi"/>
            <w:color w:val="000000"/>
            <w:sz w:val="18"/>
            <w:szCs w:val="18"/>
            <w:u w:val="single"/>
          </w:rPr>
          <w:t>https://www.cifor.org/publications/pdf_files/OccPapers/OP-121.pdf</w:t>
        </w:r>
      </w:hyperlink>
      <w:r w:rsidRPr="006E267A">
        <w:rPr>
          <w:rFonts w:asciiTheme="minorHAnsi" w:eastAsia="Calibri" w:hAnsiTheme="minorHAnsi" w:cstheme="minorHAnsi"/>
          <w:color w:val="000000"/>
          <w:sz w:val="18"/>
          <w:szCs w:val="18"/>
        </w:rPr>
        <w:t xml:space="preserve"> </w:t>
      </w:r>
    </w:p>
  </w:footnote>
  <w:footnote w:id="12">
    <w:p w14:paraId="000001A6"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WEF (2023). Global Gender Gap Report. Available online: </w:t>
      </w:r>
      <w:hyperlink r:id="rId13" w:anchor="report-nav">
        <w:r w:rsidRPr="006E267A">
          <w:rPr>
            <w:rFonts w:asciiTheme="minorHAnsi" w:eastAsia="Calibri" w:hAnsiTheme="minorHAnsi" w:cstheme="minorHAnsi"/>
            <w:color w:val="1155CC"/>
            <w:sz w:val="18"/>
            <w:szCs w:val="18"/>
            <w:u w:val="single"/>
          </w:rPr>
          <w:t>https://www.weforum.org/publications/global-gender-gap-report-2023/economy-profiles-5932ef6d39#report-nav</w:t>
        </w:r>
      </w:hyperlink>
      <w:r w:rsidRPr="006E267A">
        <w:rPr>
          <w:rFonts w:asciiTheme="minorHAnsi" w:eastAsia="Calibri" w:hAnsiTheme="minorHAnsi" w:cstheme="minorHAnsi"/>
          <w:color w:val="000000"/>
          <w:sz w:val="18"/>
          <w:szCs w:val="18"/>
        </w:rPr>
        <w:t xml:space="preserve"> </w:t>
      </w:r>
    </w:p>
  </w:footnote>
  <w:footnote w:id="13">
    <w:p w14:paraId="000001A7"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Brazil Institute (2021). </w:t>
      </w:r>
      <w:r w:rsidRPr="006E267A">
        <w:rPr>
          <w:rFonts w:asciiTheme="minorHAnsi" w:eastAsia="Calibri" w:hAnsiTheme="minorHAnsi" w:cstheme="minorHAnsi"/>
          <w:i/>
          <w:color w:val="000000"/>
          <w:sz w:val="18"/>
          <w:szCs w:val="18"/>
        </w:rPr>
        <w:t xml:space="preserve">Fighting Gender-Based Violence in Brazil. </w:t>
      </w:r>
      <w:r w:rsidRPr="006E267A">
        <w:rPr>
          <w:rFonts w:asciiTheme="minorHAnsi" w:eastAsia="Calibri" w:hAnsiTheme="minorHAnsi" w:cstheme="minorHAnsi"/>
          <w:color w:val="000000"/>
          <w:sz w:val="18"/>
          <w:szCs w:val="18"/>
        </w:rPr>
        <w:t xml:space="preserve">Wilson Center. Available online: </w:t>
      </w:r>
      <w:hyperlink r:id="rId14">
        <w:r w:rsidRPr="006E267A">
          <w:rPr>
            <w:rFonts w:asciiTheme="minorHAnsi" w:eastAsia="Calibri" w:hAnsiTheme="minorHAnsi" w:cstheme="minorHAnsi"/>
            <w:color w:val="000000"/>
            <w:sz w:val="18"/>
            <w:szCs w:val="18"/>
            <w:u w:val="single"/>
          </w:rPr>
          <w:t>https://www.wilsoncenter.org/article/fighting-gender-based-violence-brazil</w:t>
        </w:r>
      </w:hyperlink>
      <w:r w:rsidRPr="006E267A">
        <w:rPr>
          <w:rFonts w:asciiTheme="minorHAnsi" w:eastAsia="Calibri" w:hAnsiTheme="minorHAnsi" w:cstheme="minorHAnsi"/>
          <w:color w:val="000000"/>
          <w:sz w:val="18"/>
          <w:szCs w:val="18"/>
        </w:rPr>
        <w:t xml:space="preserve"> </w:t>
      </w:r>
    </w:p>
  </w:footnote>
  <w:footnote w:id="14">
    <w:p w14:paraId="000001A8" w14:textId="77777777" w:rsidR="00490D7E" w:rsidRPr="0052709C"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lang w:val="fr-FR"/>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Reale, N. (2023). </w:t>
      </w:r>
      <w:r w:rsidRPr="006E267A">
        <w:rPr>
          <w:rFonts w:asciiTheme="minorHAnsi" w:eastAsia="Calibri" w:hAnsiTheme="minorHAnsi" w:cstheme="minorHAnsi"/>
          <w:i/>
          <w:color w:val="000000"/>
          <w:sz w:val="18"/>
          <w:szCs w:val="18"/>
        </w:rPr>
        <w:t xml:space="preserve">Femicide in Brazil: Inter-American Condemnation. </w:t>
      </w:r>
      <w:r w:rsidRPr="0052709C">
        <w:rPr>
          <w:rFonts w:asciiTheme="minorHAnsi" w:eastAsia="Calibri" w:hAnsiTheme="minorHAnsi" w:cstheme="minorHAnsi"/>
          <w:color w:val="000000"/>
          <w:sz w:val="18"/>
          <w:szCs w:val="18"/>
          <w:lang w:val="fr-FR"/>
        </w:rPr>
        <w:t xml:space="preserve">Available online: </w:t>
      </w:r>
      <w:hyperlink r:id="rId15">
        <w:r w:rsidRPr="0052709C">
          <w:rPr>
            <w:rFonts w:asciiTheme="minorHAnsi" w:eastAsia="Calibri" w:hAnsiTheme="minorHAnsi" w:cstheme="minorHAnsi"/>
            <w:color w:val="1155CC"/>
            <w:sz w:val="18"/>
            <w:szCs w:val="18"/>
            <w:u w:val="single"/>
            <w:lang w:val="fr-FR"/>
          </w:rPr>
          <w:t>https://hir.harvard.edu/femicide-in-brazil-inter-american-condemnation/</w:t>
        </w:r>
      </w:hyperlink>
      <w:r w:rsidRPr="0052709C">
        <w:rPr>
          <w:rFonts w:asciiTheme="minorHAnsi" w:eastAsia="Calibri" w:hAnsiTheme="minorHAnsi" w:cstheme="minorHAnsi"/>
          <w:color w:val="000000"/>
          <w:sz w:val="18"/>
          <w:szCs w:val="18"/>
          <w:lang w:val="fr-FR"/>
        </w:rPr>
        <w:t xml:space="preserve"> </w:t>
      </w:r>
    </w:p>
  </w:footnote>
  <w:footnote w:id="15">
    <w:p w14:paraId="000001A9"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52709C">
        <w:rPr>
          <w:rFonts w:asciiTheme="minorHAnsi" w:eastAsia="Calibri" w:hAnsiTheme="minorHAnsi" w:cstheme="minorHAnsi"/>
          <w:color w:val="000000"/>
          <w:sz w:val="18"/>
          <w:szCs w:val="18"/>
          <w:lang w:val="fr-FR"/>
        </w:rPr>
        <w:t xml:space="preserve"> Mapa, Embrapa &amp; IBGE. </w:t>
      </w:r>
      <w:r w:rsidRPr="006E267A">
        <w:rPr>
          <w:rFonts w:asciiTheme="minorHAnsi" w:eastAsia="Calibri" w:hAnsiTheme="minorHAnsi" w:cstheme="minorHAnsi"/>
          <w:color w:val="000000"/>
          <w:sz w:val="18"/>
          <w:szCs w:val="18"/>
        </w:rPr>
        <w:t xml:space="preserve">(2020). </w:t>
      </w:r>
      <w:r w:rsidRPr="006E267A">
        <w:rPr>
          <w:rFonts w:asciiTheme="minorHAnsi" w:eastAsia="Calibri" w:hAnsiTheme="minorHAnsi" w:cstheme="minorHAnsi"/>
          <w:i/>
          <w:color w:val="000000"/>
          <w:sz w:val="18"/>
          <w:szCs w:val="18"/>
        </w:rPr>
        <w:t>Mapa, Embrapa and IBGE present data on rural women</w:t>
      </w:r>
      <w:r w:rsidRPr="006E267A">
        <w:rPr>
          <w:rFonts w:asciiTheme="minorHAnsi" w:eastAsia="Calibri" w:hAnsiTheme="minorHAnsi" w:cstheme="minorHAnsi"/>
          <w:color w:val="000000"/>
          <w:sz w:val="18"/>
          <w:szCs w:val="18"/>
        </w:rPr>
        <w:t xml:space="preserve">. Available online: </w:t>
      </w:r>
      <w:hyperlink r:id="rId16">
        <w:r w:rsidRPr="006E267A">
          <w:rPr>
            <w:rFonts w:asciiTheme="minorHAnsi" w:eastAsia="Calibri" w:hAnsiTheme="minorHAnsi" w:cstheme="minorHAnsi"/>
            <w:color w:val="1155CC"/>
            <w:sz w:val="18"/>
            <w:szCs w:val="18"/>
            <w:u w:val="single"/>
          </w:rPr>
          <w:t>https://www.embrapa.br/busca-de-noticias/-/noticia/50779965/mapa-embrapa-e-ibge-apresentam-os-dados-sobre-mulheres-rurais</w:t>
        </w:r>
      </w:hyperlink>
      <w:r w:rsidRPr="006E267A">
        <w:rPr>
          <w:rFonts w:asciiTheme="minorHAnsi" w:eastAsia="Calibri" w:hAnsiTheme="minorHAnsi" w:cstheme="minorHAnsi"/>
          <w:color w:val="000000"/>
          <w:sz w:val="18"/>
          <w:szCs w:val="18"/>
        </w:rPr>
        <w:t xml:space="preserve"> </w:t>
      </w:r>
    </w:p>
  </w:footnote>
  <w:footnote w:id="16">
    <w:p w14:paraId="27EC6FBC" w14:textId="31A84D33" w:rsidR="006E267A" w:rsidRPr="006E267A" w:rsidRDefault="006E267A" w:rsidP="006E267A">
      <w:pPr>
        <w:pStyle w:val="Textonotapie"/>
        <w:spacing w:line="240" w:lineRule="auto"/>
        <w:rPr>
          <w:rFonts w:asciiTheme="minorHAnsi" w:hAnsiTheme="minorHAnsi" w:cstheme="minorHAnsi"/>
          <w:sz w:val="18"/>
          <w:szCs w:val="18"/>
          <w:lang w:val="en-GB"/>
        </w:rPr>
      </w:pPr>
      <w:r w:rsidRPr="006E267A">
        <w:rPr>
          <w:rStyle w:val="Refdenotaalpie"/>
          <w:rFonts w:asciiTheme="minorHAnsi" w:hAnsiTheme="minorHAnsi" w:cstheme="minorHAnsi"/>
          <w:sz w:val="18"/>
          <w:szCs w:val="18"/>
        </w:rPr>
        <w:footnoteRef/>
      </w:r>
      <w:r w:rsidRPr="006E267A">
        <w:rPr>
          <w:rFonts w:asciiTheme="minorHAnsi" w:hAnsiTheme="minorHAnsi" w:cstheme="minorHAnsi"/>
          <w:sz w:val="18"/>
          <w:szCs w:val="18"/>
        </w:rPr>
        <w:t xml:space="preserve"> </w:t>
      </w:r>
      <w:r w:rsidRPr="006E267A">
        <w:rPr>
          <w:rFonts w:asciiTheme="minorHAnsi" w:hAnsiTheme="minorHAnsi" w:cstheme="minorHAnsi"/>
          <w:color w:val="000000"/>
          <w:sz w:val="18"/>
          <w:szCs w:val="18"/>
        </w:rPr>
        <w:t xml:space="preserve">Brazilian Public Security Forum (2023). </w:t>
      </w:r>
      <w:r w:rsidRPr="006E267A">
        <w:rPr>
          <w:rFonts w:asciiTheme="minorHAnsi" w:hAnsiTheme="minorHAnsi" w:cstheme="minorHAnsi"/>
          <w:i/>
          <w:iCs/>
          <w:color w:val="000000"/>
          <w:sz w:val="18"/>
          <w:szCs w:val="18"/>
        </w:rPr>
        <w:t xml:space="preserve">Violence against women panel. </w:t>
      </w:r>
      <w:r w:rsidRPr="006E267A">
        <w:rPr>
          <w:rFonts w:asciiTheme="minorHAnsi" w:hAnsiTheme="minorHAnsi" w:cstheme="minorHAnsi"/>
          <w:color w:val="000000"/>
          <w:sz w:val="18"/>
          <w:szCs w:val="18"/>
        </w:rPr>
        <w:t xml:space="preserve">Available online: </w:t>
      </w:r>
      <w:hyperlink r:id="rId17" w:history="1">
        <w:r w:rsidRPr="006E267A">
          <w:rPr>
            <w:rStyle w:val="Hipervnculo"/>
            <w:rFonts w:asciiTheme="minorHAnsi" w:hAnsiTheme="minorHAnsi" w:cstheme="minorHAnsi"/>
            <w:color w:val="1155CC"/>
            <w:sz w:val="18"/>
            <w:szCs w:val="18"/>
          </w:rPr>
          <w:t>https://forumseguranca.org.br/painel-violencia-contra-a-mulher/</w:t>
        </w:r>
      </w:hyperlink>
    </w:p>
  </w:footnote>
  <w:footnote w:id="17">
    <w:p w14:paraId="40A7A5FC" w14:textId="773AC31E" w:rsidR="006E267A" w:rsidRPr="0052709C" w:rsidRDefault="006E267A" w:rsidP="006E267A">
      <w:pPr>
        <w:pStyle w:val="NormalWeb"/>
        <w:spacing w:before="0" w:beforeAutospacing="0" w:after="0" w:afterAutospacing="0"/>
        <w:rPr>
          <w:rFonts w:asciiTheme="minorHAnsi" w:hAnsiTheme="minorHAnsi" w:cstheme="minorHAnsi"/>
          <w:sz w:val="18"/>
          <w:szCs w:val="18"/>
          <w:lang w:val="fr-FR"/>
        </w:rPr>
      </w:pPr>
      <w:r w:rsidRPr="006E267A">
        <w:rPr>
          <w:rStyle w:val="Refdenotaalpie"/>
          <w:rFonts w:asciiTheme="minorHAnsi" w:hAnsiTheme="minorHAnsi" w:cstheme="minorHAnsi"/>
          <w:sz w:val="18"/>
          <w:szCs w:val="18"/>
        </w:rPr>
        <w:footnoteRef/>
      </w:r>
      <w:r w:rsidRPr="00C96161">
        <w:rPr>
          <w:rFonts w:asciiTheme="minorHAnsi" w:hAnsiTheme="minorHAnsi" w:cstheme="minorHAnsi"/>
          <w:sz w:val="18"/>
          <w:szCs w:val="18"/>
          <w:lang w:val="en-US"/>
        </w:rPr>
        <w:t xml:space="preserve"> </w:t>
      </w:r>
      <w:r w:rsidRPr="00C96161">
        <w:rPr>
          <w:rFonts w:asciiTheme="minorHAnsi" w:hAnsiTheme="minorHAnsi" w:cstheme="minorHAnsi"/>
          <w:color w:val="000000"/>
          <w:sz w:val="18"/>
          <w:szCs w:val="18"/>
          <w:lang w:val="en-US"/>
        </w:rPr>
        <w:t xml:space="preserve">CONAQ (2023). </w:t>
      </w:r>
      <w:r w:rsidRPr="00C96161">
        <w:rPr>
          <w:rFonts w:asciiTheme="minorHAnsi" w:hAnsiTheme="minorHAnsi" w:cstheme="minorHAnsi"/>
          <w:i/>
          <w:iCs/>
          <w:color w:val="000000"/>
          <w:sz w:val="18"/>
          <w:szCs w:val="18"/>
          <w:lang w:val="en-US"/>
        </w:rPr>
        <w:t xml:space="preserve">Racism and Violence against Quilombolas in Brazil, 2018-2022. </w:t>
      </w:r>
      <w:r w:rsidRPr="0052709C">
        <w:rPr>
          <w:rFonts w:asciiTheme="minorHAnsi" w:hAnsiTheme="minorHAnsi" w:cstheme="minorHAnsi"/>
          <w:color w:val="000000"/>
          <w:sz w:val="18"/>
          <w:szCs w:val="18"/>
          <w:lang w:val="fr-FR"/>
        </w:rPr>
        <w:t xml:space="preserve">Available online: </w:t>
      </w:r>
      <w:hyperlink r:id="rId18" w:history="1">
        <w:r w:rsidRPr="0052709C">
          <w:rPr>
            <w:rStyle w:val="Hipervnculo"/>
            <w:rFonts w:asciiTheme="minorHAnsi" w:hAnsiTheme="minorHAnsi" w:cstheme="minorHAnsi"/>
            <w:color w:val="1155CC"/>
            <w:sz w:val="18"/>
            <w:szCs w:val="18"/>
            <w:lang w:val="fr-FR"/>
          </w:rPr>
          <w:t>https://terradedireitos.org.br/racismoeviolencia/uploads/Ficha%20web%20Racismo%20e%20Viol%C3%AAncia%20-%20Ingl%C3%AAs.pdf</w:t>
        </w:r>
      </w:hyperlink>
      <w:r w:rsidRPr="0052709C">
        <w:rPr>
          <w:rFonts w:asciiTheme="minorHAnsi" w:hAnsiTheme="minorHAnsi" w:cstheme="minorHAnsi"/>
          <w:color w:val="000000"/>
          <w:sz w:val="18"/>
          <w:szCs w:val="18"/>
          <w:lang w:val="fr-FR"/>
        </w:rPr>
        <w:t> </w:t>
      </w:r>
    </w:p>
  </w:footnote>
  <w:footnote w:id="18">
    <w:p w14:paraId="60909E97" w14:textId="7353302B" w:rsidR="006E267A" w:rsidRPr="006E267A" w:rsidRDefault="006E267A" w:rsidP="006E267A">
      <w:pPr>
        <w:pStyle w:val="Textonotapie"/>
        <w:spacing w:line="240" w:lineRule="auto"/>
        <w:rPr>
          <w:rFonts w:asciiTheme="minorHAnsi" w:hAnsiTheme="minorHAnsi" w:cstheme="minorHAnsi"/>
          <w:sz w:val="18"/>
          <w:szCs w:val="18"/>
          <w:lang w:val="en-GB"/>
        </w:rPr>
      </w:pPr>
      <w:r w:rsidRPr="006E267A">
        <w:rPr>
          <w:rStyle w:val="Refdenotaalpie"/>
          <w:rFonts w:asciiTheme="minorHAnsi" w:hAnsiTheme="minorHAnsi" w:cstheme="minorHAnsi"/>
          <w:sz w:val="18"/>
          <w:szCs w:val="18"/>
        </w:rPr>
        <w:footnoteRef/>
      </w:r>
      <w:r w:rsidRPr="0052709C">
        <w:rPr>
          <w:rFonts w:asciiTheme="minorHAnsi" w:hAnsiTheme="minorHAnsi" w:cstheme="minorHAnsi"/>
          <w:sz w:val="18"/>
          <w:szCs w:val="18"/>
          <w:lang w:val="fr-FR"/>
        </w:rPr>
        <w:t xml:space="preserve"> </w:t>
      </w:r>
      <w:r w:rsidRPr="0052709C">
        <w:rPr>
          <w:rFonts w:asciiTheme="minorHAnsi" w:hAnsiTheme="minorHAnsi" w:cstheme="minorHAnsi"/>
          <w:color w:val="000000"/>
          <w:sz w:val="18"/>
          <w:szCs w:val="18"/>
          <w:lang w:val="fr-FR"/>
        </w:rPr>
        <w:t xml:space="preserve">Cezar (2024). </w:t>
      </w:r>
      <w:r w:rsidRPr="006E267A">
        <w:rPr>
          <w:rFonts w:asciiTheme="minorHAnsi" w:hAnsiTheme="minorHAnsi" w:cstheme="minorHAnsi"/>
          <w:i/>
          <w:iCs/>
          <w:color w:val="000000"/>
          <w:sz w:val="18"/>
          <w:szCs w:val="18"/>
        </w:rPr>
        <w:t xml:space="preserve">Quilombola women fight against gender-based violence in their territories. </w:t>
      </w:r>
      <w:r w:rsidRPr="006E267A">
        <w:rPr>
          <w:rFonts w:asciiTheme="minorHAnsi" w:hAnsiTheme="minorHAnsi" w:cstheme="minorHAnsi"/>
          <w:color w:val="000000"/>
          <w:sz w:val="18"/>
          <w:szCs w:val="18"/>
        </w:rPr>
        <w:t xml:space="preserve">Available online: </w:t>
      </w:r>
      <w:hyperlink r:id="rId19" w:history="1">
        <w:r w:rsidRPr="006E267A">
          <w:rPr>
            <w:rStyle w:val="Hipervnculo"/>
            <w:rFonts w:asciiTheme="minorHAnsi" w:hAnsiTheme="minorHAnsi" w:cstheme="minorHAnsi"/>
            <w:color w:val="1155CC"/>
            <w:sz w:val="18"/>
            <w:szCs w:val="18"/>
          </w:rPr>
          <w:t>https://www.socioambiental.org/en/socio-environmental-news/Quilombola-women-fight-against-gender-violence-in-their-territories</w:t>
        </w:r>
      </w:hyperlink>
    </w:p>
  </w:footnote>
  <w:footnote w:id="19">
    <w:p w14:paraId="62164C47" w14:textId="56FAB957" w:rsidR="006E267A" w:rsidRPr="006E267A" w:rsidRDefault="006E267A" w:rsidP="006E267A">
      <w:pPr>
        <w:pStyle w:val="Textonotapie"/>
        <w:spacing w:line="240" w:lineRule="auto"/>
        <w:rPr>
          <w:rFonts w:asciiTheme="minorHAnsi" w:hAnsiTheme="minorHAnsi" w:cstheme="minorHAnsi"/>
          <w:sz w:val="18"/>
          <w:szCs w:val="18"/>
          <w:lang w:val="en-GB"/>
        </w:rPr>
      </w:pPr>
      <w:r w:rsidRPr="006E267A">
        <w:rPr>
          <w:rStyle w:val="Refdenotaalpie"/>
          <w:rFonts w:asciiTheme="minorHAnsi" w:hAnsiTheme="minorHAnsi" w:cstheme="minorHAnsi"/>
          <w:sz w:val="18"/>
          <w:szCs w:val="18"/>
        </w:rPr>
        <w:footnoteRef/>
      </w:r>
      <w:r w:rsidRPr="006E267A">
        <w:rPr>
          <w:rFonts w:asciiTheme="minorHAnsi" w:hAnsiTheme="minorHAnsi" w:cstheme="minorHAnsi"/>
          <w:sz w:val="18"/>
          <w:szCs w:val="18"/>
        </w:rPr>
        <w:t xml:space="preserve"> </w:t>
      </w:r>
      <w:r w:rsidRPr="006E267A">
        <w:rPr>
          <w:rFonts w:asciiTheme="minorHAnsi" w:hAnsiTheme="minorHAnsi" w:cstheme="minorHAnsi"/>
          <w:sz w:val="18"/>
          <w:szCs w:val="18"/>
          <w:lang w:val="en-GB"/>
        </w:rPr>
        <w:t>Ibid.</w:t>
      </w:r>
    </w:p>
  </w:footnote>
  <w:footnote w:id="20">
    <w:p w14:paraId="3B59548A" w14:textId="3498D06A" w:rsidR="006E267A" w:rsidRPr="006E267A" w:rsidRDefault="006E267A" w:rsidP="006E267A">
      <w:pPr>
        <w:pStyle w:val="Textonotapie"/>
        <w:spacing w:line="240" w:lineRule="auto"/>
        <w:rPr>
          <w:rFonts w:asciiTheme="minorHAnsi" w:hAnsiTheme="minorHAnsi" w:cstheme="minorHAnsi"/>
          <w:sz w:val="18"/>
          <w:szCs w:val="18"/>
          <w:lang w:val="en-GB"/>
        </w:rPr>
      </w:pPr>
      <w:r w:rsidRPr="006E267A">
        <w:rPr>
          <w:rStyle w:val="Refdenotaalpie"/>
          <w:rFonts w:asciiTheme="minorHAnsi" w:hAnsiTheme="minorHAnsi" w:cstheme="minorHAnsi"/>
          <w:sz w:val="18"/>
          <w:szCs w:val="18"/>
        </w:rPr>
        <w:footnoteRef/>
      </w:r>
      <w:r w:rsidRPr="006E267A">
        <w:rPr>
          <w:rFonts w:asciiTheme="minorHAnsi" w:hAnsiTheme="minorHAnsi" w:cstheme="minorHAnsi"/>
          <w:sz w:val="18"/>
          <w:szCs w:val="18"/>
        </w:rPr>
        <w:t xml:space="preserve"> </w:t>
      </w:r>
      <w:r w:rsidRPr="006E267A">
        <w:rPr>
          <w:rFonts w:asciiTheme="minorHAnsi" w:hAnsiTheme="minorHAnsi" w:cstheme="minorHAnsi"/>
          <w:color w:val="000000"/>
          <w:sz w:val="18"/>
          <w:szCs w:val="18"/>
        </w:rPr>
        <w:t xml:space="preserve">IGBE (2024). </w:t>
      </w:r>
      <w:r w:rsidRPr="006E267A">
        <w:rPr>
          <w:rFonts w:asciiTheme="minorHAnsi" w:hAnsiTheme="minorHAnsi" w:cstheme="minorHAnsi"/>
          <w:i/>
          <w:iCs/>
          <w:color w:val="000000"/>
          <w:sz w:val="18"/>
          <w:szCs w:val="18"/>
        </w:rPr>
        <w:t xml:space="preserve">Gender statistics: social indicators of women in Brazil. </w:t>
      </w:r>
      <w:r w:rsidRPr="006E267A">
        <w:rPr>
          <w:rFonts w:asciiTheme="minorHAnsi" w:hAnsiTheme="minorHAnsi" w:cstheme="minorHAnsi"/>
          <w:color w:val="000000"/>
          <w:sz w:val="18"/>
          <w:szCs w:val="18"/>
        </w:rPr>
        <w:t xml:space="preserve">Available online: </w:t>
      </w:r>
      <w:hyperlink r:id="rId20" w:history="1">
        <w:r w:rsidRPr="006E267A">
          <w:rPr>
            <w:rStyle w:val="Hipervnculo"/>
            <w:rFonts w:asciiTheme="minorHAnsi" w:hAnsiTheme="minorHAnsi" w:cstheme="minorHAnsi"/>
            <w:color w:val="1155CC"/>
            <w:sz w:val="18"/>
            <w:szCs w:val="18"/>
          </w:rPr>
          <w:t>https://www.ibge.gov.br/estatisticas/multidominio/genero/20163-estatisticas-de-genero-indicadores-sociais-das-mulheres-no-brasil.html?=&amp;t=publicacoes</w:t>
        </w:r>
      </w:hyperlink>
    </w:p>
  </w:footnote>
  <w:footnote w:id="21">
    <w:p w14:paraId="000001AA"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C96161">
        <w:rPr>
          <w:rFonts w:asciiTheme="minorHAnsi" w:eastAsia="Calibri" w:hAnsiTheme="minorHAnsi" w:cstheme="minorHAnsi"/>
          <w:color w:val="000000"/>
          <w:sz w:val="18"/>
          <w:szCs w:val="18"/>
          <w:lang w:val="pt-BR"/>
        </w:rPr>
        <w:t xml:space="preserve"> IBGE (n.d.). </w:t>
      </w:r>
      <w:r w:rsidRPr="00C96161">
        <w:rPr>
          <w:rFonts w:asciiTheme="minorHAnsi" w:eastAsia="Calibri" w:hAnsiTheme="minorHAnsi" w:cstheme="minorHAnsi"/>
          <w:i/>
          <w:color w:val="000000"/>
          <w:sz w:val="18"/>
          <w:szCs w:val="18"/>
          <w:lang w:val="pt-BR"/>
        </w:rPr>
        <w:t>Estatísticas de Gênero</w:t>
      </w:r>
      <w:r w:rsidRPr="00C96161">
        <w:rPr>
          <w:rFonts w:asciiTheme="minorHAnsi" w:eastAsia="Calibri" w:hAnsiTheme="minorHAnsi" w:cstheme="minorHAnsi"/>
          <w:color w:val="000000"/>
          <w:sz w:val="18"/>
          <w:szCs w:val="18"/>
          <w:lang w:val="pt-BR"/>
        </w:rPr>
        <w:t xml:space="preserve">. </w:t>
      </w:r>
      <w:r w:rsidRPr="006E267A">
        <w:rPr>
          <w:rFonts w:asciiTheme="minorHAnsi" w:eastAsia="Calibri" w:hAnsiTheme="minorHAnsi" w:cstheme="minorHAnsi"/>
          <w:color w:val="000000"/>
          <w:sz w:val="18"/>
          <w:szCs w:val="18"/>
        </w:rPr>
        <w:t xml:space="preserve">Available online: </w:t>
      </w:r>
      <w:hyperlink r:id="rId21">
        <w:r w:rsidRPr="006E267A">
          <w:rPr>
            <w:rFonts w:asciiTheme="minorHAnsi" w:eastAsia="Calibri" w:hAnsiTheme="minorHAnsi" w:cstheme="minorHAnsi"/>
            <w:color w:val="1155CC"/>
            <w:sz w:val="18"/>
            <w:szCs w:val="18"/>
            <w:u w:val="single"/>
          </w:rPr>
          <w:t>https://www.ibge.gov.br/apps/snig/v1/?loc=0</w:t>
        </w:r>
      </w:hyperlink>
      <w:r w:rsidRPr="006E267A">
        <w:rPr>
          <w:rFonts w:asciiTheme="minorHAnsi" w:eastAsia="Calibri" w:hAnsiTheme="minorHAnsi" w:cstheme="minorHAnsi"/>
          <w:color w:val="000000"/>
          <w:sz w:val="18"/>
          <w:szCs w:val="18"/>
        </w:rPr>
        <w:t xml:space="preserve"> </w:t>
      </w:r>
    </w:p>
  </w:footnote>
  <w:footnote w:id="22">
    <w:p w14:paraId="000001AB"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Solidaridad (n.d.) </w:t>
      </w:r>
      <w:r w:rsidRPr="006E267A">
        <w:rPr>
          <w:rFonts w:asciiTheme="minorHAnsi" w:eastAsia="Calibri" w:hAnsiTheme="minorHAnsi" w:cstheme="minorHAnsi"/>
          <w:i/>
          <w:color w:val="000000"/>
          <w:sz w:val="18"/>
          <w:szCs w:val="18"/>
        </w:rPr>
        <w:t>The path to gender inclusivity in the Amazon’s and the Cerrado’s production chains</w:t>
      </w:r>
      <w:r w:rsidRPr="006E267A">
        <w:rPr>
          <w:rFonts w:asciiTheme="minorHAnsi" w:eastAsia="Calibri" w:hAnsiTheme="minorHAnsi" w:cstheme="minorHAnsi"/>
          <w:color w:val="000000"/>
          <w:sz w:val="18"/>
          <w:szCs w:val="18"/>
        </w:rPr>
        <w:t xml:space="preserve">. Available online: </w:t>
      </w:r>
      <w:hyperlink r:id="rId22">
        <w:r w:rsidRPr="006E267A">
          <w:rPr>
            <w:rFonts w:asciiTheme="minorHAnsi" w:eastAsia="Calibri" w:hAnsiTheme="minorHAnsi" w:cstheme="minorHAnsi"/>
            <w:color w:val="1155CC"/>
            <w:sz w:val="18"/>
            <w:szCs w:val="18"/>
            <w:u w:val="single"/>
          </w:rPr>
          <w:t>https://solidaridadlatam.org/brasil/wp-content/uploads/2023/07/the_path_to_gender_inclusivity_in_the_amazons_and_the_cerrados_production_chains.pdf</w:t>
        </w:r>
      </w:hyperlink>
      <w:r w:rsidRPr="006E267A">
        <w:rPr>
          <w:rFonts w:asciiTheme="minorHAnsi" w:eastAsia="Calibri" w:hAnsiTheme="minorHAnsi" w:cstheme="minorHAnsi"/>
          <w:color w:val="000000"/>
          <w:sz w:val="18"/>
          <w:szCs w:val="18"/>
        </w:rPr>
        <w:t xml:space="preserve"> </w:t>
      </w:r>
    </w:p>
  </w:footnote>
  <w:footnote w:id="23">
    <w:p w14:paraId="000001AC"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Ibid.</w:t>
      </w:r>
    </w:p>
  </w:footnote>
  <w:footnote w:id="24">
    <w:p w14:paraId="000001AD"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World Bank (2022). </w:t>
      </w:r>
      <w:r w:rsidRPr="006E267A">
        <w:rPr>
          <w:rFonts w:asciiTheme="minorHAnsi" w:eastAsia="Calibri" w:hAnsiTheme="minorHAnsi" w:cstheme="minorHAnsi"/>
          <w:i/>
          <w:color w:val="000000"/>
          <w:sz w:val="18"/>
          <w:szCs w:val="18"/>
        </w:rPr>
        <w:t xml:space="preserve">Poverty headcount ratio at $2.15 a day (2017 PPP) (% of population) – Brazil. </w:t>
      </w:r>
      <w:r w:rsidRPr="006E267A">
        <w:rPr>
          <w:rFonts w:asciiTheme="minorHAnsi" w:eastAsia="Calibri" w:hAnsiTheme="minorHAnsi" w:cstheme="minorHAnsi"/>
          <w:color w:val="000000"/>
          <w:sz w:val="18"/>
          <w:szCs w:val="18"/>
        </w:rPr>
        <w:t xml:space="preserve">Available online: </w:t>
      </w:r>
      <w:hyperlink r:id="rId23">
        <w:r w:rsidRPr="006E267A">
          <w:rPr>
            <w:rFonts w:asciiTheme="minorHAnsi" w:eastAsia="Calibri" w:hAnsiTheme="minorHAnsi" w:cstheme="minorHAnsi"/>
            <w:color w:val="000000"/>
            <w:sz w:val="18"/>
            <w:szCs w:val="18"/>
            <w:u w:val="single"/>
          </w:rPr>
          <w:t>https://data.worldbank.org/indicator/SI.POV.DDAY?locations=BR</w:t>
        </w:r>
      </w:hyperlink>
      <w:r w:rsidRPr="006E267A">
        <w:rPr>
          <w:rFonts w:asciiTheme="minorHAnsi" w:eastAsia="Calibri" w:hAnsiTheme="minorHAnsi" w:cstheme="minorHAnsi"/>
          <w:color w:val="000000"/>
          <w:sz w:val="18"/>
          <w:szCs w:val="18"/>
        </w:rPr>
        <w:t xml:space="preserve"> </w:t>
      </w:r>
    </w:p>
  </w:footnote>
  <w:footnote w:id="25">
    <w:p w14:paraId="000001AE" w14:textId="77777777" w:rsidR="00490D7E" w:rsidRPr="00C96161"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lang w:val="pt-BR"/>
        </w:rPr>
      </w:pPr>
      <w:r w:rsidRPr="006E267A">
        <w:rPr>
          <w:rFonts w:asciiTheme="minorHAnsi" w:hAnsiTheme="minorHAnsi" w:cstheme="minorHAnsi"/>
          <w:sz w:val="18"/>
          <w:szCs w:val="18"/>
          <w:vertAlign w:val="superscript"/>
        </w:rPr>
        <w:footnoteRef/>
      </w:r>
      <w:r w:rsidRPr="00E25E81">
        <w:rPr>
          <w:rFonts w:asciiTheme="minorHAnsi" w:eastAsia="Calibri" w:hAnsiTheme="minorHAnsi" w:cstheme="minorHAnsi"/>
          <w:color w:val="000000"/>
          <w:sz w:val="18"/>
          <w:szCs w:val="18"/>
          <w:lang w:val="pt-BR"/>
        </w:rPr>
        <w:t xml:space="preserve"> de Barros, Fox, and Pinto de Mendonça (2015). </w:t>
      </w:r>
      <w:r w:rsidRPr="006E267A">
        <w:rPr>
          <w:rFonts w:asciiTheme="minorHAnsi" w:eastAsia="Calibri" w:hAnsiTheme="minorHAnsi" w:cstheme="minorHAnsi"/>
          <w:color w:val="000000"/>
          <w:sz w:val="18"/>
          <w:szCs w:val="18"/>
        </w:rPr>
        <w:t xml:space="preserve">Poverty among female-headed households in Brazil, Discussion Paper, No. 46, Institute for Applied Economic Research (Ipea), Brasília. </w:t>
      </w:r>
      <w:r w:rsidRPr="00C96161">
        <w:rPr>
          <w:rFonts w:asciiTheme="minorHAnsi" w:eastAsia="Calibri" w:hAnsiTheme="minorHAnsi" w:cstheme="minorHAnsi"/>
          <w:color w:val="000000"/>
          <w:sz w:val="18"/>
          <w:szCs w:val="18"/>
          <w:lang w:val="pt-BR"/>
        </w:rPr>
        <w:t xml:space="preserve">Available online: </w:t>
      </w:r>
      <w:hyperlink r:id="rId24">
        <w:r w:rsidRPr="00C96161">
          <w:rPr>
            <w:rFonts w:asciiTheme="minorHAnsi" w:eastAsia="Calibri" w:hAnsiTheme="minorHAnsi" w:cstheme="minorHAnsi"/>
            <w:color w:val="000000"/>
            <w:sz w:val="18"/>
            <w:szCs w:val="18"/>
            <w:lang w:val="pt-BR"/>
          </w:rPr>
          <w:t>https://www.econstor.eu/bitstream/10419/220135/1/dp_046.pdf</w:t>
        </w:r>
      </w:hyperlink>
      <w:r w:rsidRPr="00C96161">
        <w:rPr>
          <w:rFonts w:asciiTheme="minorHAnsi" w:eastAsia="Calibri" w:hAnsiTheme="minorHAnsi" w:cstheme="minorHAnsi"/>
          <w:color w:val="000000"/>
          <w:sz w:val="18"/>
          <w:szCs w:val="18"/>
          <w:lang w:val="pt-BR"/>
        </w:rPr>
        <w:t xml:space="preserve"> ;</w:t>
      </w:r>
    </w:p>
    <w:p w14:paraId="000001AF" w14:textId="77777777" w:rsidR="00490D7E" w:rsidRPr="0052709C"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lang w:val="fr-FR"/>
        </w:rPr>
      </w:pPr>
      <w:r w:rsidRPr="00C96161">
        <w:rPr>
          <w:rFonts w:asciiTheme="minorHAnsi" w:eastAsia="Calibri" w:hAnsiTheme="minorHAnsi" w:cstheme="minorHAnsi"/>
          <w:color w:val="000000"/>
          <w:sz w:val="18"/>
          <w:szCs w:val="18"/>
          <w:lang w:val="pt-BR"/>
        </w:rPr>
        <w:t xml:space="preserve">Silveira Braga and Vieira Costa (2022). </w:t>
      </w:r>
      <w:r w:rsidRPr="006E267A">
        <w:rPr>
          <w:rFonts w:asciiTheme="minorHAnsi" w:eastAsia="Calibri" w:hAnsiTheme="minorHAnsi" w:cstheme="minorHAnsi"/>
          <w:color w:val="000000"/>
          <w:sz w:val="18"/>
          <w:szCs w:val="18"/>
        </w:rPr>
        <w:t xml:space="preserve">Time use and food insecurity in female-headed households in Brazil. </w:t>
      </w:r>
      <w:r w:rsidRPr="0052709C">
        <w:rPr>
          <w:rFonts w:asciiTheme="minorHAnsi" w:eastAsia="Calibri" w:hAnsiTheme="minorHAnsi" w:cstheme="minorHAnsi"/>
          <w:color w:val="000000"/>
          <w:sz w:val="18"/>
          <w:szCs w:val="18"/>
          <w:lang w:val="fr-FR"/>
        </w:rPr>
        <w:t>Available online: https://www.scielo.br/j/rbepop/a/PBqD6RXp6HFzs5nGkRvQ7Rq/</w:t>
      </w:r>
    </w:p>
  </w:footnote>
  <w:footnote w:id="26">
    <w:p w14:paraId="000001B0" w14:textId="77777777" w:rsidR="00490D7E" w:rsidRPr="0052709C" w:rsidRDefault="00707826" w:rsidP="006E267A">
      <w:pPr>
        <w:pBdr>
          <w:top w:val="nil"/>
          <w:left w:val="nil"/>
          <w:bottom w:val="nil"/>
          <w:right w:val="nil"/>
          <w:between w:val="nil"/>
        </w:pBdr>
        <w:spacing w:line="240" w:lineRule="auto"/>
        <w:rPr>
          <w:rFonts w:asciiTheme="minorHAnsi" w:hAnsiTheme="minorHAnsi" w:cstheme="minorHAnsi"/>
          <w:color w:val="000000"/>
          <w:sz w:val="18"/>
          <w:szCs w:val="18"/>
          <w:lang w:val="fr-FR"/>
        </w:rPr>
      </w:pPr>
      <w:r w:rsidRPr="006E267A">
        <w:rPr>
          <w:rFonts w:asciiTheme="minorHAnsi" w:hAnsiTheme="minorHAnsi" w:cstheme="minorHAnsi"/>
          <w:sz w:val="18"/>
          <w:szCs w:val="18"/>
          <w:vertAlign w:val="superscript"/>
        </w:rPr>
        <w:footnoteRef/>
      </w:r>
      <w:r w:rsidRPr="0052709C">
        <w:rPr>
          <w:rFonts w:asciiTheme="minorHAnsi" w:hAnsiTheme="minorHAnsi" w:cstheme="minorHAnsi"/>
          <w:color w:val="000000"/>
          <w:sz w:val="18"/>
          <w:szCs w:val="18"/>
          <w:lang w:val="fr-FR"/>
        </w:rPr>
        <w:t xml:space="preserve"> </w:t>
      </w:r>
      <w:r w:rsidRPr="0052709C">
        <w:rPr>
          <w:rFonts w:asciiTheme="minorHAnsi" w:eastAsia="Calibri" w:hAnsiTheme="minorHAnsi" w:cstheme="minorHAnsi"/>
          <w:color w:val="000000"/>
          <w:sz w:val="18"/>
          <w:szCs w:val="18"/>
          <w:lang w:val="fr-FR"/>
        </w:rPr>
        <w:t>Panorama &amp; IGBE (2022). Census 2022. Available online:</w:t>
      </w:r>
      <w:hyperlink r:id="rId25">
        <w:r w:rsidRPr="0052709C">
          <w:rPr>
            <w:rFonts w:asciiTheme="minorHAnsi" w:eastAsia="Calibri" w:hAnsiTheme="minorHAnsi" w:cstheme="minorHAnsi"/>
            <w:color w:val="000000"/>
            <w:sz w:val="18"/>
            <w:szCs w:val="18"/>
            <w:lang w:val="fr-FR"/>
          </w:rPr>
          <w:t xml:space="preserve"> </w:t>
        </w:r>
      </w:hyperlink>
      <w:hyperlink r:id="rId26">
        <w:r w:rsidRPr="0052709C">
          <w:rPr>
            <w:rFonts w:asciiTheme="minorHAnsi" w:eastAsia="Calibri" w:hAnsiTheme="minorHAnsi" w:cstheme="minorHAnsi"/>
            <w:color w:val="1155CC"/>
            <w:sz w:val="18"/>
            <w:szCs w:val="18"/>
            <w:u w:val="single"/>
            <w:lang w:val="fr-FR"/>
          </w:rPr>
          <w:t>https://censo2022.ibge.gov.br/panorama/?utm_source=ibge&amp;utm_medium=home&amp;utm_campaign=portal</w:t>
        </w:r>
      </w:hyperlink>
    </w:p>
  </w:footnote>
  <w:footnote w:id="27">
    <w:p w14:paraId="000001B1" w14:textId="77777777" w:rsidR="00490D7E" w:rsidRPr="0052709C"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lang w:val="fr-FR"/>
        </w:rPr>
      </w:pPr>
      <w:r w:rsidRPr="006E267A">
        <w:rPr>
          <w:rFonts w:asciiTheme="minorHAnsi" w:hAnsiTheme="minorHAnsi" w:cstheme="minorHAnsi"/>
          <w:sz w:val="18"/>
          <w:szCs w:val="18"/>
          <w:vertAlign w:val="superscript"/>
        </w:rPr>
        <w:footnoteRef/>
      </w:r>
      <w:r w:rsidRPr="00E25E81">
        <w:rPr>
          <w:rFonts w:asciiTheme="minorHAnsi" w:eastAsia="Calibri" w:hAnsiTheme="minorHAnsi" w:cstheme="minorHAnsi"/>
          <w:color w:val="000000"/>
          <w:sz w:val="18"/>
          <w:szCs w:val="18"/>
          <w:lang w:val="fr-FR"/>
        </w:rPr>
        <w:t xml:space="preserve"> CAF (2019). </w:t>
      </w:r>
      <w:r w:rsidRPr="006E267A">
        <w:rPr>
          <w:rFonts w:asciiTheme="minorHAnsi" w:eastAsia="Calibri" w:hAnsiTheme="minorHAnsi" w:cstheme="minorHAnsi"/>
          <w:color w:val="000000"/>
          <w:sz w:val="18"/>
          <w:szCs w:val="18"/>
        </w:rPr>
        <w:t xml:space="preserve">Funds to expand credit access for Brazilian women-owned SMEs. </w:t>
      </w:r>
      <w:r w:rsidRPr="0052709C">
        <w:rPr>
          <w:rFonts w:asciiTheme="minorHAnsi" w:eastAsia="Calibri" w:hAnsiTheme="minorHAnsi" w:cstheme="minorHAnsi"/>
          <w:color w:val="000000"/>
          <w:sz w:val="18"/>
          <w:szCs w:val="18"/>
          <w:lang w:val="fr-FR"/>
        </w:rPr>
        <w:t xml:space="preserve">Available online: </w:t>
      </w:r>
      <w:hyperlink r:id="rId27">
        <w:r w:rsidRPr="0052709C">
          <w:rPr>
            <w:rFonts w:asciiTheme="minorHAnsi" w:eastAsia="Calibri" w:hAnsiTheme="minorHAnsi" w:cstheme="minorHAnsi"/>
            <w:color w:val="000000"/>
            <w:sz w:val="18"/>
            <w:szCs w:val="18"/>
            <w:u w:val="single"/>
            <w:lang w:val="fr-FR"/>
          </w:rPr>
          <w:t>https://www.caf.com/en/currently/news/2019/03/funds-to-expand-credit-access-for-brazilian-women-owned-smes/</w:t>
        </w:r>
      </w:hyperlink>
      <w:r w:rsidRPr="0052709C">
        <w:rPr>
          <w:rFonts w:asciiTheme="minorHAnsi" w:eastAsia="Calibri" w:hAnsiTheme="minorHAnsi" w:cstheme="minorHAnsi"/>
          <w:color w:val="000000"/>
          <w:sz w:val="18"/>
          <w:szCs w:val="18"/>
          <w:lang w:val="fr-FR"/>
        </w:rPr>
        <w:t xml:space="preserve"> </w:t>
      </w:r>
    </w:p>
  </w:footnote>
  <w:footnote w:id="28">
    <w:p w14:paraId="000001B2" w14:textId="77777777" w:rsidR="00490D7E" w:rsidRPr="00E25E81"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52709C">
        <w:rPr>
          <w:rFonts w:asciiTheme="minorHAnsi" w:eastAsia="Calibri" w:hAnsiTheme="minorHAnsi" w:cstheme="minorHAnsi"/>
          <w:color w:val="000000"/>
          <w:sz w:val="18"/>
          <w:szCs w:val="18"/>
          <w:lang w:val="fr-FR"/>
        </w:rPr>
        <w:t xml:space="preserve"> Galindo (2011). </w:t>
      </w:r>
      <w:r w:rsidRPr="006E267A">
        <w:rPr>
          <w:rFonts w:asciiTheme="minorHAnsi" w:eastAsia="Calibri" w:hAnsiTheme="minorHAnsi" w:cstheme="minorHAnsi"/>
          <w:color w:val="000000"/>
          <w:sz w:val="18"/>
          <w:szCs w:val="18"/>
        </w:rPr>
        <w:t xml:space="preserve">Exploring the role of women in Brazil nut management in the Amazon. </w:t>
      </w:r>
      <w:r w:rsidRPr="00E25E81">
        <w:rPr>
          <w:rFonts w:asciiTheme="minorHAnsi" w:eastAsia="Calibri" w:hAnsiTheme="minorHAnsi" w:cstheme="minorHAnsi"/>
          <w:color w:val="000000"/>
          <w:sz w:val="18"/>
          <w:szCs w:val="18"/>
        </w:rPr>
        <w:t xml:space="preserve">CIFOR. Available online: </w:t>
      </w:r>
      <w:hyperlink r:id="rId28">
        <w:r w:rsidRPr="00E25E81">
          <w:rPr>
            <w:rFonts w:asciiTheme="minorHAnsi" w:eastAsia="Calibri" w:hAnsiTheme="minorHAnsi" w:cstheme="minorHAnsi"/>
            <w:color w:val="000000"/>
            <w:sz w:val="18"/>
            <w:szCs w:val="18"/>
            <w:u w:val="single"/>
          </w:rPr>
          <w:t>https://forestsnews.cifor.org/1878/the-role-of-women-in-brazil-nut-management-in-the-amazon?fnl=en</w:t>
        </w:r>
      </w:hyperlink>
      <w:r w:rsidRPr="00E25E81">
        <w:rPr>
          <w:rFonts w:asciiTheme="minorHAnsi" w:eastAsia="Calibri" w:hAnsiTheme="minorHAnsi" w:cstheme="minorHAnsi"/>
          <w:color w:val="000000"/>
          <w:sz w:val="18"/>
          <w:szCs w:val="18"/>
        </w:rPr>
        <w:t xml:space="preserve"> </w:t>
      </w:r>
    </w:p>
  </w:footnote>
  <w:footnote w:id="29">
    <w:p w14:paraId="000001B3" w14:textId="77777777" w:rsidR="00490D7E" w:rsidRPr="00C96161"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lang w:val="pt-BR"/>
        </w:rPr>
      </w:pPr>
      <w:r w:rsidRPr="006E267A">
        <w:rPr>
          <w:rFonts w:asciiTheme="minorHAnsi" w:hAnsiTheme="minorHAnsi" w:cstheme="minorHAnsi"/>
          <w:sz w:val="18"/>
          <w:szCs w:val="18"/>
          <w:vertAlign w:val="superscript"/>
        </w:rPr>
        <w:footnoteRef/>
      </w:r>
      <w:r w:rsidRPr="00C96161">
        <w:rPr>
          <w:rFonts w:asciiTheme="minorHAnsi" w:eastAsia="Calibri" w:hAnsiTheme="minorHAnsi" w:cstheme="minorHAnsi"/>
          <w:color w:val="000000"/>
          <w:sz w:val="18"/>
          <w:szCs w:val="18"/>
          <w:lang w:val="pt-BR"/>
        </w:rPr>
        <w:t xml:space="preserve"> Escravo nem pensar. Available online: </w:t>
      </w:r>
      <w:hyperlink r:id="rId29">
        <w:r w:rsidRPr="00C96161">
          <w:rPr>
            <w:rFonts w:asciiTheme="minorHAnsi" w:eastAsia="Calibri" w:hAnsiTheme="minorHAnsi" w:cstheme="minorHAnsi"/>
            <w:color w:val="000000"/>
            <w:sz w:val="18"/>
            <w:szCs w:val="18"/>
            <w:lang w:val="pt-BR"/>
          </w:rPr>
          <w:t>https://escravonempensar.org.br/wp-content/uploads/2022/09/fasciculo_amazonia_2022_WEB.pdf</w:t>
        </w:r>
      </w:hyperlink>
      <w:r w:rsidRPr="00C96161">
        <w:rPr>
          <w:rFonts w:asciiTheme="minorHAnsi" w:eastAsia="Calibri" w:hAnsiTheme="minorHAnsi" w:cstheme="minorHAnsi"/>
          <w:color w:val="000000"/>
          <w:sz w:val="18"/>
          <w:szCs w:val="18"/>
          <w:lang w:val="pt-BR"/>
        </w:rPr>
        <w:t xml:space="preserve"> </w:t>
      </w:r>
    </w:p>
  </w:footnote>
  <w:footnote w:id="30">
    <w:p w14:paraId="000001B4" w14:textId="77777777" w:rsidR="00490D7E" w:rsidRPr="00E25E81"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C96161">
        <w:rPr>
          <w:rFonts w:asciiTheme="minorHAnsi" w:eastAsia="Calibri" w:hAnsiTheme="minorHAnsi" w:cstheme="minorHAnsi"/>
          <w:color w:val="000000"/>
          <w:sz w:val="18"/>
          <w:szCs w:val="18"/>
          <w:lang w:val="pt-BR"/>
        </w:rPr>
        <w:t xml:space="preserve"> Peabirú (2016). “O peconheiro” Diagnóstico das condições de trabalho do extrativista de açaí. </w:t>
      </w:r>
      <w:r w:rsidRPr="00E25E81">
        <w:rPr>
          <w:rFonts w:asciiTheme="minorHAnsi" w:eastAsia="Calibri" w:hAnsiTheme="minorHAnsi" w:cstheme="minorHAnsi"/>
          <w:color w:val="000000"/>
          <w:sz w:val="18"/>
          <w:szCs w:val="18"/>
        </w:rPr>
        <w:t>Avaliable online:</w:t>
      </w:r>
      <w:hyperlink r:id="rId30">
        <w:r w:rsidRPr="00E25E81">
          <w:rPr>
            <w:rFonts w:asciiTheme="minorHAnsi" w:eastAsia="Calibri" w:hAnsiTheme="minorHAnsi" w:cstheme="minorHAnsi"/>
            <w:color w:val="000000"/>
            <w:sz w:val="18"/>
            <w:szCs w:val="18"/>
          </w:rPr>
          <w:t xml:space="preserve"> </w:t>
        </w:r>
      </w:hyperlink>
      <w:hyperlink r:id="rId31">
        <w:r w:rsidRPr="00E25E81">
          <w:rPr>
            <w:rFonts w:asciiTheme="minorHAnsi" w:eastAsia="Calibri" w:hAnsiTheme="minorHAnsi" w:cstheme="minorHAnsi"/>
            <w:color w:val="1155CC"/>
            <w:sz w:val="18"/>
            <w:szCs w:val="18"/>
            <w:u w:val="single"/>
          </w:rPr>
          <w:t>https://peabiru.org.br/wp-content/uploads/2016/11/o-peconheiro-diagnostico-acai-peabiru-fundacentro.pdf</w:t>
        </w:r>
      </w:hyperlink>
    </w:p>
  </w:footnote>
  <w:footnote w:id="31">
    <w:p w14:paraId="000001B5" w14:textId="77777777" w:rsidR="00490D7E" w:rsidRPr="0052709C" w:rsidRDefault="00707826" w:rsidP="006E267A">
      <w:pPr>
        <w:pBdr>
          <w:top w:val="nil"/>
          <w:left w:val="nil"/>
          <w:bottom w:val="nil"/>
          <w:right w:val="nil"/>
          <w:between w:val="nil"/>
        </w:pBdr>
        <w:spacing w:line="240" w:lineRule="auto"/>
        <w:rPr>
          <w:rFonts w:asciiTheme="minorHAnsi" w:hAnsiTheme="minorHAnsi" w:cstheme="minorHAnsi"/>
          <w:color w:val="000000"/>
          <w:sz w:val="18"/>
          <w:szCs w:val="18"/>
          <w:lang w:val="fr-FR"/>
        </w:rPr>
      </w:pPr>
      <w:r w:rsidRPr="006E267A">
        <w:rPr>
          <w:rFonts w:asciiTheme="minorHAnsi" w:hAnsiTheme="minorHAnsi" w:cstheme="minorHAnsi"/>
          <w:sz w:val="18"/>
          <w:szCs w:val="18"/>
          <w:vertAlign w:val="superscript"/>
        </w:rPr>
        <w:footnoteRef/>
      </w:r>
      <w:r w:rsidRPr="00C96161">
        <w:rPr>
          <w:rFonts w:asciiTheme="minorHAnsi" w:hAnsiTheme="minorHAnsi" w:cstheme="minorHAnsi"/>
          <w:color w:val="000000"/>
          <w:sz w:val="18"/>
          <w:szCs w:val="18"/>
          <w:lang w:val="pt-BR"/>
        </w:rPr>
        <w:t xml:space="preserve"> </w:t>
      </w:r>
      <w:r w:rsidRPr="00C96161">
        <w:rPr>
          <w:rFonts w:asciiTheme="minorHAnsi" w:eastAsia="Calibri" w:hAnsiTheme="minorHAnsi" w:cstheme="minorHAnsi"/>
          <w:color w:val="000000"/>
          <w:sz w:val="18"/>
          <w:szCs w:val="18"/>
          <w:lang w:val="pt-BR"/>
        </w:rPr>
        <w:t xml:space="preserve">Ministério do Meio Ambiente &amp; IBGE (2022). </w:t>
      </w:r>
      <w:r w:rsidRPr="006E267A">
        <w:rPr>
          <w:rFonts w:asciiTheme="minorHAnsi" w:eastAsia="Calibri" w:hAnsiTheme="minorHAnsi" w:cstheme="minorHAnsi"/>
          <w:i/>
          <w:color w:val="000000"/>
          <w:sz w:val="18"/>
          <w:szCs w:val="18"/>
        </w:rPr>
        <w:t>Approximate population within biomes in Brazil</w:t>
      </w:r>
      <w:r w:rsidRPr="006E267A">
        <w:rPr>
          <w:rFonts w:asciiTheme="minorHAnsi" w:eastAsia="Calibri" w:hAnsiTheme="minorHAnsi" w:cstheme="minorHAnsi"/>
          <w:color w:val="000000"/>
          <w:sz w:val="18"/>
          <w:szCs w:val="18"/>
        </w:rPr>
        <w:t xml:space="preserve">. </w:t>
      </w:r>
      <w:r w:rsidRPr="0052709C">
        <w:rPr>
          <w:rFonts w:asciiTheme="minorHAnsi" w:eastAsia="Calibri" w:hAnsiTheme="minorHAnsi" w:cstheme="minorHAnsi"/>
          <w:color w:val="000000"/>
          <w:sz w:val="18"/>
          <w:szCs w:val="18"/>
          <w:lang w:val="fr-FR"/>
        </w:rPr>
        <w:t>Available online:</w:t>
      </w:r>
      <w:hyperlink r:id="rId32">
        <w:r w:rsidRPr="0052709C">
          <w:rPr>
            <w:rFonts w:asciiTheme="minorHAnsi" w:eastAsia="Calibri" w:hAnsiTheme="minorHAnsi" w:cstheme="minorHAnsi"/>
            <w:color w:val="000000"/>
            <w:sz w:val="18"/>
            <w:szCs w:val="18"/>
            <w:lang w:val="fr-FR"/>
          </w:rPr>
          <w:t xml:space="preserve"> </w:t>
        </w:r>
      </w:hyperlink>
      <w:hyperlink r:id="rId33">
        <w:r w:rsidRPr="0052709C">
          <w:rPr>
            <w:rFonts w:asciiTheme="minorHAnsi" w:eastAsia="Calibri" w:hAnsiTheme="minorHAnsi" w:cstheme="minorHAnsi"/>
            <w:color w:val="1155CC"/>
            <w:sz w:val="18"/>
            <w:szCs w:val="18"/>
            <w:u w:val="single"/>
            <w:lang w:val="fr-FR"/>
          </w:rPr>
          <w:t>https://mapsontheweb.zoom-maps.com/post/675468447498551296/approximate-population-within-natural-biomes-in</w:t>
        </w:r>
      </w:hyperlink>
    </w:p>
  </w:footnote>
  <w:footnote w:id="32">
    <w:p w14:paraId="000001B6" w14:textId="77777777" w:rsidR="00490D7E" w:rsidRPr="0052709C"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lang w:val="fr-FR"/>
        </w:rPr>
      </w:pPr>
      <w:r w:rsidRPr="006E267A">
        <w:rPr>
          <w:rFonts w:asciiTheme="minorHAnsi" w:hAnsiTheme="minorHAnsi" w:cstheme="minorHAnsi"/>
          <w:sz w:val="18"/>
          <w:szCs w:val="18"/>
          <w:vertAlign w:val="superscript"/>
        </w:rPr>
        <w:footnoteRef/>
      </w:r>
      <w:r w:rsidRPr="0052709C">
        <w:rPr>
          <w:rFonts w:asciiTheme="minorHAnsi" w:hAnsiTheme="minorHAnsi" w:cstheme="minorHAnsi"/>
          <w:color w:val="000000"/>
          <w:sz w:val="18"/>
          <w:szCs w:val="18"/>
          <w:lang w:val="fr-FR"/>
        </w:rPr>
        <w:t xml:space="preserve"> </w:t>
      </w:r>
      <w:r w:rsidRPr="0052709C">
        <w:rPr>
          <w:rFonts w:asciiTheme="minorHAnsi" w:eastAsia="Calibri" w:hAnsiTheme="minorHAnsi" w:cstheme="minorHAnsi"/>
          <w:color w:val="000000"/>
          <w:sz w:val="18"/>
          <w:szCs w:val="18"/>
          <w:lang w:val="fr-FR"/>
        </w:rPr>
        <w:t xml:space="preserve">Panorama &amp; IGBE (2022). </w:t>
      </w:r>
      <w:r w:rsidRPr="0052709C">
        <w:rPr>
          <w:rFonts w:asciiTheme="minorHAnsi" w:eastAsia="Calibri" w:hAnsiTheme="minorHAnsi" w:cstheme="minorHAnsi"/>
          <w:i/>
          <w:color w:val="000000"/>
          <w:sz w:val="18"/>
          <w:szCs w:val="18"/>
          <w:lang w:val="fr-FR"/>
        </w:rPr>
        <w:t>Census 2022</w:t>
      </w:r>
      <w:r w:rsidRPr="0052709C">
        <w:rPr>
          <w:rFonts w:asciiTheme="minorHAnsi" w:eastAsia="Calibri" w:hAnsiTheme="minorHAnsi" w:cstheme="minorHAnsi"/>
          <w:color w:val="000000"/>
          <w:sz w:val="18"/>
          <w:szCs w:val="18"/>
          <w:lang w:val="fr-FR"/>
        </w:rPr>
        <w:t>. Available online:</w:t>
      </w:r>
      <w:hyperlink r:id="rId34">
        <w:r w:rsidRPr="0052709C">
          <w:rPr>
            <w:rFonts w:asciiTheme="minorHAnsi" w:eastAsia="Calibri" w:hAnsiTheme="minorHAnsi" w:cstheme="minorHAnsi"/>
            <w:color w:val="000000"/>
            <w:sz w:val="18"/>
            <w:szCs w:val="18"/>
            <w:lang w:val="fr-FR"/>
          </w:rPr>
          <w:t xml:space="preserve"> </w:t>
        </w:r>
      </w:hyperlink>
      <w:hyperlink r:id="rId35">
        <w:r w:rsidRPr="0052709C">
          <w:rPr>
            <w:rFonts w:asciiTheme="minorHAnsi" w:eastAsia="Calibri" w:hAnsiTheme="minorHAnsi" w:cstheme="minorHAnsi"/>
            <w:color w:val="1155CC"/>
            <w:sz w:val="18"/>
            <w:szCs w:val="18"/>
            <w:u w:val="single"/>
            <w:lang w:val="fr-FR"/>
          </w:rPr>
          <w:t>https://censo2022.ibge.gov.br/panorama/?utm_source=ibge&amp;utm_medium=home&amp;utm_campaign=portal</w:t>
        </w:r>
      </w:hyperlink>
    </w:p>
  </w:footnote>
  <w:footnote w:id="33">
    <w:p w14:paraId="000001B7" w14:textId="77777777" w:rsidR="00490D7E" w:rsidRPr="006E267A" w:rsidRDefault="00707826" w:rsidP="006E267A">
      <w:pPr>
        <w:pBdr>
          <w:top w:val="nil"/>
          <w:left w:val="nil"/>
          <w:bottom w:val="nil"/>
          <w:right w:val="nil"/>
          <w:between w:val="nil"/>
        </w:pBdr>
        <w:spacing w:line="240" w:lineRule="auto"/>
        <w:rPr>
          <w:rFonts w:asciiTheme="minorHAns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hAnsiTheme="minorHAnsi" w:cstheme="minorHAnsi"/>
          <w:color w:val="000000"/>
          <w:sz w:val="18"/>
          <w:szCs w:val="18"/>
        </w:rPr>
        <w:t xml:space="preserve"> </w:t>
      </w:r>
      <w:r w:rsidRPr="006E267A">
        <w:rPr>
          <w:rFonts w:asciiTheme="minorHAnsi" w:eastAsia="Calibri" w:hAnsiTheme="minorHAnsi" w:cstheme="minorHAnsi"/>
          <w:color w:val="000000"/>
          <w:sz w:val="18"/>
          <w:szCs w:val="18"/>
        </w:rPr>
        <w:t xml:space="preserve">Climate Policy Initiative (2023). </w:t>
      </w:r>
      <w:r w:rsidRPr="006E267A">
        <w:rPr>
          <w:rFonts w:asciiTheme="minorHAnsi" w:eastAsia="Calibri" w:hAnsiTheme="minorHAnsi" w:cstheme="minorHAnsi"/>
          <w:i/>
          <w:color w:val="000000"/>
          <w:sz w:val="18"/>
          <w:szCs w:val="18"/>
        </w:rPr>
        <w:t>Smallholders in the Caatinga and the Cerrado: A Baseline Analysis for a Rural Just Transition in Brazil</w:t>
      </w:r>
      <w:r w:rsidRPr="006E267A">
        <w:rPr>
          <w:rFonts w:asciiTheme="minorHAnsi" w:eastAsia="Calibri" w:hAnsiTheme="minorHAnsi" w:cstheme="minorHAnsi"/>
          <w:color w:val="000000"/>
          <w:sz w:val="18"/>
          <w:szCs w:val="18"/>
        </w:rPr>
        <w:t>. Available online:</w:t>
      </w:r>
      <w:hyperlink r:id="rId36">
        <w:r w:rsidRPr="006E267A">
          <w:rPr>
            <w:rFonts w:asciiTheme="minorHAnsi" w:eastAsia="Calibri" w:hAnsiTheme="minorHAnsi" w:cstheme="minorHAnsi"/>
            <w:color w:val="000000"/>
            <w:sz w:val="18"/>
            <w:szCs w:val="18"/>
          </w:rPr>
          <w:t xml:space="preserve"> </w:t>
        </w:r>
      </w:hyperlink>
      <w:hyperlink r:id="rId37">
        <w:r w:rsidRPr="006E267A">
          <w:rPr>
            <w:rFonts w:asciiTheme="minorHAnsi" w:eastAsia="Calibri" w:hAnsiTheme="minorHAnsi" w:cstheme="minorHAnsi"/>
            <w:color w:val="1155CC"/>
            <w:sz w:val="18"/>
            <w:szCs w:val="18"/>
            <w:u w:val="single"/>
          </w:rPr>
          <w:t>https://www.climatepolicyinitiative.org/publication/smallholders-in-the-caatinga-and-the-cerrado-a-baseline-analysis-for-a-rural-just-transition-in-brazil/</w:t>
        </w:r>
      </w:hyperlink>
    </w:p>
  </w:footnote>
  <w:footnote w:id="34">
    <w:p w14:paraId="000001B8"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Ibid.</w:t>
      </w:r>
    </w:p>
  </w:footnote>
  <w:footnote w:id="35">
    <w:p w14:paraId="000001B9" w14:textId="77777777" w:rsidR="00490D7E" w:rsidRPr="00E25E81"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Critical Ecosystem Partnership Fund (2017). </w:t>
      </w:r>
      <w:r w:rsidRPr="00E25E81">
        <w:rPr>
          <w:rFonts w:asciiTheme="minorHAnsi" w:eastAsia="Calibri" w:hAnsiTheme="minorHAnsi" w:cstheme="minorHAnsi"/>
          <w:color w:val="000000"/>
          <w:sz w:val="18"/>
          <w:szCs w:val="18"/>
        </w:rPr>
        <w:t xml:space="preserve">Ecosystem Profile: Cerrado Biodiversity Hotspot. Available online: </w:t>
      </w:r>
      <w:hyperlink r:id="rId38">
        <w:r w:rsidRPr="00E25E81">
          <w:rPr>
            <w:rFonts w:asciiTheme="minorHAnsi" w:eastAsia="Calibri" w:hAnsiTheme="minorHAnsi" w:cstheme="minorHAnsi"/>
            <w:color w:val="000000"/>
            <w:sz w:val="18"/>
            <w:szCs w:val="18"/>
          </w:rPr>
          <w:t>https://www.cepf.net/sites/default/files/cerrado-ecosystem-profile-summary-english-revised-2017.pdf</w:t>
        </w:r>
      </w:hyperlink>
      <w:r w:rsidRPr="00E25E81">
        <w:rPr>
          <w:rFonts w:asciiTheme="minorHAnsi" w:eastAsia="Calibri" w:hAnsiTheme="minorHAnsi" w:cstheme="minorHAnsi"/>
          <w:color w:val="000000"/>
          <w:sz w:val="18"/>
          <w:szCs w:val="18"/>
        </w:rPr>
        <w:t xml:space="preserve">   </w:t>
      </w:r>
    </w:p>
  </w:footnote>
  <w:footnote w:id="36">
    <w:p w14:paraId="000001BA" w14:textId="77777777" w:rsidR="00490D7E" w:rsidRPr="0052709C" w:rsidRDefault="00707826" w:rsidP="006E267A">
      <w:pPr>
        <w:pBdr>
          <w:top w:val="nil"/>
          <w:left w:val="nil"/>
          <w:bottom w:val="nil"/>
          <w:right w:val="nil"/>
          <w:between w:val="nil"/>
        </w:pBdr>
        <w:spacing w:line="240" w:lineRule="auto"/>
        <w:rPr>
          <w:rFonts w:asciiTheme="minorHAnsi" w:hAnsiTheme="minorHAnsi" w:cstheme="minorHAnsi"/>
          <w:color w:val="000000"/>
          <w:sz w:val="18"/>
          <w:szCs w:val="18"/>
          <w:lang w:val="fr-FR"/>
        </w:rPr>
      </w:pPr>
      <w:r w:rsidRPr="006E267A">
        <w:rPr>
          <w:rFonts w:asciiTheme="minorHAnsi" w:hAnsiTheme="minorHAnsi" w:cstheme="minorHAnsi"/>
          <w:sz w:val="18"/>
          <w:szCs w:val="18"/>
          <w:vertAlign w:val="superscript"/>
        </w:rPr>
        <w:footnoteRef/>
      </w:r>
      <w:r w:rsidRPr="00C96161">
        <w:rPr>
          <w:rFonts w:asciiTheme="minorHAnsi" w:hAnsiTheme="minorHAnsi" w:cstheme="minorHAnsi"/>
          <w:color w:val="000000"/>
          <w:sz w:val="18"/>
          <w:szCs w:val="18"/>
          <w:lang w:val="pt-BR"/>
        </w:rPr>
        <w:t xml:space="preserve"> </w:t>
      </w:r>
      <w:r w:rsidRPr="00C96161">
        <w:rPr>
          <w:rFonts w:asciiTheme="minorHAnsi" w:eastAsia="Calibri" w:hAnsiTheme="minorHAnsi" w:cstheme="minorHAnsi"/>
          <w:color w:val="000000"/>
          <w:sz w:val="18"/>
          <w:szCs w:val="18"/>
          <w:lang w:val="pt-BR"/>
        </w:rPr>
        <w:t xml:space="preserve">Ministério do Meio Ambiente &amp; IBGE (2022). </w:t>
      </w:r>
      <w:r w:rsidRPr="006E267A">
        <w:rPr>
          <w:rFonts w:asciiTheme="minorHAnsi" w:eastAsia="Calibri" w:hAnsiTheme="minorHAnsi" w:cstheme="minorHAnsi"/>
          <w:i/>
          <w:color w:val="000000"/>
          <w:sz w:val="18"/>
          <w:szCs w:val="18"/>
        </w:rPr>
        <w:t>Approximate population within biomes in Brazil</w:t>
      </w:r>
      <w:r w:rsidRPr="006E267A">
        <w:rPr>
          <w:rFonts w:asciiTheme="minorHAnsi" w:eastAsia="Calibri" w:hAnsiTheme="minorHAnsi" w:cstheme="minorHAnsi"/>
          <w:color w:val="000000"/>
          <w:sz w:val="18"/>
          <w:szCs w:val="18"/>
        </w:rPr>
        <w:t xml:space="preserve">. </w:t>
      </w:r>
      <w:r w:rsidRPr="0052709C">
        <w:rPr>
          <w:rFonts w:asciiTheme="minorHAnsi" w:eastAsia="Calibri" w:hAnsiTheme="minorHAnsi" w:cstheme="minorHAnsi"/>
          <w:color w:val="000000"/>
          <w:sz w:val="18"/>
          <w:szCs w:val="18"/>
          <w:lang w:val="fr-FR"/>
        </w:rPr>
        <w:t>Available online:</w:t>
      </w:r>
      <w:hyperlink r:id="rId39">
        <w:r w:rsidRPr="0052709C">
          <w:rPr>
            <w:rFonts w:asciiTheme="minorHAnsi" w:eastAsia="Calibri" w:hAnsiTheme="minorHAnsi" w:cstheme="minorHAnsi"/>
            <w:color w:val="000000"/>
            <w:sz w:val="18"/>
            <w:szCs w:val="18"/>
            <w:lang w:val="fr-FR"/>
          </w:rPr>
          <w:t xml:space="preserve"> </w:t>
        </w:r>
      </w:hyperlink>
      <w:hyperlink r:id="rId40">
        <w:r w:rsidRPr="0052709C">
          <w:rPr>
            <w:rFonts w:asciiTheme="minorHAnsi" w:eastAsia="Calibri" w:hAnsiTheme="minorHAnsi" w:cstheme="minorHAnsi"/>
            <w:color w:val="1155CC"/>
            <w:sz w:val="18"/>
            <w:szCs w:val="18"/>
            <w:u w:val="single"/>
            <w:lang w:val="fr-FR"/>
          </w:rPr>
          <w:t>https://mapsontheweb.zoom-maps.com/post/675468447498551296/approximate-population-within-natural-biomes-in</w:t>
        </w:r>
      </w:hyperlink>
    </w:p>
  </w:footnote>
  <w:footnote w:id="37">
    <w:p w14:paraId="000001BB" w14:textId="77777777" w:rsidR="00490D7E" w:rsidRPr="0052709C"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lang w:val="fr-FR"/>
        </w:rPr>
      </w:pPr>
      <w:r w:rsidRPr="006E267A">
        <w:rPr>
          <w:rFonts w:asciiTheme="minorHAnsi" w:hAnsiTheme="minorHAnsi" w:cstheme="minorHAnsi"/>
          <w:sz w:val="18"/>
          <w:szCs w:val="18"/>
          <w:vertAlign w:val="superscript"/>
        </w:rPr>
        <w:footnoteRef/>
      </w:r>
      <w:r w:rsidRPr="0052709C">
        <w:rPr>
          <w:rFonts w:asciiTheme="minorHAnsi" w:eastAsia="Calibri" w:hAnsiTheme="minorHAnsi" w:cstheme="minorHAnsi"/>
          <w:color w:val="000000"/>
          <w:sz w:val="18"/>
          <w:szCs w:val="18"/>
          <w:lang w:val="fr-FR"/>
        </w:rPr>
        <w:t xml:space="preserve"> Panorama &amp; IGBE (2022). </w:t>
      </w:r>
      <w:r w:rsidRPr="0052709C">
        <w:rPr>
          <w:rFonts w:asciiTheme="minorHAnsi" w:eastAsia="Calibri" w:hAnsiTheme="minorHAnsi" w:cstheme="minorHAnsi"/>
          <w:i/>
          <w:color w:val="000000"/>
          <w:sz w:val="18"/>
          <w:szCs w:val="18"/>
          <w:lang w:val="fr-FR"/>
        </w:rPr>
        <w:t>Census 2022</w:t>
      </w:r>
      <w:r w:rsidRPr="0052709C">
        <w:rPr>
          <w:rFonts w:asciiTheme="minorHAnsi" w:eastAsia="Calibri" w:hAnsiTheme="minorHAnsi" w:cstheme="minorHAnsi"/>
          <w:color w:val="000000"/>
          <w:sz w:val="18"/>
          <w:szCs w:val="18"/>
          <w:lang w:val="fr-FR"/>
        </w:rPr>
        <w:t>. Available online:</w:t>
      </w:r>
      <w:hyperlink r:id="rId41">
        <w:r w:rsidRPr="0052709C">
          <w:rPr>
            <w:rFonts w:asciiTheme="minorHAnsi" w:eastAsia="Calibri" w:hAnsiTheme="minorHAnsi" w:cstheme="minorHAnsi"/>
            <w:color w:val="000000"/>
            <w:sz w:val="18"/>
            <w:szCs w:val="18"/>
            <w:lang w:val="fr-FR"/>
          </w:rPr>
          <w:t xml:space="preserve"> </w:t>
        </w:r>
      </w:hyperlink>
      <w:hyperlink r:id="rId42">
        <w:r w:rsidRPr="0052709C">
          <w:rPr>
            <w:rFonts w:asciiTheme="minorHAnsi" w:eastAsia="Calibri" w:hAnsiTheme="minorHAnsi" w:cstheme="minorHAnsi"/>
            <w:color w:val="1155CC"/>
            <w:sz w:val="18"/>
            <w:szCs w:val="18"/>
            <w:u w:val="single"/>
            <w:lang w:val="fr-FR"/>
          </w:rPr>
          <w:t>https://censo2022.ibge.gov.br/panorama/?utm_source=ibge&amp;utm_medium=home&amp;utm_campaign=portal</w:t>
        </w:r>
      </w:hyperlink>
      <w:r w:rsidRPr="0052709C">
        <w:rPr>
          <w:rFonts w:asciiTheme="minorHAnsi" w:eastAsia="Calibri" w:hAnsiTheme="minorHAnsi" w:cstheme="minorHAnsi"/>
          <w:color w:val="000000"/>
          <w:sz w:val="18"/>
          <w:szCs w:val="18"/>
          <w:lang w:val="fr-FR"/>
        </w:rPr>
        <w:t xml:space="preserve"> </w:t>
      </w:r>
    </w:p>
  </w:footnote>
  <w:footnote w:id="38">
    <w:p w14:paraId="000001BC" w14:textId="77777777" w:rsidR="00490D7E" w:rsidRPr="00E25E81"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E25E81">
        <w:rPr>
          <w:rFonts w:asciiTheme="minorHAnsi" w:hAnsiTheme="minorHAnsi" w:cstheme="minorHAnsi"/>
          <w:color w:val="000000"/>
          <w:sz w:val="18"/>
          <w:szCs w:val="18"/>
          <w:lang w:val="fr-FR"/>
        </w:rPr>
        <w:t xml:space="preserve"> </w:t>
      </w:r>
      <w:r w:rsidRPr="00E25E81">
        <w:rPr>
          <w:rFonts w:asciiTheme="minorHAnsi" w:eastAsia="Calibri" w:hAnsiTheme="minorHAnsi" w:cstheme="minorHAnsi"/>
          <w:color w:val="171717"/>
          <w:sz w:val="18"/>
          <w:szCs w:val="18"/>
          <w:highlight w:val="white"/>
          <w:lang w:val="fr-FR"/>
        </w:rPr>
        <w:t xml:space="preserve">CPI (2023). </w:t>
      </w:r>
      <w:r w:rsidRPr="00C96161">
        <w:rPr>
          <w:rFonts w:asciiTheme="minorHAnsi" w:eastAsia="Calibri" w:hAnsiTheme="minorHAnsi" w:cstheme="minorHAnsi"/>
          <w:i/>
          <w:color w:val="171717"/>
          <w:sz w:val="18"/>
          <w:szCs w:val="18"/>
          <w:highlight w:val="white"/>
          <w:lang w:val="pt-BR"/>
        </w:rPr>
        <w:t>Agricultores Familiares da Caatinga e do Cerrado</w:t>
      </w:r>
      <w:r w:rsidRPr="00C96161">
        <w:rPr>
          <w:rFonts w:asciiTheme="minorHAnsi" w:eastAsia="Calibri" w:hAnsiTheme="minorHAnsi" w:cstheme="minorHAnsi"/>
          <w:color w:val="171717"/>
          <w:sz w:val="18"/>
          <w:szCs w:val="18"/>
          <w:highlight w:val="white"/>
          <w:lang w:val="pt-BR"/>
        </w:rPr>
        <w:t xml:space="preserve">. </w:t>
      </w:r>
      <w:r w:rsidRPr="00E25E81">
        <w:rPr>
          <w:rFonts w:asciiTheme="minorHAnsi" w:eastAsia="Calibri" w:hAnsiTheme="minorHAnsi" w:cstheme="minorHAnsi"/>
          <w:color w:val="171717"/>
          <w:sz w:val="18"/>
          <w:szCs w:val="18"/>
          <w:highlight w:val="white"/>
        </w:rPr>
        <w:t xml:space="preserve">Available online: </w:t>
      </w:r>
      <w:hyperlink r:id="rId43">
        <w:r w:rsidRPr="00E25E81">
          <w:rPr>
            <w:rFonts w:asciiTheme="minorHAnsi" w:eastAsia="Calibri" w:hAnsiTheme="minorHAnsi" w:cstheme="minorHAnsi"/>
            <w:color w:val="1155CC"/>
            <w:sz w:val="18"/>
            <w:szCs w:val="18"/>
            <w:highlight w:val="white"/>
            <w:u w:val="single"/>
          </w:rPr>
          <w:t>https://www.climatepolicyinitiative.org/pt-br/publication/agricultores-familiares-da-caatinga-e-do-cerrado-mapeamento-para-a-promocao-de-uma-transicao-rural-justa-no-brasil/</w:t>
        </w:r>
      </w:hyperlink>
      <w:r w:rsidRPr="00E25E81">
        <w:rPr>
          <w:rFonts w:asciiTheme="minorHAnsi" w:eastAsia="Calibri" w:hAnsiTheme="minorHAnsi" w:cstheme="minorHAnsi"/>
          <w:color w:val="171717"/>
          <w:sz w:val="18"/>
          <w:szCs w:val="18"/>
          <w:highlight w:val="white"/>
        </w:rPr>
        <w:t xml:space="preserve"> </w:t>
      </w:r>
    </w:p>
  </w:footnote>
  <w:footnote w:id="39">
    <w:p w14:paraId="000001BD" w14:textId="77777777" w:rsidR="00490D7E" w:rsidRPr="0052709C" w:rsidRDefault="00707826" w:rsidP="006E267A">
      <w:pPr>
        <w:pBdr>
          <w:top w:val="nil"/>
          <w:left w:val="nil"/>
          <w:bottom w:val="nil"/>
          <w:right w:val="nil"/>
          <w:between w:val="nil"/>
        </w:pBdr>
        <w:spacing w:line="240" w:lineRule="auto"/>
        <w:rPr>
          <w:rFonts w:asciiTheme="minorHAnsi" w:hAnsiTheme="minorHAnsi" w:cstheme="minorHAnsi"/>
          <w:color w:val="000000"/>
          <w:sz w:val="18"/>
          <w:szCs w:val="18"/>
          <w:lang w:val="fr-FR"/>
        </w:rPr>
      </w:pPr>
      <w:r w:rsidRPr="006E267A">
        <w:rPr>
          <w:rFonts w:asciiTheme="minorHAnsi" w:hAnsiTheme="minorHAnsi" w:cstheme="minorHAnsi"/>
          <w:sz w:val="18"/>
          <w:szCs w:val="18"/>
          <w:vertAlign w:val="superscript"/>
        </w:rPr>
        <w:footnoteRef/>
      </w:r>
      <w:r w:rsidRPr="00C96161">
        <w:rPr>
          <w:rFonts w:asciiTheme="minorHAnsi" w:hAnsiTheme="minorHAnsi" w:cstheme="minorHAnsi"/>
          <w:color w:val="000000"/>
          <w:sz w:val="18"/>
          <w:szCs w:val="18"/>
          <w:lang w:val="pt-BR"/>
        </w:rPr>
        <w:t xml:space="preserve"> </w:t>
      </w:r>
      <w:r w:rsidRPr="00C96161">
        <w:rPr>
          <w:rFonts w:asciiTheme="minorHAnsi" w:eastAsia="Calibri" w:hAnsiTheme="minorHAnsi" w:cstheme="minorHAnsi"/>
          <w:color w:val="000000"/>
          <w:sz w:val="18"/>
          <w:szCs w:val="18"/>
          <w:lang w:val="pt-BR"/>
        </w:rPr>
        <w:t xml:space="preserve">Ministério do Meio Ambiente &amp; IBGE (2022). </w:t>
      </w:r>
      <w:r w:rsidRPr="006E267A">
        <w:rPr>
          <w:rFonts w:asciiTheme="minorHAnsi" w:eastAsia="Calibri" w:hAnsiTheme="minorHAnsi" w:cstheme="minorHAnsi"/>
          <w:i/>
          <w:color w:val="000000"/>
          <w:sz w:val="18"/>
          <w:szCs w:val="18"/>
        </w:rPr>
        <w:t>Approximate population within biomes in Brazil</w:t>
      </w:r>
      <w:r w:rsidRPr="006E267A">
        <w:rPr>
          <w:rFonts w:asciiTheme="minorHAnsi" w:eastAsia="Calibri" w:hAnsiTheme="minorHAnsi" w:cstheme="minorHAnsi"/>
          <w:color w:val="000000"/>
          <w:sz w:val="18"/>
          <w:szCs w:val="18"/>
        </w:rPr>
        <w:t xml:space="preserve">. </w:t>
      </w:r>
      <w:r w:rsidRPr="0052709C">
        <w:rPr>
          <w:rFonts w:asciiTheme="minorHAnsi" w:eastAsia="Calibri" w:hAnsiTheme="minorHAnsi" w:cstheme="minorHAnsi"/>
          <w:color w:val="000000"/>
          <w:sz w:val="18"/>
          <w:szCs w:val="18"/>
          <w:lang w:val="fr-FR"/>
        </w:rPr>
        <w:t>Available online:</w:t>
      </w:r>
      <w:hyperlink r:id="rId44">
        <w:r w:rsidRPr="0052709C">
          <w:rPr>
            <w:rFonts w:asciiTheme="minorHAnsi" w:eastAsia="Calibri" w:hAnsiTheme="minorHAnsi" w:cstheme="minorHAnsi"/>
            <w:color w:val="000000"/>
            <w:sz w:val="18"/>
            <w:szCs w:val="18"/>
            <w:lang w:val="fr-FR"/>
          </w:rPr>
          <w:t xml:space="preserve"> </w:t>
        </w:r>
      </w:hyperlink>
      <w:hyperlink r:id="rId45">
        <w:r w:rsidRPr="0052709C">
          <w:rPr>
            <w:rFonts w:asciiTheme="minorHAnsi" w:eastAsia="Calibri" w:hAnsiTheme="minorHAnsi" w:cstheme="minorHAnsi"/>
            <w:color w:val="1155CC"/>
            <w:sz w:val="18"/>
            <w:szCs w:val="18"/>
            <w:u w:val="single"/>
            <w:lang w:val="fr-FR"/>
          </w:rPr>
          <w:t>https://mapsontheweb.zoom-maps.com/post/675468447498551296/approximate-population-within-natural-biomes-in</w:t>
        </w:r>
      </w:hyperlink>
    </w:p>
  </w:footnote>
  <w:footnote w:id="40">
    <w:p w14:paraId="000001BE" w14:textId="77777777" w:rsidR="00490D7E" w:rsidRPr="0052709C"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lang w:val="fr-FR"/>
        </w:rPr>
      </w:pPr>
      <w:r w:rsidRPr="006E267A">
        <w:rPr>
          <w:rFonts w:asciiTheme="minorHAnsi" w:hAnsiTheme="minorHAnsi" w:cstheme="minorHAnsi"/>
          <w:sz w:val="18"/>
          <w:szCs w:val="18"/>
          <w:vertAlign w:val="superscript"/>
        </w:rPr>
        <w:footnoteRef/>
      </w:r>
      <w:r w:rsidRPr="0052709C">
        <w:rPr>
          <w:rFonts w:asciiTheme="minorHAnsi" w:eastAsia="Calibri" w:hAnsiTheme="minorHAnsi" w:cstheme="minorHAnsi"/>
          <w:color w:val="000000"/>
          <w:sz w:val="18"/>
          <w:szCs w:val="18"/>
          <w:lang w:val="fr-FR"/>
        </w:rPr>
        <w:t xml:space="preserve"> Panorama &amp; IGBE (2022). </w:t>
      </w:r>
      <w:r w:rsidRPr="0052709C">
        <w:rPr>
          <w:rFonts w:asciiTheme="minorHAnsi" w:eastAsia="Calibri" w:hAnsiTheme="minorHAnsi" w:cstheme="minorHAnsi"/>
          <w:i/>
          <w:color w:val="000000"/>
          <w:sz w:val="18"/>
          <w:szCs w:val="18"/>
          <w:lang w:val="fr-FR"/>
        </w:rPr>
        <w:t>Census 2022</w:t>
      </w:r>
      <w:r w:rsidRPr="0052709C">
        <w:rPr>
          <w:rFonts w:asciiTheme="minorHAnsi" w:eastAsia="Calibri" w:hAnsiTheme="minorHAnsi" w:cstheme="minorHAnsi"/>
          <w:color w:val="000000"/>
          <w:sz w:val="18"/>
          <w:szCs w:val="18"/>
          <w:lang w:val="fr-FR"/>
        </w:rPr>
        <w:t>. Available online:</w:t>
      </w:r>
      <w:hyperlink r:id="rId46">
        <w:r w:rsidRPr="0052709C">
          <w:rPr>
            <w:rFonts w:asciiTheme="minorHAnsi" w:eastAsia="Calibri" w:hAnsiTheme="minorHAnsi" w:cstheme="minorHAnsi"/>
            <w:color w:val="000000"/>
            <w:sz w:val="18"/>
            <w:szCs w:val="18"/>
            <w:lang w:val="fr-FR"/>
          </w:rPr>
          <w:t xml:space="preserve"> </w:t>
        </w:r>
      </w:hyperlink>
      <w:hyperlink r:id="rId47">
        <w:r w:rsidRPr="0052709C">
          <w:rPr>
            <w:rFonts w:asciiTheme="minorHAnsi" w:eastAsia="Calibri" w:hAnsiTheme="minorHAnsi" w:cstheme="minorHAnsi"/>
            <w:color w:val="1155CC"/>
            <w:sz w:val="18"/>
            <w:szCs w:val="18"/>
            <w:u w:val="single"/>
            <w:lang w:val="fr-FR"/>
          </w:rPr>
          <w:t>https://censo2022.ibge.gov.br/panorama/?utm_source=ibge&amp;utm_medium=home&amp;utm_campaign=portal</w:t>
        </w:r>
      </w:hyperlink>
      <w:r w:rsidRPr="0052709C">
        <w:rPr>
          <w:rFonts w:asciiTheme="minorHAnsi" w:eastAsia="Calibri" w:hAnsiTheme="minorHAnsi" w:cstheme="minorHAnsi"/>
          <w:color w:val="000000"/>
          <w:sz w:val="18"/>
          <w:szCs w:val="18"/>
          <w:lang w:val="fr-FR"/>
        </w:rPr>
        <w:t xml:space="preserve"> </w:t>
      </w:r>
    </w:p>
  </w:footnote>
  <w:footnote w:id="41">
    <w:p w14:paraId="000001BF"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i/>
          <w:color w:val="000000"/>
          <w:sz w:val="18"/>
          <w:szCs w:val="18"/>
        </w:rPr>
      </w:pPr>
      <w:r w:rsidRPr="006E267A">
        <w:rPr>
          <w:rFonts w:asciiTheme="minorHAnsi" w:hAnsiTheme="minorHAnsi" w:cstheme="minorHAnsi"/>
          <w:sz w:val="18"/>
          <w:szCs w:val="18"/>
          <w:vertAlign w:val="superscript"/>
        </w:rPr>
        <w:footnoteRef/>
      </w:r>
      <w:r w:rsidRPr="00E25E81">
        <w:rPr>
          <w:rFonts w:asciiTheme="minorHAnsi" w:eastAsia="Calibri" w:hAnsiTheme="minorHAnsi" w:cstheme="minorHAnsi"/>
          <w:color w:val="000000"/>
          <w:sz w:val="18"/>
          <w:szCs w:val="18"/>
          <w:lang w:val="fr-FR"/>
        </w:rPr>
        <w:t xml:space="preserve"> Zanon (2022). </w:t>
      </w:r>
      <w:r w:rsidRPr="006E267A">
        <w:rPr>
          <w:rFonts w:asciiTheme="minorHAnsi" w:eastAsia="Calibri" w:hAnsiTheme="minorHAnsi" w:cstheme="minorHAnsi"/>
          <w:i/>
          <w:color w:val="000000"/>
          <w:sz w:val="18"/>
          <w:szCs w:val="18"/>
        </w:rPr>
        <w:t>Natural regeneration and women-led initiatives help drive Atlantic Forest Pact</w:t>
      </w:r>
      <w:r w:rsidRPr="006E267A">
        <w:rPr>
          <w:rFonts w:asciiTheme="minorHAnsi" w:eastAsia="Calibri" w:hAnsiTheme="minorHAnsi" w:cstheme="minorHAnsi"/>
          <w:color w:val="000000"/>
          <w:sz w:val="18"/>
          <w:szCs w:val="18"/>
        </w:rPr>
        <w:t xml:space="preserve">. Mongabay. Available online: </w:t>
      </w:r>
      <w:hyperlink r:id="rId48">
        <w:r w:rsidRPr="006E267A">
          <w:rPr>
            <w:rFonts w:asciiTheme="minorHAnsi" w:eastAsia="Calibri" w:hAnsiTheme="minorHAnsi" w:cstheme="minorHAnsi"/>
            <w:color w:val="1155CC"/>
            <w:sz w:val="18"/>
            <w:szCs w:val="18"/>
            <w:u w:val="single"/>
          </w:rPr>
          <w:t>https://news.mongabay.com/2022/07/natural-regeneration-and-women-led-initiatives-help-drive-atlantic-forest-pact/</w:t>
        </w:r>
      </w:hyperlink>
      <w:r w:rsidRPr="006E267A">
        <w:rPr>
          <w:rFonts w:asciiTheme="minorHAnsi" w:eastAsia="Calibri" w:hAnsiTheme="minorHAnsi" w:cstheme="minorHAnsi"/>
          <w:color w:val="000000"/>
          <w:sz w:val="18"/>
          <w:szCs w:val="18"/>
        </w:rPr>
        <w:t xml:space="preserve"> </w:t>
      </w:r>
    </w:p>
  </w:footnote>
  <w:footnote w:id="42">
    <w:p w14:paraId="000001C0"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de Siqueira et al. (2021). “Gender inclusion in ecological restoration” in </w:t>
      </w:r>
      <w:r w:rsidRPr="006E267A">
        <w:rPr>
          <w:rFonts w:asciiTheme="minorHAnsi" w:eastAsia="Calibri" w:hAnsiTheme="minorHAnsi" w:cstheme="minorHAnsi"/>
          <w:i/>
          <w:color w:val="000000"/>
          <w:sz w:val="18"/>
          <w:szCs w:val="18"/>
        </w:rPr>
        <w:t xml:space="preserve">Restoration Ecology. </w:t>
      </w:r>
      <w:r w:rsidRPr="006E267A">
        <w:rPr>
          <w:rFonts w:asciiTheme="minorHAnsi" w:eastAsia="Calibri" w:hAnsiTheme="minorHAnsi" w:cstheme="minorHAnsi"/>
          <w:color w:val="000000"/>
          <w:sz w:val="18"/>
          <w:szCs w:val="18"/>
        </w:rPr>
        <w:t xml:space="preserve">Available online: </w:t>
      </w:r>
      <w:hyperlink r:id="rId49">
        <w:r w:rsidRPr="006E267A">
          <w:rPr>
            <w:rFonts w:asciiTheme="minorHAnsi" w:eastAsia="Calibri" w:hAnsiTheme="minorHAnsi" w:cstheme="minorHAnsi"/>
            <w:color w:val="1155CC"/>
            <w:sz w:val="18"/>
            <w:szCs w:val="18"/>
            <w:u w:val="single"/>
          </w:rPr>
          <w:t>https://www.pactomataatlantica.org.br/wp-content/uploads/2021/08/Gender-inclusion-in-ecological-restoration_Siqueira-2021.pdf</w:t>
        </w:r>
      </w:hyperlink>
      <w:r w:rsidRPr="006E267A">
        <w:rPr>
          <w:rFonts w:asciiTheme="minorHAnsi" w:eastAsia="Calibri" w:hAnsiTheme="minorHAnsi" w:cstheme="minorHAnsi"/>
          <w:color w:val="000000"/>
          <w:sz w:val="18"/>
          <w:szCs w:val="18"/>
        </w:rPr>
        <w:t xml:space="preserve"> </w:t>
      </w:r>
    </w:p>
  </w:footnote>
  <w:footnote w:id="43">
    <w:p w14:paraId="000001C1"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vertAlign w:val="superscript"/>
        </w:rPr>
      </w:pPr>
      <w:r w:rsidRPr="006E267A">
        <w:rPr>
          <w:rFonts w:asciiTheme="minorHAnsi" w:hAnsiTheme="minorHAnsi" w:cstheme="minorHAnsi"/>
          <w:sz w:val="18"/>
          <w:szCs w:val="18"/>
          <w:vertAlign w:val="superscript"/>
        </w:rPr>
        <w:footnoteRef/>
      </w:r>
      <w:r w:rsidRPr="00C96161">
        <w:rPr>
          <w:rFonts w:asciiTheme="minorHAnsi" w:eastAsia="Calibri" w:hAnsiTheme="minorHAnsi" w:cstheme="minorHAnsi"/>
          <w:color w:val="000000"/>
          <w:sz w:val="18"/>
          <w:szCs w:val="18"/>
          <w:vertAlign w:val="superscript"/>
          <w:lang w:val="pt-BR"/>
        </w:rPr>
        <w:t xml:space="preserve"> </w:t>
      </w:r>
      <w:r w:rsidRPr="00C96161">
        <w:rPr>
          <w:rFonts w:asciiTheme="minorHAnsi" w:eastAsia="Calibri" w:hAnsiTheme="minorHAnsi" w:cstheme="minorHAnsi"/>
          <w:color w:val="000000"/>
          <w:sz w:val="18"/>
          <w:szCs w:val="18"/>
          <w:lang w:val="pt-BR"/>
        </w:rPr>
        <w:t xml:space="preserve">Lunelli. N, Ramos. M, Júnior, C (2016).  </w:t>
      </w:r>
      <w:r w:rsidRPr="006E267A">
        <w:rPr>
          <w:rFonts w:asciiTheme="minorHAnsi" w:eastAsia="Calibri" w:hAnsiTheme="minorHAnsi" w:cstheme="minorHAnsi"/>
          <w:i/>
          <w:color w:val="000000"/>
          <w:sz w:val="18"/>
          <w:szCs w:val="18"/>
        </w:rPr>
        <w:t>Do gender and age influence agroforestry farmers' knowledge of tree species uses in an area of the Atlantic Forest, Brazil?</w:t>
      </w:r>
      <w:r w:rsidRPr="006E267A">
        <w:rPr>
          <w:rFonts w:asciiTheme="minorHAnsi" w:eastAsia="Calibri" w:hAnsiTheme="minorHAnsi" w:cstheme="minorHAnsi"/>
          <w:color w:val="000000"/>
          <w:sz w:val="18"/>
          <w:szCs w:val="18"/>
        </w:rPr>
        <w:t xml:space="preserve"> Available online:</w:t>
      </w:r>
      <w:hyperlink r:id="rId50">
        <w:r w:rsidRPr="006E267A">
          <w:rPr>
            <w:rFonts w:asciiTheme="minorHAnsi" w:eastAsia="Calibri" w:hAnsiTheme="minorHAnsi" w:cstheme="minorHAnsi"/>
            <w:color w:val="000000"/>
            <w:sz w:val="18"/>
            <w:szCs w:val="18"/>
          </w:rPr>
          <w:t xml:space="preserve"> https://www.scielo.br/j/abb/a/4gzKG7G3n8pHFb4XhBbJYYy/?lang=en#</w:t>
        </w:r>
      </w:hyperlink>
      <w:r w:rsidRPr="006E267A">
        <w:rPr>
          <w:rFonts w:asciiTheme="minorHAnsi" w:eastAsia="Calibri" w:hAnsiTheme="minorHAnsi" w:cstheme="minorHAnsi"/>
          <w:color w:val="000000"/>
          <w:sz w:val="18"/>
          <w:szCs w:val="18"/>
          <w:vertAlign w:val="superscript"/>
        </w:rPr>
        <w:t xml:space="preserve"> </w:t>
      </w:r>
    </w:p>
  </w:footnote>
  <w:footnote w:id="44">
    <w:p w14:paraId="000001C2" w14:textId="77777777" w:rsidR="00490D7E" w:rsidRPr="00E25E81"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vertAlign w:val="superscript"/>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i/>
          <w:color w:val="000000"/>
          <w:sz w:val="18"/>
          <w:szCs w:val="18"/>
        </w:rPr>
        <w:t xml:space="preserve"> </w:t>
      </w:r>
      <w:r w:rsidRPr="006E267A">
        <w:rPr>
          <w:rFonts w:asciiTheme="minorHAnsi" w:eastAsia="Calibri" w:hAnsiTheme="minorHAnsi" w:cstheme="minorHAnsi"/>
          <w:color w:val="000000"/>
          <w:sz w:val="18"/>
          <w:szCs w:val="18"/>
        </w:rPr>
        <w:t>WWF (2022)</w:t>
      </w:r>
      <w:r w:rsidRPr="006E267A">
        <w:rPr>
          <w:rFonts w:asciiTheme="minorHAnsi" w:eastAsia="Calibri" w:hAnsiTheme="minorHAnsi" w:cstheme="minorHAnsi"/>
          <w:i/>
          <w:color w:val="000000"/>
          <w:sz w:val="18"/>
          <w:szCs w:val="18"/>
        </w:rPr>
        <w:t xml:space="preserve">. Lessons Learnt from 16 years of Restoring the Atlantic Forest at a Trinational Level: the Upper Paraná in Argentina, Brazil and Paraguay. </w:t>
      </w:r>
      <w:r w:rsidRPr="00E25E81">
        <w:rPr>
          <w:rFonts w:asciiTheme="minorHAnsi" w:eastAsia="Calibri" w:hAnsiTheme="minorHAnsi" w:cstheme="minorHAnsi"/>
          <w:color w:val="000000"/>
          <w:sz w:val="18"/>
          <w:szCs w:val="18"/>
        </w:rPr>
        <w:t>Available online:</w:t>
      </w:r>
      <w:hyperlink r:id="rId51">
        <w:r w:rsidRPr="00E25E81">
          <w:rPr>
            <w:rFonts w:asciiTheme="minorHAnsi" w:eastAsia="Calibri" w:hAnsiTheme="minorHAnsi" w:cstheme="minorHAnsi"/>
            <w:color w:val="000000"/>
            <w:sz w:val="18"/>
            <w:szCs w:val="18"/>
          </w:rPr>
          <w:t xml:space="preserve"> https://wwfint.awsassets.panda.org/downloads/flr_field_series_atlantic_forest.pdf</w:t>
        </w:r>
      </w:hyperlink>
      <w:r w:rsidRPr="00E25E81">
        <w:rPr>
          <w:rFonts w:asciiTheme="minorHAnsi" w:eastAsia="Calibri" w:hAnsiTheme="minorHAnsi" w:cstheme="minorHAnsi"/>
          <w:color w:val="000000"/>
          <w:sz w:val="18"/>
          <w:szCs w:val="18"/>
          <w:vertAlign w:val="superscript"/>
        </w:rPr>
        <w:t xml:space="preserve">  </w:t>
      </w:r>
    </w:p>
  </w:footnote>
  <w:footnote w:id="45">
    <w:p w14:paraId="000001C3" w14:textId="77777777" w:rsidR="00490D7E" w:rsidRPr="0052709C"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lang w:val="fr-FR"/>
        </w:rPr>
      </w:pPr>
      <w:r w:rsidRPr="006E267A">
        <w:rPr>
          <w:rFonts w:asciiTheme="minorHAnsi" w:hAnsiTheme="minorHAnsi" w:cstheme="minorHAnsi"/>
          <w:sz w:val="18"/>
          <w:szCs w:val="18"/>
          <w:vertAlign w:val="superscript"/>
        </w:rPr>
        <w:footnoteRef/>
      </w:r>
      <w:r w:rsidRPr="00C96161">
        <w:rPr>
          <w:rFonts w:asciiTheme="minorHAnsi" w:eastAsia="Calibri" w:hAnsiTheme="minorHAnsi" w:cstheme="minorHAnsi"/>
          <w:color w:val="000000"/>
          <w:sz w:val="18"/>
          <w:szCs w:val="18"/>
          <w:lang w:val="pt-BR"/>
        </w:rPr>
        <w:t xml:space="preserve"> PACTO (2021). </w:t>
      </w:r>
      <w:r w:rsidRPr="00C96161">
        <w:rPr>
          <w:rFonts w:asciiTheme="minorHAnsi" w:eastAsia="Calibri" w:hAnsiTheme="minorHAnsi" w:cstheme="minorHAnsi"/>
          <w:i/>
          <w:color w:val="000000"/>
          <w:sz w:val="18"/>
          <w:szCs w:val="18"/>
          <w:lang w:val="pt-BR"/>
        </w:rPr>
        <w:t>Mulheres na restauração de paisagens florestais</w:t>
      </w:r>
      <w:r w:rsidRPr="00C96161">
        <w:rPr>
          <w:rFonts w:asciiTheme="minorHAnsi" w:eastAsia="Calibri" w:hAnsiTheme="minorHAnsi" w:cstheme="minorHAnsi"/>
          <w:color w:val="000000"/>
          <w:sz w:val="18"/>
          <w:szCs w:val="18"/>
          <w:lang w:val="pt-BR"/>
        </w:rPr>
        <w:t xml:space="preserve">. </w:t>
      </w:r>
      <w:r w:rsidRPr="0052709C">
        <w:rPr>
          <w:rFonts w:asciiTheme="minorHAnsi" w:eastAsia="Calibri" w:hAnsiTheme="minorHAnsi" w:cstheme="minorHAnsi"/>
          <w:color w:val="000000"/>
          <w:sz w:val="18"/>
          <w:szCs w:val="18"/>
          <w:lang w:val="fr-FR"/>
        </w:rPr>
        <w:t xml:space="preserve">Available online: </w:t>
      </w:r>
      <w:hyperlink r:id="rId52">
        <w:r w:rsidRPr="0052709C">
          <w:rPr>
            <w:rFonts w:asciiTheme="minorHAnsi" w:eastAsia="Calibri" w:hAnsiTheme="minorHAnsi" w:cstheme="minorHAnsi"/>
            <w:color w:val="000000"/>
            <w:sz w:val="18"/>
            <w:szCs w:val="18"/>
            <w:lang w:val="fr-FR"/>
          </w:rPr>
          <w:t>https://www.pactomataatlantica.org.br/wp-content/uploads/2021/05/mulheres-na-restauracao.pdf</w:t>
        </w:r>
      </w:hyperlink>
      <w:r w:rsidRPr="0052709C">
        <w:rPr>
          <w:rFonts w:asciiTheme="minorHAnsi" w:eastAsia="Calibri" w:hAnsiTheme="minorHAnsi" w:cstheme="minorHAnsi"/>
          <w:color w:val="000000"/>
          <w:sz w:val="18"/>
          <w:szCs w:val="18"/>
          <w:lang w:val="fr-FR"/>
        </w:rPr>
        <w:t xml:space="preserve"> </w:t>
      </w:r>
    </w:p>
  </w:footnote>
  <w:footnote w:id="46">
    <w:p w14:paraId="000001C4" w14:textId="77777777" w:rsidR="00490D7E" w:rsidRPr="00C96161" w:rsidRDefault="00707826" w:rsidP="006E267A">
      <w:pPr>
        <w:pBdr>
          <w:top w:val="nil"/>
          <w:left w:val="nil"/>
          <w:bottom w:val="nil"/>
          <w:right w:val="nil"/>
          <w:between w:val="nil"/>
        </w:pBdr>
        <w:spacing w:line="240" w:lineRule="auto"/>
        <w:rPr>
          <w:rFonts w:asciiTheme="minorHAnsi" w:eastAsia="Calibri" w:hAnsiTheme="minorHAnsi" w:cstheme="minorHAnsi"/>
          <w:i/>
          <w:color w:val="000000"/>
          <w:sz w:val="18"/>
          <w:szCs w:val="18"/>
          <w:lang w:val="pt-BR"/>
        </w:rPr>
      </w:pPr>
      <w:r w:rsidRPr="006E267A">
        <w:rPr>
          <w:rFonts w:asciiTheme="minorHAnsi" w:hAnsiTheme="minorHAnsi" w:cstheme="minorHAnsi"/>
          <w:sz w:val="18"/>
          <w:szCs w:val="18"/>
          <w:vertAlign w:val="superscript"/>
        </w:rPr>
        <w:footnoteRef/>
      </w:r>
      <w:r w:rsidRPr="0052709C">
        <w:rPr>
          <w:rFonts w:asciiTheme="minorHAnsi" w:eastAsia="Calibri" w:hAnsiTheme="minorHAnsi" w:cstheme="minorHAnsi"/>
          <w:color w:val="000000"/>
          <w:sz w:val="18"/>
          <w:szCs w:val="18"/>
          <w:vertAlign w:val="superscript"/>
          <w:lang w:val="fr-FR"/>
        </w:rPr>
        <w:t xml:space="preserve"> </w:t>
      </w:r>
      <w:r w:rsidRPr="0052709C">
        <w:rPr>
          <w:rFonts w:asciiTheme="minorHAnsi" w:eastAsia="Calibri" w:hAnsiTheme="minorHAnsi" w:cstheme="minorHAnsi"/>
          <w:color w:val="000000"/>
          <w:sz w:val="18"/>
          <w:szCs w:val="18"/>
          <w:lang w:val="fr-FR"/>
        </w:rPr>
        <w:t xml:space="preserve">Pugliese et al. </w:t>
      </w:r>
      <w:r w:rsidRPr="00C96161">
        <w:rPr>
          <w:rFonts w:asciiTheme="minorHAnsi" w:eastAsia="Calibri" w:hAnsiTheme="minorHAnsi" w:cstheme="minorHAnsi"/>
          <w:color w:val="000000"/>
          <w:sz w:val="18"/>
          <w:szCs w:val="18"/>
          <w:lang w:val="pt-BR"/>
        </w:rPr>
        <w:t xml:space="preserve">(2019). “Capítulo 7: Equidade de Gênero e Diversidade” in </w:t>
      </w:r>
      <w:r w:rsidRPr="00C96161">
        <w:rPr>
          <w:rFonts w:asciiTheme="minorHAnsi" w:eastAsia="Calibri" w:hAnsiTheme="minorHAnsi" w:cstheme="minorHAnsi"/>
          <w:i/>
          <w:color w:val="000000"/>
          <w:sz w:val="18"/>
          <w:szCs w:val="18"/>
          <w:lang w:val="pt-BR"/>
        </w:rPr>
        <w:t>Relatório Temático sobre</w:t>
      </w:r>
    </w:p>
    <w:p w14:paraId="000001C5" w14:textId="77777777" w:rsidR="00490D7E" w:rsidRPr="0052709C"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vertAlign w:val="superscript"/>
          <w:lang w:val="fr-FR"/>
        </w:rPr>
      </w:pPr>
      <w:r w:rsidRPr="00C96161">
        <w:rPr>
          <w:rFonts w:asciiTheme="minorHAnsi" w:eastAsia="Calibri" w:hAnsiTheme="minorHAnsi" w:cstheme="minorHAnsi"/>
          <w:i/>
          <w:color w:val="000000"/>
          <w:sz w:val="18"/>
          <w:szCs w:val="18"/>
          <w:lang w:val="pt-BR"/>
        </w:rPr>
        <w:t>Restauração de Paisagens e Ecossistemas.</w:t>
      </w:r>
      <w:r w:rsidRPr="00C96161">
        <w:rPr>
          <w:rFonts w:asciiTheme="minorHAnsi" w:eastAsia="Calibri" w:hAnsiTheme="minorHAnsi" w:cstheme="minorHAnsi"/>
          <w:color w:val="000000"/>
          <w:sz w:val="18"/>
          <w:szCs w:val="18"/>
          <w:lang w:val="pt-BR"/>
        </w:rPr>
        <w:t xml:space="preserve"> </w:t>
      </w:r>
      <w:r w:rsidRPr="0052709C">
        <w:rPr>
          <w:rFonts w:asciiTheme="minorHAnsi" w:eastAsia="Calibri" w:hAnsiTheme="minorHAnsi" w:cstheme="minorHAnsi"/>
          <w:color w:val="000000"/>
          <w:sz w:val="18"/>
          <w:szCs w:val="18"/>
          <w:lang w:val="fr-FR"/>
        </w:rPr>
        <w:t xml:space="preserve">BPBES. Available online: </w:t>
      </w:r>
      <w:hyperlink r:id="rId53">
        <w:r w:rsidRPr="0052709C">
          <w:rPr>
            <w:rFonts w:asciiTheme="minorHAnsi" w:eastAsia="Calibri" w:hAnsiTheme="minorHAnsi" w:cstheme="minorHAnsi"/>
            <w:color w:val="000000"/>
            <w:sz w:val="18"/>
            <w:szCs w:val="18"/>
            <w:lang w:val="fr-FR"/>
          </w:rPr>
          <w:t>https://www.bpbes.net.br/wp-content/uploads/2019/10/Relatorio_Restauracao_VF.pdf</w:t>
        </w:r>
      </w:hyperlink>
      <w:r w:rsidRPr="0052709C">
        <w:rPr>
          <w:rFonts w:asciiTheme="minorHAnsi" w:eastAsia="Calibri" w:hAnsiTheme="minorHAnsi" w:cstheme="minorHAnsi"/>
          <w:color w:val="000000"/>
          <w:sz w:val="18"/>
          <w:szCs w:val="18"/>
          <w:lang w:val="fr-FR"/>
        </w:rPr>
        <w:t xml:space="preserve"> </w:t>
      </w:r>
    </w:p>
  </w:footnote>
  <w:footnote w:id="47">
    <w:p w14:paraId="000001C6"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vertAlign w:val="superscript"/>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Stakeholder engagement with PACT Gender Inclusion Working Group member. May 2024.</w:t>
      </w:r>
    </w:p>
  </w:footnote>
  <w:footnote w:id="48">
    <w:p w14:paraId="000001C7"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Mongabay (2022). Natural regeneration and women-led initiatives help drive Atlantic Forest Pact. Available online:</w:t>
      </w:r>
      <w:hyperlink r:id="rId54">
        <w:r w:rsidRPr="006E267A">
          <w:rPr>
            <w:rFonts w:asciiTheme="minorHAnsi" w:eastAsia="Calibri" w:hAnsiTheme="minorHAnsi" w:cstheme="minorHAnsi"/>
            <w:color w:val="000000"/>
            <w:sz w:val="18"/>
            <w:szCs w:val="18"/>
          </w:rPr>
          <w:t xml:space="preserve"> https://news.mongabay.com/2022/07/natural-regeneration-and-women-led-initiatives-help-drive-atlantic-forest-pact/</w:t>
        </w:r>
      </w:hyperlink>
    </w:p>
  </w:footnote>
  <w:footnote w:id="49">
    <w:p w14:paraId="000001C8" w14:textId="77777777" w:rsidR="00490D7E" w:rsidRPr="00C96161"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lang w:val="pt-BR"/>
        </w:rPr>
      </w:pPr>
      <w:r w:rsidRPr="006E267A">
        <w:rPr>
          <w:rFonts w:asciiTheme="minorHAnsi" w:hAnsiTheme="minorHAnsi" w:cstheme="minorHAnsi"/>
          <w:sz w:val="18"/>
          <w:szCs w:val="18"/>
          <w:vertAlign w:val="superscript"/>
        </w:rPr>
        <w:footnoteRef/>
      </w:r>
      <w:r w:rsidRPr="00E25E81">
        <w:rPr>
          <w:rFonts w:asciiTheme="minorHAnsi" w:hAnsiTheme="minorHAnsi" w:cstheme="minorHAnsi"/>
          <w:color w:val="000000"/>
          <w:sz w:val="18"/>
          <w:szCs w:val="18"/>
          <w:lang w:val="pt-BR"/>
        </w:rPr>
        <w:t xml:space="preserve"> </w:t>
      </w:r>
      <w:r w:rsidRPr="00E25E81">
        <w:rPr>
          <w:rFonts w:asciiTheme="minorHAnsi" w:eastAsia="Calibri" w:hAnsiTheme="minorHAnsi" w:cstheme="minorHAnsi"/>
          <w:color w:val="000000"/>
          <w:sz w:val="18"/>
          <w:szCs w:val="18"/>
          <w:lang w:val="pt-BR"/>
        </w:rPr>
        <w:t xml:space="preserve">Panorama &amp; IGBE (2022). </w:t>
      </w:r>
      <w:r w:rsidRPr="00E25E81">
        <w:rPr>
          <w:rFonts w:asciiTheme="minorHAnsi" w:eastAsia="Calibri" w:hAnsiTheme="minorHAnsi" w:cstheme="minorHAnsi"/>
          <w:i/>
          <w:color w:val="000000"/>
          <w:sz w:val="18"/>
          <w:szCs w:val="18"/>
          <w:lang w:val="pt-BR"/>
        </w:rPr>
        <w:t>Census 2022</w:t>
      </w:r>
      <w:r w:rsidRPr="00E25E81">
        <w:rPr>
          <w:rFonts w:asciiTheme="minorHAnsi" w:eastAsia="Calibri" w:hAnsiTheme="minorHAnsi" w:cstheme="minorHAnsi"/>
          <w:color w:val="000000"/>
          <w:sz w:val="18"/>
          <w:szCs w:val="18"/>
          <w:lang w:val="pt-BR"/>
        </w:rPr>
        <w:t xml:space="preserve">. </w:t>
      </w:r>
      <w:r w:rsidRPr="00C96161">
        <w:rPr>
          <w:rFonts w:asciiTheme="minorHAnsi" w:eastAsia="Calibri" w:hAnsiTheme="minorHAnsi" w:cstheme="minorHAnsi"/>
          <w:color w:val="000000"/>
          <w:sz w:val="18"/>
          <w:szCs w:val="18"/>
          <w:lang w:val="pt-BR"/>
        </w:rPr>
        <w:t>Available online:</w:t>
      </w:r>
      <w:hyperlink r:id="rId55">
        <w:r w:rsidRPr="00C96161">
          <w:rPr>
            <w:rFonts w:asciiTheme="minorHAnsi" w:eastAsia="Calibri" w:hAnsiTheme="minorHAnsi" w:cstheme="minorHAnsi"/>
            <w:color w:val="000000"/>
            <w:sz w:val="18"/>
            <w:szCs w:val="18"/>
            <w:lang w:val="pt-BR"/>
          </w:rPr>
          <w:t xml:space="preserve"> </w:t>
        </w:r>
      </w:hyperlink>
      <w:hyperlink r:id="rId56">
        <w:r w:rsidRPr="00C96161">
          <w:rPr>
            <w:rFonts w:asciiTheme="minorHAnsi" w:eastAsia="Calibri" w:hAnsiTheme="minorHAnsi" w:cstheme="minorHAnsi"/>
            <w:color w:val="1155CC"/>
            <w:sz w:val="18"/>
            <w:szCs w:val="18"/>
            <w:u w:val="single"/>
            <w:lang w:val="pt-BR"/>
          </w:rPr>
          <w:t>https://censo2022.ibge.gov.br/panorama/?utm_source=ibge&amp;utm_medium=home&amp;utm_campaign=portal</w:t>
        </w:r>
      </w:hyperlink>
      <w:r w:rsidRPr="00C96161">
        <w:rPr>
          <w:rFonts w:asciiTheme="minorHAnsi" w:eastAsia="Calibri" w:hAnsiTheme="minorHAnsi" w:cstheme="minorHAnsi"/>
          <w:color w:val="000000"/>
          <w:sz w:val="18"/>
          <w:szCs w:val="18"/>
          <w:lang w:val="pt-BR"/>
        </w:rPr>
        <w:t xml:space="preserve"> </w:t>
      </w:r>
    </w:p>
  </w:footnote>
  <w:footnote w:id="50">
    <w:p w14:paraId="000001C9" w14:textId="77777777" w:rsidR="00490D7E" w:rsidRPr="006E267A" w:rsidRDefault="00707826" w:rsidP="006E267A">
      <w:pPr>
        <w:pBdr>
          <w:top w:val="nil"/>
          <w:left w:val="nil"/>
          <w:bottom w:val="nil"/>
          <w:right w:val="nil"/>
          <w:between w:val="nil"/>
        </w:pBdr>
        <w:spacing w:line="240" w:lineRule="auto"/>
        <w:rPr>
          <w:rFonts w:asciiTheme="minorHAnsi" w:hAnsiTheme="minorHAnsi" w:cstheme="minorHAnsi"/>
          <w:color w:val="000000"/>
          <w:sz w:val="18"/>
          <w:szCs w:val="18"/>
        </w:rPr>
      </w:pPr>
      <w:r w:rsidRPr="006E267A">
        <w:rPr>
          <w:rFonts w:asciiTheme="minorHAnsi" w:hAnsiTheme="minorHAnsi" w:cstheme="minorHAnsi"/>
          <w:sz w:val="18"/>
          <w:szCs w:val="18"/>
          <w:vertAlign w:val="superscript"/>
        </w:rPr>
        <w:footnoteRef/>
      </w:r>
      <w:r w:rsidRPr="00C96161">
        <w:rPr>
          <w:rFonts w:asciiTheme="minorHAnsi" w:hAnsiTheme="minorHAnsi" w:cstheme="minorHAnsi"/>
          <w:color w:val="000000"/>
          <w:sz w:val="18"/>
          <w:szCs w:val="18"/>
          <w:lang w:val="pt-BR"/>
        </w:rPr>
        <w:t xml:space="preserve"> </w:t>
      </w:r>
      <w:r w:rsidRPr="00C96161">
        <w:rPr>
          <w:rFonts w:asciiTheme="minorHAnsi" w:eastAsia="Calibri" w:hAnsiTheme="minorHAnsi" w:cstheme="minorHAnsi"/>
          <w:color w:val="000000"/>
          <w:sz w:val="18"/>
          <w:szCs w:val="18"/>
          <w:lang w:val="pt-BR"/>
        </w:rPr>
        <w:t xml:space="preserve">Ministério do Meio Ambiente &amp; IBGE (2022). </w:t>
      </w:r>
      <w:r w:rsidRPr="006E267A">
        <w:rPr>
          <w:rFonts w:asciiTheme="minorHAnsi" w:eastAsia="Calibri" w:hAnsiTheme="minorHAnsi" w:cstheme="minorHAnsi"/>
          <w:i/>
          <w:color w:val="000000"/>
          <w:sz w:val="18"/>
          <w:szCs w:val="18"/>
        </w:rPr>
        <w:t>Approximate population within biomes in Brazil</w:t>
      </w:r>
      <w:r w:rsidRPr="006E267A">
        <w:rPr>
          <w:rFonts w:asciiTheme="minorHAnsi" w:eastAsia="Calibri" w:hAnsiTheme="minorHAnsi" w:cstheme="minorHAnsi"/>
          <w:color w:val="000000"/>
          <w:sz w:val="18"/>
          <w:szCs w:val="18"/>
        </w:rPr>
        <w:t>. Available online:</w:t>
      </w:r>
      <w:hyperlink r:id="rId57">
        <w:r w:rsidRPr="006E267A">
          <w:rPr>
            <w:rFonts w:asciiTheme="minorHAnsi" w:eastAsia="Calibri" w:hAnsiTheme="minorHAnsi" w:cstheme="minorHAnsi"/>
            <w:color w:val="000000"/>
            <w:sz w:val="18"/>
            <w:szCs w:val="18"/>
          </w:rPr>
          <w:t xml:space="preserve"> </w:t>
        </w:r>
      </w:hyperlink>
      <w:hyperlink r:id="rId58">
        <w:r w:rsidRPr="006E267A">
          <w:rPr>
            <w:rFonts w:asciiTheme="minorHAnsi" w:eastAsia="Calibri" w:hAnsiTheme="minorHAnsi" w:cstheme="minorHAnsi"/>
            <w:color w:val="1155CC"/>
            <w:sz w:val="18"/>
            <w:szCs w:val="18"/>
            <w:u w:val="single"/>
          </w:rPr>
          <w:t>https://mapsontheweb.zoom-maps.com/post/675468447498551296/approximate-population-within-natural-biomes-in</w:t>
        </w:r>
      </w:hyperlink>
    </w:p>
  </w:footnote>
  <w:footnote w:id="51">
    <w:p w14:paraId="000001CA"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Funbio (2021). Women at the forefront: GEF Terrestre sees an increase in female participation in decision-making. Available online: </w:t>
      </w:r>
      <w:hyperlink r:id="rId59">
        <w:r w:rsidRPr="006E267A">
          <w:rPr>
            <w:rFonts w:asciiTheme="minorHAnsi" w:eastAsia="Calibri" w:hAnsiTheme="minorHAnsi" w:cstheme="minorHAnsi"/>
            <w:color w:val="1155CC"/>
            <w:sz w:val="18"/>
            <w:szCs w:val="18"/>
            <w:u w:val="single"/>
          </w:rPr>
          <w:t>https://www.funbio.org.br/en/women-at-the-forefront-gef-terrestre-sees-an-increase-in-female-participation-in-decision-making/</w:t>
        </w:r>
      </w:hyperlink>
      <w:r w:rsidRPr="006E267A">
        <w:rPr>
          <w:rFonts w:asciiTheme="minorHAnsi" w:eastAsia="Calibri" w:hAnsiTheme="minorHAnsi" w:cstheme="minorHAnsi"/>
          <w:color w:val="000000"/>
          <w:sz w:val="18"/>
          <w:szCs w:val="18"/>
        </w:rPr>
        <w:t xml:space="preserve"> </w:t>
      </w:r>
    </w:p>
  </w:footnote>
  <w:footnote w:id="52">
    <w:p w14:paraId="000001CB" w14:textId="77777777" w:rsidR="00490D7E" w:rsidRPr="00E25E81"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MMA, IDB &amp; Funbio (2020). Conservation, Restoration and Sustainable Management Strategies to Enhance Caatinga, Pampa and Pantanal Biodiversity: GEF Terrestre. </w:t>
      </w:r>
      <w:r w:rsidRPr="00E25E81">
        <w:rPr>
          <w:rFonts w:asciiTheme="minorHAnsi" w:eastAsia="Calibri" w:hAnsiTheme="minorHAnsi" w:cstheme="minorHAnsi"/>
          <w:color w:val="000000"/>
          <w:sz w:val="18"/>
          <w:szCs w:val="18"/>
        </w:rPr>
        <w:t xml:space="preserve">Available online: </w:t>
      </w:r>
      <w:hyperlink r:id="rId60">
        <w:r w:rsidRPr="00E25E81">
          <w:rPr>
            <w:rFonts w:asciiTheme="minorHAnsi" w:eastAsia="Calibri" w:hAnsiTheme="minorHAnsi" w:cstheme="minorHAnsi"/>
            <w:color w:val="000000"/>
            <w:sz w:val="18"/>
            <w:szCs w:val="18"/>
          </w:rPr>
          <w:t>https://www.thegef.org/projects-operations/projects/4859</w:t>
        </w:r>
      </w:hyperlink>
      <w:r w:rsidRPr="00E25E81">
        <w:rPr>
          <w:rFonts w:asciiTheme="minorHAnsi" w:eastAsia="Calibri" w:hAnsiTheme="minorHAnsi" w:cstheme="minorHAnsi"/>
          <w:color w:val="000000"/>
          <w:sz w:val="18"/>
          <w:szCs w:val="18"/>
        </w:rPr>
        <w:t xml:space="preserve">  </w:t>
      </w:r>
    </w:p>
  </w:footnote>
  <w:footnote w:id="53">
    <w:p w14:paraId="000001CC" w14:textId="77777777" w:rsidR="00490D7E" w:rsidRPr="00E25E81"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E25E81">
        <w:rPr>
          <w:rFonts w:asciiTheme="minorHAnsi" w:eastAsia="Calibri" w:hAnsiTheme="minorHAnsi" w:cstheme="minorHAnsi"/>
          <w:color w:val="000000"/>
          <w:sz w:val="18"/>
          <w:szCs w:val="18"/>
        </w:rPr>
        <w:t xml:space="preserve"> Ibid.</w:t>
      </w:r>
    </w:p>
  </w:footnote>
  <w:footnote w:id="54">
    <w:p w14:paraId="000001CD" w14:textId="77777777" w:rsidR="00490D7E" w:rsidRPr="0052709C" w:rsidRDefault="00707826" w:rsidP="006E267A">
      <w:pPr>
        <w:pBdr>
          <w:top w:val="nil"/>
          <w:left w:val="nil"/>
          <w:bottom w:val="nil"/>
          <w:right w:val="nil"/>
          <w:between w:val="nil"/>
        </w:pBdr>
        <w:spacing w:line="240" w:lineRule="auto"/>
        <w:rPr>
          <w:rFonts w:asciiTheme="minorHAnsi" w:hAnsiTheme="minorHAnsi" w:cstheme="minorHAnsi"/>
          <w:color w:val="000000"/>
          <w:sz w:val="18"/>
          <w:szCs w:val="18"/>
          <w:lang w:val="fr-FR"/>
        </w:rPr>
      </w:pPr>
      <w:r w:rsidRPr="006E267A">
        <w:rPr>
          <w:rFonts w:asciiTheme="minorHAnsi" w:hAnsiTheme="minorHAnsi" w:cstheme="minorHAnsi"/>
          <w:sz w:val="18"/>
          <w:szCs w:val="18"/>
          <w:vertAlign w:val="superscript"/>
        </w:rPr>
        <w:footnoteRef/>
      </w:r>
      <w:r w:rsidRPr="00C96161">
        <w:rPr>
          <w:rFonts w:asciiTheme="minorHAnsi" w:hAnsiTheme="minorHAnsi" w:cstheme="minorHAnsi"/>
          <w:color w:val="000000"/>
          <w:sz w:val="18"/>
          <w:szCs w:val="18"/>
          <w:lang w:val="pt-BR"/>
        </w:rPr>
        <w:t xml:space="preserve"> </w:t>
      </w:r>
      <w:r w:rsidRPr="00C96161">
        <w:rPr>
          <w:rFonts w:asciiTheme="minorHAnsi" w:eastAsia="Calibri" w:hAnsiTheme="minorHAnsi" w:cstheme="minorHAnsi"/>
          <w:color w:val="000000"/>
          <w:sz w:val="18"/>
          <w:szCs w:val="18"/>
          <w:lang w:val="pt-BR"/>
        </w:rPr>
        <w:t xml:space="preserve">Ministério do Meio Ambiente &amp; IBGE (2022). </w:t>
      </w:r>
      <w:r w:rsidRPr="006E267A">
        <w:rPr>
          <w:rFonts w:asciiTheme="minorHAnsi" w:eastAsia="Calibri" w:hAnsiTheme="minorHAnsi" w:cstheme="minorHAnsi"/>
          <w:i/>
          <w:color w:val="000000"/>
          <w:sz w:val="18"/>
          <w:szCs w:val="18"/>
        </w:rPr>
        <w:t>Approximate population within biomes in Brazil</w:t>
      </w:r>
      <w:r w:rsidRPr="006E267A">
        <w:rPr>
          <w:rFonts w:asciiTheme="minorHAnsi" w:eastAsia="Calibri" w:hAnsiTheme="minorHAnsi" w:cstheme="minorHAnsi"/>
          <w:color w:val="000000"/>
          <w:sz w:val="18"/>
          <w:szCs w:val="18"/>
        </w:rPr>
        <w:t xml:space="preserve">. </w:t>
      </w:r>
      <w:r w:rsidRPr="0052709C">
        <w:rPr>
          <w:rFonts w:asciiTheme="minorHAnsi" w:eastAsia="Calibri" w:hAnsiTheme="minorHAnsi" w:cstheme="minorHAnsi"/>
          <w:color w:val="000000"/>
          <w:sz w:val="18"/>
          <w:szCs w:val="18"/>
          <w:lang w:val="fr-FR"/>
        </w:rPr>
        <w:t>Available online:</w:t>
      </w:r>
      <w:hyperlink r:id="rId61">
        <w:r w:rsidRPr="0052709C">
          <w:rPr>
            <w:rFonts w:asciiTheme="minorHAnsi" w:eastAsia="Calibri" w:hAnsiTheme="minorHAnsi" w:cstheme="minorHAnsi"/>
            <w:color w:val="000000"/>
            <w:sz w:val="18"/>
            <w:szCs w:val="18"/>
            <w:lang w:val="fr-FR"/>
          </w:rPr>
          <w:t xml:space="preserve"> </w:t>
        </w:r>
      </w:hyperlink>
      <w:hyperlink r:id="rId62">
        <w:r w:rsidRPr="0052709C">
          <w:rPr>
            <w:rFonts w:asciiTheme="minorHAnsi" w:eastAsia="Calibri" w:hAnsiTheme="minorHAnsi" w:cstheme="minorHAnsi"/>
            <w:color w:val="1155CC"/>
            <w:sz w:val="18"/>
            <w:szCs w:val="18"/>
            <w:u w:val="single"/>
            <w:lang w:val="fr-FR"/>
          </w:rPr>
          <w:t>https://mapsontheweb.zoom-maps.com/post/675468447498551296/approximate-population-within-natural-biomes-in</w:t>
        </w:r>
      </w:hyperlink>
    </w:p>
  </w:footnote>
  <w:footnote w:id="55">
    <w:p w14:paraId="000001CE" w14:textId="77777777" w:rsidR="00490D7E" w:rsidRPr="0052709C"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lang w:val="fr-FR"/>
        </w:rPr>
      </w:pPr>
      <w:r w:rsidRPr="006E267A">
        <w:rPr>
          <w:rFonts w:asciiTheme="minorHAnsi" w:hAnsiTheme="minorHAnsi" w:cstheme="minorHAnsi"/>
          <w:sz w:val="18"/>
          <w:szCs w:val="18"/>
          <w:vertAlign w:val="superscript"/>
        </w:rPr>
        <w:footnoteRef/>
      </w:r>
      <w:r w:rsidRPr="0052709C">
        <w:rPr>
          <w:rFonts w:asciiTheme="minorHAnsi" w:eastAsia="Calibri" w:hAnsiTheme="minorHAnsi" w:cstheme="minorHAnsi"/>
          <w:color w:val="000000"/>
          <w:sz w:val="18"/>
          <w:szCs w:val="18"/>
          <w:lang w:val="fr-FR"/>
        </w:rPr>
        <w:t xml:space="preserve"> Panorama &amp; IGBE (2022). </w:t>
      </w:r>
      <w:r w:rsidRPr="0052709C">
        <w:rPr>
          <w:rFonts w:asciiTheme="minorHAnsi" w:eastAsia="Calibri" w:hAnsiTheme="minorHAnsi" w:cstheme="minorHAnsi"/>
          <w:i/>
          <w:color w:val="000000"/>
          <w:sz w:val="18"/>
          <w:szCs w:val="18"/>
          <w:lang w:val="fr-FR"/>
        </w:rPr>
        <w:t>Census 2022</w:t>
      </w:r>
      <w:r w:rsidRPr="0052709C">
        <w:rPr>
          <w:rFonts w:asciiTheme="minorHAnsi" w:eastAsia="Calibri" w:hAnsiTheme="minorHAnsi" w:cstheme="minorHAnsi"/>
          <w:color w:val="000000"/>
          <w:sz w:val="18"/>
          <w:szCs w:val="18"/>
          <w:lang w:val="fr-FR"/>
        </w:rPr>
        <w:t>. Available online:</w:t>
      </w:r>
      <w:hyperlink r:id="rId63">
        <w:r w:rsidRPr="0052709C">
          <w:rPr>
            <w:rFonts w:asciiTheme="minorHAnsi" w:eastAsia="Calibri" w:hAnsiTheme="minorHAnsi" w:cstheme="minorHAnsi"/>
            <w:color w:val="000000"/>
            <w:sz w:val="18"/>
            <w:szCs w:val="18"/>
            <w:lang w:val="fr-FR"/>
          </w:rPr>
          <w:t xml:space="preserve"> </w:t>
        </w:r>
      </w:hyperlink>
      <w:hyperlink r:id="rId64">
        <w:r w:rsidRPr="0052709C">
          <w:rPr>
            <w:rFonts w:asciiTheme="minorHAnsi" w:eastAsia="Calibri" w:hAnsiTheme="minorHAnsi" w:cstheme="minorHAnsi"/>
            <w:color w:val="1155CC"/>
            <w:sz w:val="18"/>
            <w:szCs w:val="18"/>
            <w:u w:val="single"/>
            <w:lang w:val="fr-FR"/>
          </w:rPr>
          <w:t>https://censo2022.ibge.gov.br/panorama/?utm_source=ibge&amp;utm_medium=home&amp;utm_campaign=portal</w:t>
        </w:r>
      </w:hyperlink>
      <w:r w:rsidRPr="0052709C">
        <w:rPr>
          <w:rFonts w:asciiTheme="minorHAnsi" w:eastAsia="Calibri" w:hAnsiTheme="minorHAnsi" w:cstheme="minorHAnsi"/>
          <w:color w:val="000000"/>
          <w:sz w:val="18"/>
          <w:szCs w:val="18"/>
          <w:lang w:val="fr-FR"/>
        </w:rPr>
        <w:t xml:space="preserve"> </w:t>
      </w:r>
    </w:p>
  </w:footnote>
  <w:footnote w:id="56">
    <w:p w14:paraId="000001CF"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E25E81">
        <w:rPr>
          <w:rFonts w:asciiTheme="minorHAnsi" w:eastAsia="Calibri" w:hAnsiTheme="minorHAnsi" w:cstheme="minorHAnsi"/>
          <w:color w:val="000000"/>
          <w:sz w:val="18"/>
          <w:szCs w:val="18"/>
          <w:lang w:val="es-MX"/>
        </w:rPr>
        <w:t xml:space="preserve"> Rivas, M., et al. </w:t>
      </w:r>
      <w:r w:rsidRPr="006E267A">
        <w:rPr>
          <w:rFonts w:asciiTheme="minorHAnsi" w:eastAsia="Calibri" w:hAnsiTheme="minorHAnsi" w:cstheme="minorHAnsi"/>
          <w:color w:val="000000"/>
          <w:sz w:val="18"/>
          <w:szCs w:val="18"/>
        </w:rPr>
        <w:t xml:space="preserve">(2023). Diversity of vegetable landraces in the Pampa biome of Brazil and Uruguay: utilization and conservation strategies. Available online: </w:t>
      </w:r>
      <w:hyperlink r:id="rId65">
        <w:r w:rsidRPr="006E267A">
          <w:rPr>
            <w:rFonts w:asciiTheme="minorHAnsi" w:eastAsia="Calibri" w:hAnsiTheme="minorHAnsi" w:cstheme="minorHAnsi"/>
            <w:color w:val="000000"/>
            <w:sz w:val="18"/>
            <w:szCs w:val="18"/>
          </w:rPr>
          <w:t>https://www.frontiersin.org/journals/plant-science/articles/10.3389/fpls.2023.1232589/full</w:t>
        </w:r>
      </w:hyperlink>
      <w:r w:rsidRPr="006E267A">
        <w:rPr>
          <w:rFonts w:asciiTheme="minorHAnsi" w:eastAsia="Calibri" w:hAnsiTheme="minorHAnsi" w:cstheme="minorHAnsi"/>
          <w:color w:val="000000"/>
          <w:sz w:val="18"/>
          <w:szCs w:val="18"/>
        </w:rPr>
        <w:t xml:space="preserve"> </w:t>
      </w:r>
    </w:p>
  </w:footnote>
  <w:footnote w:id="57">
    <w:p w14:paraId="000001D0"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Leal, O.F. (1989). Gauchos: Male Culture and Identity in the Pampas. Available online: </w:t>
      </w:r>
      <w:hyperlink r:id="rId66">
        <w:r w:rsidRPr="006E267A">
          <w:rPr>
            <w:rFonts w:asciiTheme="minorHAnsi" w:eastAsia="Calibri" w:hAnsiTheme="minorHAnsi" w:cstheme="minorHAnsi"/>
            <w:color w:val="000000"/>
            <w:sz w:val="18"/>
            <w:szCs w:val="18"/>
          </w:rPr>
          <w:t>https://lume.ufrgs.br/bitstream/handle/10183/69822/000024763.pdf;jsessionid=D22CA6EAE788A38130551FAB51210466?sequence=1</w:t>
        </w:r>
      </w:hyperlink>
      <w:r w:rsidRPr="006E267A">
        <w:rPr>
          <w:rFonts w:asciiTheme="minorHAnsi" w:eastAsia="Calibri" w:hAnsiTheme="minorHAnsi" w:cstheme="minorHAnsi"/>
          <w:color w:val="000000"/>
          <w:sz w:val="18"/>
          <w:szCs w:val="18"/>
        </w:rPr>
        <w:t xml:space="preserve"> </w:t>
      </w:r>
    </w:p>
  </w:footnote>
  <w:footnote w:id="58">
    <w:p w14:paraId="000001D1"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Yes Magazine (2023). Indigenous Women March for Their Rights in Brazil. Available online: </w:t>
      </w:r>
      <w:hyperlink r:id="rId67">
        <w:r w:rsidRPr="006E267A">
          <w:rPr>
            <w:rFonts w:asciiTheme="minorHAnsi" w:eastAsia="Calibri" w:hAnsiTheme="minorHAnsi" w:cstheme="minorHAnsi"/>
            <w:color w:val="000000"/>
            <w:sz w:val="18"/>
            <w:szCs w:val="18"/>
          </w:rPr>
          <w:t>https://www.yesmagazine.org/social-justice/2023/09/20/brazil-indigenous-women-march</w:t>
        </w:r>
      </w:hyperlink>
      <w:r w:rsidRPr="006E267A">
        <w:rPr>
          <w:rFonts w:asciiTheme="minorHAnsi" w:eastAsia="Calibri" w:hAnsiTheme="minorHAnsi" w:cstheme="minorHAnsi"/>
          <w:color w:val="000000"/>
          <w:sz w:val="18"/>
          <w:szCs w:val="18"/>
        </w:rPr>
        <w:t xml:space="preserve"> </w:t>
      </w:r>
    </w:p>
  </w:footnote>
  <w:footnote w:id="59">
    <w:p w14:paraId="000001D2" w14:textId="77777777" w:rsidR="00490D7E" w:rsidRPr="0052709C"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vertAlign w:val="superscript"/>
          <w:lang w:val="fr-FR"/>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Think Pieces Review (2023). </w:t>
      </w:r>
      <w:r w:rsidRPr="006E267A">
        <w:rPr>
          <w:rFonts w:asciiTheme="minorHAnsi" w:eastAsia="Calibri" w:hAnsiTheme="minorHAnsi" w:cstheme="minorHAnsi"/>
          <w:i/>
          <w:color w:val="000000"/>
          <w:sz w:val="18"/>
          <w:szCs w:val="18"/>
        </w:rPr>
        <w:t xml:space="preserve">Those Who Bathe Within the Anthropocene. </w:t>
      </w:r>
      <w:r w:rsidRPr="0052709C">
        <w:rPr>
          <w:rFonts w:asciiTheme="minorHAnsi" w:eastAsia="Calibri" w:hAnsiTheme="minorHAnsi" w:cstheme="minorHAnsi"/>
          <w:color w:val="000000"/>
          <w:sz w:val="18"/>
          <w:szCs w:val="18"/>
          <w:lang w:val="fr-FR"/>
        </w:rPr>
        <w:t xml:space="preserve">Available online: </w:t>
      </w:r>
      <w:hyperlink r:id="rId68">
        <w:r w:rsidRPr="0052709C">
          <w:rPr>
            <w:rFonts w:asciiTheme="minorHAnsi" w:eastAsia="Calibri" w:hAnsiTheme="minorHAnsi" w:cstheme="minorHAnsi"/>
            <w:color w:val="1155CC"/>
            <w:sz w:val="18"/>
            <w:szCs w:val="18"/>
            <w:u w:val="single"/>
            <w:lang w:val="fr-FR"/>
          </w:rPr>
          <w:t>https://thinkpieces-review.co.uk/2023/11/10/those-who-bathe/</w:t>
        </w:r>
      </w:hyperlink>
      <w:r w:rsidRPr="0052709C">
        <w:rPr>
          <w:rFonts w:asciiTheme="minorHAnsi" w:eastAsia="Calibri" w:hAnsiTheme="minorHAnsi" w:cstheme="minorHAnsi"/>
          <w:color w:val="000000"/>
          <w:sz w:val="18"/>
          <w:szCs w:val="18"/>
          <w:lang w:val="fr-FR"/>
        </w:rPr>
        <w:t xml:space="preserve"> </w:t>
      </w:r>
    </w:p>
  </w:footnote>
  <w:footnote w:id="60">
    <w:p w14:paraId="000001D3" w14:textId="77777777" w:rsidR="00490D7E" w:rsidRPr="0052709C"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lang w:val="fr-FR"/>
        </w:rPr>
      </w:pPr>
      <w:r w:rsidRPr="006E267A">
        <w:rPr>
          <w:rFonts w:asciiTheme="minorHAnsi" w:hAnsiTheme="minorHAnsi" w:cstheme="minorHAnsi"/>
          <w:sz w:val="18"/>
          <w:szCs w:val="18"/>
          <w:vertAlign w:val="superscript"/>
        </w:rPr>
        <w:footnoteRef/>
      </w:r>
      <w:r w:rsidRPr="0052709C">
        <w:rPr>
          <w:rFonts w:asciiTheme="minorHAnsi" w:eastAsia="Calibri" w:hAnsiTheme="minorHAnsi" w:cstheme="minorHAnsi"/>
          <w:color w:val="000000"/>
          <w:sz w:val="18"/>
          <w:szCs w:val="18"/>
          <w:lang w:val="fr-FR"/>
        </w:rPr>
        <w:t xml:space="preserve"> SciELO Brazil (2022). </w:t>
      </w:r>
      <w:r w:rsidRPr="006E267A">
        <w:rPr>
          <w:rFonts w:asciiTheme="minorHAnsi" w:eastAsia="Calibri" w:hAnsiTheme="minorHAnsi" w:cstheme="minorHAnsi"/>
          <w:color w:val="000000"/>
          <w:sz w:val="18"/>
          <w:szCs w:val="18"/>
        </w:rPr>
        <w:t xml:space="preserve">Public Management and Gender: women experiences in entering and occupying positions in a Brazilian city. </w:t>
      </w:r>
      <w:r w:rsidRPr="0052709C">
        <w:rPr>
          <w:rFonts w:asciiTheme="minorHAnsi" w:eastAsia="Calibri" w:hAnsiTheme="minorHAnsi" w:cstheme="minorHAnsi"/>
          <w:color w:val="000000"/>
          <w:sz w:val="18"/>
          <w:szCs w:val="18"/>
          <w:lang w:val="fr-FR"/>
        </w:rPr>
        <w:t xml:space="preserve">Available online: </w:t>
      </w:r>
      <w:hyperlink r:id="rId69">
        <w:r w:rsidRPr="0052709C">
          <w:rPr>
            <w:rFonts w:asciiTheme="minorHAnsi" w:eastAsia="Calibri" w:hAnsiTheme="minorHAnsi" w:cstheme="minorHAnsi"/>
            <w:color w:val="000000"/>
            <w:sz w:val="18"/>
            <w:szCs w:val="18"/>
            <w:lang w:val="fr-FR"/>
          </w:rPr>
          <w:t>https://www.scielo.br/j/urbe/a/B45sLZhxZ7tKdhvWB6nCv6H/</w:t>
        </w:r>
      </w:hyperlink>
      <w:r w:rsidRPr="0052709C">
        <w:rPr>
          <w:rFonts w:asciiTheme="minorHAnsi" w:eastAsia="Calibri" w:hAnsiTheme="minorHAnsi" w:cstheme="minorHAnsi"/>
          <w:color w:val="000000"/>
          <w:sz w:val="18"/>
          <w:szCs w:val="18"/>
          <w:lang w:val="fr-FR"/>
        </w:rPr>
        <w:t xml:space="preserve"> </w:t>
      </w:r>
    </w:p>
  </w:footnote>
  <w:footnote w:id="61">
    <w:p w14:paraId="000001D4" w14:textId="77777777" w:rsidR="00490D7E" w:rsidRPr="00C96161"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vertAlign w:val="superscript"/>
          <w:lang w:val="pt-BR"/>
        </w:rPr>
      </w:pPr>
      <w:r w:rsidRPr="006E267A">
        <w:rPr>
          <w:rFonts w:asciiTheme="minorHAnsi" w:hAnsiTheme="minorHAnsi" w:cstheme="minorHAnsi"/>
          <w:sz w:val="18"/>
          <w:szCs w:val="18"/>
          <w:vertAlign w:val="superscript"/>
        </w:rPr>
        <w:footnoteRef/>
      </w:r>
      <w:r w:rsidRPr="0052709C">
        <w:rPr>
          <w:rFonts w:asciiTheme="minorHAnsi" w:eastAsia="Calibri" w:hAnsiTheme="minorHAnsi" w:cstheme="minorHAnsi"/>
          <w:color w:val="000000"/>
          <w:sz w:val="18"/>
          <w:szCs w:val="18"/>
          <w:vertAlign w:val="superscript"/>
          <w:lang w:val="fr-FR"/>
        </w:rPr>
        <w:t xml:space="preserve"> Pugliese et al. </w:t>
      </w:r>
      <w:r w:rsidRPr="00C96161">
        <w:rPr>
          <w:rFonts w:asciiTheme="minorHAnsi" w:eastAsia="Calibri" w:hAnsiTheme="minorHAnsi" w:cstheme="minorHAnsi"/>
          <w:color w:val="000000"/>
          <w:sz w:val="18"/>
          <w:szCs w:val="18"/>
          <w:vertAlign w:val="superscript"/>
          <w:lang w:val="pt-BR"/>
        </w:rPr>
        <w:t>(2019). “Capítulo 7: Equidade de Gênero e Diversidade” in Relatório Temático sobre</w:t>
      </w:r>
    </w:p>
    <w:p w14:paraId="000001D5" w14:textId="77777777" w:rsidR="00490D7E" w:rsidRPr="0052709C"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vertAlign w:val="superscript"/>
          <w:lang w:val="fr-FR"/>
        </w:rPr>
      </w:pPr>
      <w:r w:rsidRPr="00C96161">
        <w:rPr>
          <w:rFonts w:asciiTheme="minorHAnsi" w:eastAsia="Calibri" w:hAnsiTheme="minorHAnsi" w:cstheme="minorHAnsi"/>
          <w:color w:val="000000"/>
          <w:sz w:val="18"/>
          <w:szCs w:val="18"/>
          <w:vertAlign w:val="superscript"/>
          <w:lang w:val="pt-BR"/>
        </w:rPr>
        <w:t xml:space="preserve">Restauração de Paisagens e Ecossistemas. </w:t>
      </w:r>
      <w:r w:rsidRPr="0052709C">
        <w:rPr>
          <w:rFonts w:asciiTheme="minorHAnsi" w:eastAsia="Calibri" w:hAnsiTheme="minorHAnsi" w:cstheme="minorHAnsi"/>
          <w:color w:val="000000"/>
          <w:sz w:val="18"/>
          <w:szCs w:val="18"/>
          <w:vertAlign w:val="superscript"/>
          <w:lang w:val="fr-FR"/>
        </w:rPr>
        <w:t xml:space="preserve">BPBES. Available online: </w:t>
      </w:r>
      <w:hyperlink r:id="rId70">
        <w:r w:rsidRPr="0052709C">
          <w:rPr>
            <w:rFonts w:asciiTheme="minorHAnsi" w:eastAsia="Calibri" w:hAnsiTheme="minorHAnsi" w:cstheme="minorHAnsi"/>
            <w:color w:val="000000"/>
            <w:sz w:val="18"/>
            <w:szCs w:val="18"/>
            <w:vertAlign w:val="superscript"/>
            <w:lang w:val="fr-FR"/>
          </w:rPr>
          <w:t>https://www.bpbes.net.br/wp-content/uploads/2019/10/Relatorio_Restauracao_VF.pdf</w:t>
        </w:r>
      </w:hyperlink>
      <w:r w:rsidRPr="0052709C">
        <w:rPr>
          <w:rFonts w:asciiTheme="minorHAnsi" w:eastAsia="Calibri" w:hAnsiTheme="minorHAnsi" w:cstheme="minorHAnsi"/>
          <w:color w:val="000000"/>
          <w:sz w:val="18"/>
          <w:szCs w:val="18"/>
          <w:vertAlign w:val="superscript"/>
          <w:lang w:val="fr-FR"/>
        </w:rPr>
        <w:t xml:space="preserve"> </w:t>
      </w:r>
    </w:p>
  </w:footnote>
  <w:footnote w:id="62">
    <w:p w14:paraId="000001D6" w14:textId="77777777" w:rsidR="00490D7E" w:rsidRPr="0052709C" w:rsidRDefault="00707826" w:rsidP="006E267A">
      <w:pPr>
        <w:pBdr>
          <w:top w:val="nil"/>
          <w:left w:val="nil"/>
          <w:bottom w:val="nil"/>
          <w:right w:val="nil"/>
          <w:between w:val="nil"/>
        </w:pBdr>
        <w:spacing w:line="240" w:lineRule="auto"/>
        <w:rPr>
          <w:rFonts w:asciiTheme="minorHAnsi" w:hAnsiTheme="minorHAnsi" w:cstheme="minorHAnsi"/>
          <w:color w:val="000000"/>
          <w:sz w:val="18"/>
          <w:szCs w:val="18"/>
          <w:lang w:val="fr-FR"/>
        </w:rPr>
      </w:pPr>
      <w:r w:rsidRPr="006E267A">
        <w:rPr>
          <w:rFonts w:asciiTheme="minorHAnsi" w:hAnsiTheme="minorHAnsi" w:cstheme="minorHAnsi"/>
          <w:sz w:val="18"/>
          <w:szCs w:val="18"/>
          <w:vertAlign w:val="superscript"/>
        </w:rPr>
        <w:footnoteRef/>
      </w:r>
      <w:r w:rsidRPr="006E267A">
        <w:rPr>
          <w:rFonts w:asciiTheme="minorHAnsi" w:hAnsiTheme="minorHAnsi" w:cstheme="minorHAnsi"/>
          <w:color w:val="000000"/>
          <w:sz w:val="18"/>
          <w:szCs w:val="18"/>
        </w:rPr>
        <w:t xml:space="preserve"> </w:t>
      </w:r>
      <w:r w:rsidRPr="006E267A">
        <w:rPr>
          <w:rFonts w:asciiTheme="minorHAnsi" w:eastAsia="Calibri" w:hAnsiTheme="minorHAnsi" w:cstheme="minorHAnsi"/>
          <w:color w:val="000000"/>
          <w:sz w:val="18"/>
          <w:szCs w:val="18"/>
        </w:rPr>
        <w:t xml:space="preserve"> USAID (n.d.). </w:t>
      </w:r>
      <w:r w:rsidRPr="006E267A">
        <w:rPr>
          <w:rFonts w:asciiTheme="minorHAnsi" w:eastAsia="Calibri" w:hAnsiTheme="minorHAnsi" w:cstheme="minorHAnsi"/>
          <w:i/>
          <w:color w:val="000000"/>
          <w:sz w:val="18"/>
          <w:szCs w:val="18"/>
        </w:rPr>
        <w:t>Property Rights and Resource Governance – Brazil</w:t>
      </w:r>
      <w:r w:rsidRPr="006E267A">
        <w:rPr>
          <w:rFonts w:asciiTheme="minorHAnsi" w:eastAsia="Calibri" w:hAnsiTheme="minorHAnsi" w:cstheme="minorHAnsi"/>
          <w:color w:val="000000"/>
          <w:sz w:val="18"/>
          <w:szCs w:val="18"/>
        </w:rPr>
        <w:t xml:space="preserve">. </w:t>
      </w:r>
      <w:r w:rsidRPr="0052709C">
        <w:rPr>
          <w:rFonts w:asciiTheme="minorHAnsi" w:eastAsia="Calibri" w:hAnsiTheme="minorHAnsi" w:cstheme="minorHAnsi"/>
          <w:color w:val="000000"/>
          <w:sz w:val="18"/>
          <w:szCs w:val="18"/>
          <w:lang w:val="fr-FR"/>
        </w:rPr>
        <w:t xml:space="preserve">Available online: </w:t>
      </w:r>
      <w:hyperlink r:id="rId71">
        <w:r w:rsidRPr="0052709C">
          <w:rPr>
            <w:rFonts w:asciiTheme="minorHAnsi" w:eastAsia="Calibri" w:hAnsiTheme="minorHAnsi" w:cstheme="minorHAnsi"/>
            <w:color w:val="000000"/>
            <w:sz w:val="18"/>
            <w:szCs w:val="18"/>
            <w:u w:val="single"/>
            <w:lang w:val="fr-FR"/>
          </w:rPr>
          <w:t>https://www.land-links.org/wp-content/uploads/2016/09/USAID_Land_Tenure_Brazil_Profile.pdf</w:t>
        </w:r>
      </w:hyperlink>
      <w:r w:rsidRPr="0052709C">
        <w:rPr>
          <w:rFonts w:asciiTheme="minorHAnsi" w:eastAsia="Calibri" w:hAnsiTheme="minorHAnsi" w:cstheme="minorHAnsi"/>
          <w:color w:val="000000"/>
          <w:sz w:val="18"/>
          <w:szCs w:val="18"/>
          <w:lang w:val="fr-FR"/>
        </w:rPr>
        <w:t xml:space="preserve"> </w:t>
      </w:r>
    </w:p>
  </w:footnote>
  <w:footnote w:id="63">
    <w:p w14:paraId="000001D7" w14:textId="77777777" w:rsidR="00490D7E" w:rsidRPr="0052709C"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lang w:val="fr-FR"/>
        </w:rPr>
      </w:pPr>
      <w:r w:rsidRPr="006E267A">
        <w:rPr>
          <w:rFonts w:asciiTheme="minorHAnsi" w:hAnsiTheme="minorHAnsi" w:cstheme="minorHAnsi"/>
          <w:sz w:val="18"/>
          <w:szCs w:val="18"/>
          <w:vertAlign w:val="superscript"/>
        </w:rPr>
        <w:footnoteRef/>
      </w:r>
      <w:r w:rsidRPr="0052709C">
        <w:rPr>
          <w:rFonts w:asciiTheme="minorHAnsi" w:eastAsia="Calibri" w:hAnsiTheme="minorHAnsi" w:cstheme="minorHAnsi"/>
          <w:color w:val="000000"/>
          <w:sz w:val="18"/>
          <w:szCs w:val="18"/>
          <w:lang w:val="fr-FR"/>
        </w:rPr>
        <w:t xml:space="preserve"> Brandão, D.O,. et al. </w:t>
      </w:r>
      <w:r w:rsidRPr="006E267A">
        <w:rPr>
          <w:rFonts w:asciiTheme="minorHAnsi" w:eastAsia="Calibri" w:hAnsiTheme="minorHAnsi" w:cstheme="minorHAnsi"/>
          <w:color w:val="000000"/>
          <w:sz w:val="18"/>
          <w:szCs w:val="18"/>
        </w:rPr>
        <w:t xml:space="preserve">(2021). </w:t>
      </w:r>
      <w:r w:rsidRPr="006E267A">
        <w:rPr>
          <w:rFonts w:asciiTheme="minorHAnsi" w:eastAsia="Calibri" w:hAnsiTheme="minorHAnsi" w:cstheme="minorHAnsi"/>
          <w:i/>
          <w:color w:val="000000"/>
          <w:sz w:val="18"/>
          <w:szCs w:val="18"/>
        </w:rPr>
        <w:t>The effects of Amazon deforestation on non-timber forest products</w:t>
      </w:r>
      <w:r w:rsidRPr="006E267A">
        <w:rPr>
          <w:rFonts w:asciiTheme="minorHAnsi" w:eastAsia="Calibri" w:hAnsiTheme="minorHAnsi" w:cstheme="minorHAnsi"/>
          <w:color w:val="000000"/>
          <w:sz w:val="18"/>
          <w:szCs w:val="18"/>
        </w:rPr>
        <w:t xml:space="preserve">. </w:t>
      </w:r>
      <w:r w:rsidRPr="0052709C">
        <w:rPr>
          <w:rFonts w:asciiTheme="minorHAnsi" w:eastAsia="Calibri" w:hAnsiTheme="minorHAnsi" w:cstheme="minorHAnsi"/>
          <w:color w:val="000000"/>
          <w:sz w:val="18"/>
          <w:szCs w:val="18"/>
          <w:lang w:val="fr-FR"/>
        </w:rPr>
        <w:t xml:space="preserve">Available online: </w:t>
      </w:r>
      <w:hyperlink r:id="rId72">
        <w:r w:rsidRPr="0052709C">
          <w:rPr>
            <w:rFonts w:asciiTheme="minorHAnsi" w:eastAsia="Calibri" w:hAnsiTheme="minorHAnsi" w:cstheme="minorHAnsi"/>
            <w:color w:val="1155CC"/>
            <w:sz w:val="18"/>
            <w:szCs w:val="18"/>
            <w:u w:val="single"/>
            <w:lang w:val="fr-FR"/>
          </w:rPr>
          <w:t>https://link-springer-com.gate3.library.lse.ac.uk/article/10.1007/s10113-021-01836-5</w:t>
        </w:r>
      </w:hyperlink>
      <w:r w:rsidRPr="0052709C">
        <w:rPr>
          <w:rFonts w:asciiTheme="minorHAnsi" w:eastAsia="Calibri" w:hAnsiTheme="minorHAnsi" w:cstheme="minorHAnsi"/>
          <w:color w:val="000000"/>
          <w:sz w:val="18"/>
          <w:szCs w:val="18"/>
          <w:lang w:val="fr-FR"/>
        </w:rPr>
        <w:t xml:space="preserve"> </w:t>
      </w:r>
    </w:p>
  </w:footnote>
  <w:footnote w:id="64">
    <w:p w14:paraId="000001D8"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52709C">
        <w:rPr>
          <w:rFonts w:asciiTheme="minorHAnsi" w:eastAsia="Calibri" w:hAnsiTheme="minorHAnsi" w:cstheme="minorHAnsi"/>
          <w:color w:val="000000"/>
          <w:sz w:val="18"/>
          <w:szCs w:val="18"/>
          <w:lang w:val="fr-FR"/>
        </w:rPr>
        <w:t xml:space="preserve"> Camilotti, V.L. et al. </w:t>
      </w:r>
      <w:r w:rsidRPr="006E267A">
        <w:rPr>
          <w:rFonts w:asciiTheme="minorHAnsi" w:eastAsia="Calibri" w:hAnsiTheme="minorHAnsi" w:cstheme="minorHAnsi"/>
          <w:color w:val="000000"/>
          <w:sz w:val="18"/>
          <w:szCs w:val="18"/>
        </w:rPr>
        <w:t xml:space="preserve">(2020). </w:t>
      </w:r>
      <w:r w:rsidRPr="006E267A">
        <w:rPr>
          <w:rFonts w:asciiTheme="minorHAnsi" w:eastAsia="Calibri" w:hAnsiTheme="minorHAnsi" w:cstheme="minorHAnsi"/>
          <w:i/>
          <w:color w:val="000000"/>
          <w:sz w:val="18"/>
          <w:szCs w:val="18"/>
        </w:rPr>
        <w:t>The Importance of Forest Extractive Resources for Income Generation and Subsistence among Caboclos and Colonists in the Brazilian Amazon</w:t>
      </w:r>
      <w:r w:rsidRPr="006E267A">
        <w:rPr>
          <w:rFonts w:asciiTheme="minorHAnsi" w:eastAsia="Calibri" w:hAnsiTheme="minorHAnsi" w:cstheme="minorHAnsi"/>
          <w:color w:val="000000"/>
          <w:sz w:val="18"/>
          <w:szCs w:val="18"/>
        </w:rPr>
        <w:t xml:space="preserve">. Available online: </w:t>
      </w:r>
      <w:hyperlink r:id="rId73">
        <w:r w:rsidRPr="006E267A">
          <w:rPr>
            <w:rFonts w:asciiTheme="minorHAnsi" w:eastAsia="Calibri" w:hAnsiTheme="minorHAnsi" w:cstheme="minorHAnsi"/>
            <w:color w:val="1155CC"/>
            <w:sz w:val="18"/>
            <w:szCs w:val="18"/>
            <w:u w:val="single"/>
          </w:rPr>
          <w:t>https://link-springer-com.gate3.library.lse.ac.uk/article/10.1007/s10745-020-00127-7</w:t>
        </w:r>
      </w:hyperlink>
      <w:r w:rsidRPr="006E267A">
        <w:rPr>
          <w:rFonts w:asciiTheme="minorHAnsi" w:eastAsia="Calibri" w:hAnsiTheme="minorHAnsi" w:cstheme="minorHAnsi"/>
          <w:color w:val="000000"/>
          <w:sz w:val="18"/>
          <w:szCs w:val="18"/>
        </w:rPr>
        <w:t xml:space="preserve"> </w:t>
      </w:r>
    </w:p>
  </w:footnote>
  <w:footnote w:id="65">
    <w:p w14:paraId="000001D9"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Ibid.</w:t>
      </w:r>
    </w:p>
  </w:footnote>
  <w:footnote w:id="66">
    <w:p w14:paraId="000001DA"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Lopes, E. et al. (2019). Mapping the socio-ecology of Non Timber Forest Products (NTFP) extraction in the Brazilian Amazon: The case of açaí (Euterpe precatoria Mart) in Acre. Available online: </w:t>
      </w:r>
      <w:hyperlink r:id="rId74">
        <w:r w:rsidRPr="006E267A">
          <w:rPr>
            <w:rFonts w:asciiTheme="minorHAnsi" w:eastAsia="Calibri" w:hAnsiTheme="minorHAnsi" w:cstheme="minorHAnsi"/>
            <w:color w:val="000000"/>
            <w:sz w:val="18"/>
            <w:szCs w:val="18"/>
          </w:rPr>
          <w:t>https://www.sciencedirect.com/science/article/abs/pii/S0169204618309368</w:t>
        </w:r>
      </w:hyperlink>
      <w:r w:rsidRPr="006E267A">
        <w:rPr>
          <w:rFonts w:asciiTheme="minorHAnsi" w:eastAsia="Calibri" w:hAnsiTheme="minorHAnsi" w:cstheme="minorHAnsi"/>
          <w:color w:val="000000"/>
          <w:sz w:val="18"/>
          <w:szCs w:val="18"/>
        </w:rPr>
        <w:t xml:space="preserve"> </w:t>
      </w:r>
    </w:p>
  </w:footnote>
  <w:footnote w:id="67">
    <w:p w14:paraId="000001DB"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Zanotti, L.C. (2009). Economic Diversification and Sustainable Development: The Role Non-timber Forest Products Play in the Monetization of Kayapó Livelihoods. Available online: </w:t>
      </w:r>
      <w:hyperlink r:id="rId75">
        <w:r w:rsidRPr="006E267A">
          <w:rPr>
            <w:rFonts w:asciiTheme="minorHAnsi" w:eastAsia="Calibri" w:hAnsiTheme="minorHAnsi" w:cstheme="minorHAnsi"/>
            <w:color w:val="000000"/>
            <w:sz w:val="18"/>
            <w:szCs w:val="18"/>
          </w:rPr>
          <w:t>https://digitalcommons.usf.edu/cgi/viewcontent.cgi?article=1018&amp;context=jea</w:t>
        </w:r>
      </w:hyperlink>
      <w:r w:rsidRPr="006E267A">
        <w:rPr>
          <w:rFonts w:asciiTheme="minorHAnsi" w:eastAsia="Calibri" w:hAnsiTheme="minorHAnsi" w:cstheme="minorHAnsi"/>
          <w:color w:val="000000"/>
          <w:sz w:val="18"/>
          <w:szCs w:val="18"/>
        </w:rPr>
        <w:t xml:space="preserve"> </w:t>
      </w:r>
    </w:p>
  </w:footnote>
  <w:footnote w:id="68">
    <w:p w14:paraId="000001DC"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Ibid.</w:t>
      </w:r>
    </w:p>
  </w:footnote>
  <w:footnote w:id="69">
    <w:p w14:paraId="000001DD"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Morsello, C. et al. (2012). The Effects of Processing Non-Timber Forest Products and Trade Partnerships on People’s Well-Being and Forest Conservation in Amazonian Societies. Available online: </w:t>
      </w:r>
      <w:hyperlink r:id="rId76">
        <w:r w:rsidRPr="006E267A">
          <w:rPr>
            <w:rFonts w:asciiTheme="minorHAnsi" w:eastAsia="Calibri" w:hAnsiTheme="minorHAnsi" w:cstheme="minorHAnsi"/>
            <w:color w:val="000000"/>
            <w:sz w:val="18"/>
            <w:szCs w:val="18"/>
          </w:rPr>
          <w:t>https://www.ncbi.nlm.nih.gov/pmc/articles/PMC3422238/</w:t>
        </w:r>
      </w:hyperlink>
      <w:r w:rsidRPr="006E267A">
        <w:rPr>
          <w:rFonts w:asciiTheme="minorHAnsi" w:eastAsia="Calibri" w:hAnsiTheme="minorHAnsi" w:cstheme="minorHAnsi"/>
          <w:color w:val="000000"/>
          <w:sz w:val="18"/>
          <w:szCs w:val="18"/>
        </w:rPr>
        <w:t xml:space="preserve"> </w:t>
      </w:r>
    </w:p>
  </w:footnote>
  <w:footnote w:id="70">
    <w:p w14:paraId="000001DE"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Zanotti, L.C. (2009). Economic Diversification and Sustainable Development: The Role Non-timber Forest Products Play in the Monetization of Kayapó Livelihoods. Available online: </w:t>
      </w:r>
      <w:hyperlink r:id="rId77">
        <w:r w:rsidRPr="006E267A">
          <w:rPr>
            <w:rFonts w:asciiTheme="minorHAnsi" w:eastAsia="Calibri" w:hAnsiTheme="minorHAnsi" w:cstheme="minorHAnsi"/>
            <w:color w:val="000000"/>
            <w:sz w:val="18"/>
            <w:szCs w:val="18"/>
          </w:rPr>
          <w:t>https://digitalcommons.usf.edu/cgi/viewcontent.cgi?article=1018&amp;context=jea</w:t>
        </w:r>
      </w:hyperlink>
      <w:r w:rsidRPr="006E267A">
        <w:rPr>
          <w:rFonts w:asciiTheme="minorHAnsi" w:eastAsia="Calibri" w:hAnsiTheme="minorHAnsi" w:cstheme="minorHAnsi"/>
          <w:color w:val="000000"/>
          <w:sz w:val="18"/>
          <w:szCs w:val="18"/>
        </w:rPr>
        <w:t xml:space="preserve"> </w:t>
      </w:r>
    </w:p>
  </w:footnote>
  <w:footnote w:id="71">
    <w:p w14:paraId="000001DF"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Ibid.</w:t>
      </w:r>
    </w:p>
  </w:footnote>
  <w:footnote w:id="72">
    <w:p w14:paraId="000001E0" w14:textId="77777777" w:rsidR="00490D7E" w:rsidRPr="006E267A" w:rsidRDefault="00707826" w:rsidP="006E267A">
      <w:pPr>
        <w:pBdr>
          <w:top w:val="nil"/>
          <w:left w:val="nil"/>
          <w:bottom w:val="nil"/>
          <w:right w:val="nil"/>
          <w:between w:val="nil"/>
        </w:pBdr>
        <w:spacing w:line="240" w:lineRule="auto"/>
        <w:rPr>
          <w:rFonts w:asciiTheme="minorHAns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hAnsiTheme="minorHAnsi" w:cstheme="minorHAnsi"/>
          <w:color w:val="000000"/>
          <w:sz w:val="18"/>
          <w:szCs w:val="18"/>
        </w:rPr>
        <w:t xml:space="preserve"> </w:t>
      </w:r>
      <w:r w:rsidRPr="006E267A">
        <w:rPr>
          <w:rFonts w:asciiTheme="minorHAnsi" w:eastAsia="Calibri" w:hAnsiTheme="minorHAnsi" w:cstheme="minorHAnsi"/>
          <w:color w:val="000000"/>
          <w:sz w:val="18"/>
          <w:szCs w:val="18"/>
        </w:rPr>
        <w:t xml:space="preserve">USAID (n.d.). </w:t>
      </w:r>
      <w:r w:rsidRPr="006E267A">
        <w:rPr>
          <w:rFonts w:asciiTheme="minorHAnsi" w:eastAsia="Calibri" w:hAnsiTheme="minorHAnsi" w:cstheme="minorHAnsi"/>
          <w:i/>
          <w:color w:val="000000"/>
          <w:sz w:val="18"/>
          <w:szCs w:val="18"/>
        </w:rPr>
        <w:t>Property Rights and Resource Governance – Brazil</w:t>
      </w:r>
      <w:r w:rsidRPr="006E267A">
        <w:rPr>
          <w:rFonts w:asciiTheme="minorHAnsi" w:eastAsia="Calibri" w:hAnsiTheme="minorHAnsi" w:cstheme="minorHAnsi"/>
          <w:color w:val="000000"/>
          <w:sz w:val="18"/>
          <w:szCs w:val="18"/>
        </w:rPr>
        <w:t xml:space="preserve">. Available online: </w:t>
      </w:r>
      <w:hyperlink r:id="rId78">
        <w:r w:rsidRPr="006E267A">
          <w:rPr>
            <w:rFonts w:asciiTheme="minorHAnsi" w:eastAsia="Calibri" w:hAnsiTheme="minorHAnsi" w:cstheme="minorHAnsi"/>
            <w:color w:val="000000"/>
            <w:sz w:val="18"/>
            <w:szCs w:val="18"/>
            <w:u w:val="single"/>
          </w:rPr>
          <w:t>https://www.land-links.org/wp-content/uploads/2016/09/USAID_Land_Tenure_Brazil_Profile.pdf</w:t>
        </w:r>
      </w:hyperlink>
      <w:r w:rsidRPr="006E267A">
        <w:rPr>
          <w:rFonts w:asciiTheme="minorHAnsi" w:eastAsia="Calibri" w:hAnsiTheme="minorHAnsi" w:cstheme="minorHAnsi"/>
          <w:color w:val="000000"/>
          <w:sz w:val="18"/>
          <w:szCs w:val="18"/>
        </w:rPr>
        <w:t xml:space="preserve"> </w:t>
      </w:r>
    </w:p>
  </w:footnote>
  <w:footnote w:id="73">
    <w:p w14:paraId="000001E1"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WWF (n.d.). </w:t>
      </w:r>
      <w:r w:rsidRPr="006E267A">
        <w:rPr>
          <w:rFonts w:asciiTheme="minorHAnsi" w:eastAsia="Calibri" w:hAnsiTheme="minorHAnsi" w:cstheme="minorHAnsi"/>
          <w:i/>
          <w:color w:val="000000"/>
          <w:sz w:val="18"/>
          <w:szCs w:val="18"/>
        </w:rPr>
        <w:t xml:space="preserve">Cerrado. </w:t>
      </w:r>
      <w:r w:rsidRPr="006E267A">
        <w:rPr>
          <w:rFonts w:asciiTheme="minorHAnsi" w:eastAsia="Calibri" w:hAnsiTheme="minorHAnsi" w:cstheme="minorHAnsi"/>
          <w:color w:val="000000"/>
          <w:sz w:val="18"/>
          <w:szCs w:val="18"/>
        </w:rPr>
        <w:t xml:space="preserve">Available online: </w:t>
      </w:r>
      <w:hyperlink r:id="rId79">
        <w:r w:rsidRPr="006E267A">
          <w:rPr>
            <w:rFonts w:asciiTheme="minorHAnsi" w:eastAsia="Calibri" w:hAnsiTheme="minorHAnsi" w:cstheme="minorHAnsi"/>
            <w:color w:val="1155CC"/>
            <w:sz w:val="18"/>
            <w:szCs w:val="18"/>
            <w:u w:val="single"/>
          </w:rPr>
          <w:t>https://www.worldwildlife.org/places/cerrado</w:t>
        </w:r>
      </w:hyperlink>
      <w:r w:rsidRPr="006E267A">
        <w:rPr>
          <w:rFonts w:asciiTheme="minorHAnsi" w:eastAsia="Calibri" w:hAnsiTheme="minorHAnsi" w:cstheme="minorHAnsi"/>
          <w:color w:val="000000"/>
          <w:sz w:val="18"/>
          <w:szCs w:val="18"/>
        </w:rPr>
        <w:t xml:space="preserve"> </w:t>
      </w:r>
    </w:p>
  </w:footnote>
  <w:footnote w:id="74">
    <w:p w14:paraId="000001E2"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WWF (2012). </w:t>
      </w:r>
      <w:r w:rsidRPr="006E267A">
        <w:rPr>
          <w:rFonts w:asciiTheme="minorHAnsi" w:eastAsia="Calibri" w:hAnsiTheme="minorHAnsi" w:cstheme="minorHAnsi"/>
          <w:i/>
          <w:color w:val="000000"/>
          <w:sz w:val="18"/>
          <w:szCs w:val="18"/>
        </w:rPr>
        <w:t>A future for the Cerrado</w:t>
      </w:r>
      <w:r w:rsidRPr="006E267A">
        <w:rPr>
          <w:rFonts w:asciiTheme="minorHAnsi" w:eastAsia="Calibri" w:hAnsiTheme="minorHAnsi" w:cstheme="minorHAnsi"/>
          <w:color w:val="000000"/>
          <w:sz w:val="18"/>
          <w:szCs w:val="18"/>
        </w:rPr>
        <w:t xml:space="preserve">. Available online: </w:t>
      </w:r>
      <w:hyperlink r:id="rId80">
        <w:r w:rsidRPr="006E267A">
          <w:rPr>
            <w:rFonts w:asciiTheme="minorHAnsi" w:eastAsia="Calibri" w:hAnsiTheme="minorHAnsi" w:cstheme="minorHAnsi"/>
            <w:color w:val="1155CC"/>
            <w:sz w:val="18"/>
            <w:szCs w:val="18"/>
            <w:u w:val="single"/>
          </w:rPr>
          <w:t>https://www.wwf.org.br/?32562/A-future-for-the-Cerrado</w:t>
        </w:r>
      </w:hyperlink>
      <w:r w:rsidRPr="006E267A">
        <w:rPr>
          <w:rFonts w:asciiTheme="minorHAnsi" w:eastAsia="Calibri" w:hAnsiTheme="minorHAnsi" w:cstheme="minorHAnsi"/>
          <w:color w:val="000000"/>
          <w:sz w:val="18"/>
          <w:szCs w:val="18"/>
        </w:rPr>
        <w:t xml:space="preserve"> </w:t>
      </w:r>
    </w:p>
  </w:footnote>
  <w:footnote w:id="75">
    <w:p w14:paraId="000001E3"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CEA Consulting (2016). </w:t>
      </w:r>
      <w:r w:rsidRPr="006E267A">
        <w:rPr>
          <w:rFonts w:asciiTheme="minorHAnsi" w:eastAsia="Calibri" w:hAnsiTheme="minorHAnsi" w:cstheme="minorHAnsi"/>
          <w:i/>
          <w:color w:val="000000"/>
          <w:sz w:val="18"/>
          <w:szCs w:val="18"/>
        </w:rPr>
        <w:t>Challenges and Opportunities for Conservation, Agricultural Production, and Social Inclusion in the Cerrado Biome</w:t>
      </w:r>
      <w:r w:rsidRPr="006E267A">
        <w:rPr>
          <w:rFonts w:asciiTheme="minorHAnsi" w:eastAsia="Calibri" w:hAnsiTheme="minorHAnsi" w:cstheme="minorHAnsi"/>
          <w:color w:val="000000"/>
          <w:sz w:val="18"/>
          <w:szCs w:val="18"/>
        </w:rPr>
        <w:t xml:space="preserve">. Available online: </w:t>
      </w:r>
      <w:hyperlink r:id="rId81">
        <w:r w:rsidRPr="006E267A">
          <w:rPr>
            <w:rFonts w:asciiTheme="minorHAnsi" w:eastAsia="Calibri" w:hAnsiTheme="minorHAnsi" w:cstheme="minorHAnsi"/>
            <w:color w:val="1155CC"/>
            <w:sz w:val="18"/>
            <w:szCs w:val="18"/>
            <w:u w:val="single"/>
          </w:rPr>
          <w:t>https://www.climateandlandusealliance.org/wp-content/uploads/2016/09/Cerrado-Traditional-communities-biodiversity-water-and-climate.pdf</w:t>
        </w:r>
      </w:hyperlink>
      <w:r w:rsidRPr="006E267A">
        <w:rPr>
          <w:rFonts w:asciiTheme="minorHAnsi" w:eastAsia="Calibri" w:hAnsiTheme="minorHAnsi" w:cstheme="minorHAnsi"/>
          <w:color w:val="000000"/>
          <w:sz w:val="18"/>
          <w:szCs w:val="18"/>
        </w:rPr>
        <w:t xml:space="preserve"> </w:t>
      </w:r>
    </w:p>
  </w:footnote>
  <w:footnote w:id="76">
    <w:p w14:paraId="000001E4"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Ibid.</w:t>
      </w:r>
    </w:p>
  </w:footnote>
  <w:footnote w:id="77">
    <w:p w14:paraId="000001E5"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Critical Ecosystem Partnership Fund (2017). </w:t>
      </w:r>
      <w:r w:rsidRPr="00E25E81">
        <w:rPr>
          <w:rFonts w:asciiTheme="minorHAnsi" w:eastAsia="Calibri" w:hAnsiTheme="minorHAnsi" w:cstheme="minorHAnsi"/>
          <w:i/>
          <w:color w:val="000000"/>
          <w:sz w:val="18"/>
          <w:szCs w:val="18"/>
        </w:rPr>
        <w:t>Ecosystem Profile: Cerrado Biodiversity Hotspot</w:t>
      </w:r>
      <w:r w:rsidRPr="00E25E81">
        <w:rPr>
          <w:rFonts w:asciiTheme="minorHAnsi" w:eastAsia="Calibri" w:hAnsiTheme="minorHAnsi" w:cstheme="minorHAnsi"/>
          <w:color w:val="000000"/>
          <w:sz w:val="18"/>
          <w:szCs w:val="18"/>
        </w:rPr>
        <w:t xml:space="preserve">. </w:t>
      </w:r>
      <w:r w:rsidRPr="006E267A">
        <w:rPr>
          <w:rFonts w:asciiTheme="minorHAnsi" w:eastAsia="Calibri" w:hAnsiTheme="minorHAnsi" w:cstheme="minorHAnsi"/>
          <w:color w:val="000000"/>
          <w:sz w:val="18"/>
          <w:szCs w:val="18"/>
        </w:rPr>
        <w:t xml:space="preserve">Available online: </w:t>
      </w:r>
      <w:hyperlink r:id="rId82">
        <w:r w:rsidRPr="006E267A">
          <w:rPr>
            <w:rFonts w:asciiTheme="minorHAnsi" w:eastAsia="Calibri" w:hAnsiTheme="minorHAnsi" w:cstheme="minorHAnsi"/>
            <w:color w:val="1155CC"/>
            <w:sz w:val="18"/>
            <w:szCs w:val="18"/>
            <w:u w:val="single"/>
          </w:rPr>
          <w:t>https://www.cepf.net/sites/default/files/cerrado-ecosystem-profile-summary-english-revised-2017.pdf</w:t>
        </w:r>
      </w:hyperlink>
      <w:r w:rsidRPr="006E267A">
        <w:rPr>
          <w:rFonts w:asciiTheme="minorHAnsi" w:eastAsia="Calibri" w:hAnsiTheme="minorHAnsi" w:cstheme="minorHAnsi"/>
          <w:color w:val="000000"/>
          <w:sz w:val="18"/>
          <w:szCs w:val="18"/>
        </w:rPr>
        <w:t xml:space="preserve"> </w:t>
      </w:r>
    </w:p>
  </w:footnote>
  <w:footnote w:id="78">
    <w:p w14:paraId="000001E6"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WEF (2024). </w:t>
      </w:r>
      <w:r w:rsidRPr="006E267A">
        <w:rPr>
          <w:rFonts w:asciiTheme="minorHAnsi" w:eastAsia="Calibri" w:hAnsiTheme="minorHAnsi" w:cstheme="minorHAnsi"/>
          <w:i/>
          <w:color w:val="000000"/>
          <w:sz w:val="18"/>
          <w:szCs w:val="18"/>
        </w:rPr>
        <w:t xml:space="preserve">Environmental Protection and Sustainable Food Production in the Cerrado Could Create $72bn for Brazil, Says New Report. </w:t>
      </w:r>
      <w:r w:rsidRPr="006E267A">
        <w:rPr>
          <w:rFonts w:asciiTheme="minorHAnsi" w:eastAsia="Calibri" w:hAnsiTheme="minorHAnsi" w:cstheme="minorHAnsi"/>
          <w:color w:val="000000"/>
          <w:sz w:val="18"/>
          <w:szCs w:val="18"/>
        </w:rPr>
        <w:t xml:space="preserve">Available online: </w:t>
      </w:r>
      <w:hyperlink r:id="rId83" w:anchor=":~:text=The%20Cerrado%20is%20a%20global,22%25%20of%20global%20soybean%20exports">
        <w:r w:rsidRPr="006E267A">
          <w:rPr>
            <w:rFonts w:asciiTheme="minorHAnsi" w:eastAsia="Calibri" w:hAnsiTheme="minorHAnsi" w:cstheme="minorHAnsi"/>
            <w:color w:val="1155CC"/>
            <w:sz w:val="18"/>
            <w:szCs w:val="18"/>
            <w:u w:val="single"/>
          </w:rPr>
          <w:t>https://www.weforum.org/press/2024/02/environmental-protection-and-sustainable-food-production-in-the-cerrado-could-create-72bn-for-brazil-says-new-report/#:~:text=The%20Cerrado%20is%20a%20global,22%25%20of%20global%20soybean%20exports</w:t>
        </w:r>
      </w:hyperlink>
      <w:r w:rsidRPr="006E267A">
        <w:rPr>
          <w:rFonts w:asciiTheme="minorHAnsi" w:eastAsia="Calibri" w:hAnsiTheme="minorHAnsi" w:cstheme="minorHAnsi"/>
          <w:color w:val="000000"/>
          <w:sz w:val="18"/>
          <w:szCs w:val="18"/>
        </w:rPr>
        <w:t xml:space="preserve">. </w:t>
      </w:r>
    </w:p>
  </w:footnote>
  <w:footnote w:id="79">
    <w:p w14:paraId="000001E7"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S&amp;P Global (2022). </w:t>
      </w:r>
      <w:r w:rsidRPr="006E267A">
        <w:rPr>
          <w:rFonts w:asciiTheme="minorHAnsi" w:eastAsia="Calibri" w:hAnsiTheme="minorHAnsi" w:cstheme="minorHAnsi"/>
          <w:i/>
          <w:color w:val="000000"/>
          <w:sz w:val="18"/>
          <w:szCs w:val="18"/>
        </w:rPr>
        <w:t>Surging Brazilian soybeans acreage could threaten Cerrado savanna</w:t>
      </w:r>
      <w:r w:rsidRPr="006E267A">
        <w:rPr>
          <w:rFonts w:asciiTheme="minorHAnsi" w:eastAsia="Calibri" w:hAnsiTheme="minorHAnsi" w:cstheme="minorHAnsi"/>
          <w:color w:val="000000"/>
          <w:sz w:val="18"/>
          <w:szCs w:val="18"/>
        </w:rPr>
        <w:t xml:space="preserve">. Available online: </w:t>
      </w:r>
      <w:hyperlink r:id="rId84">
        <w:r w:rsidRPr="006E267A">
          <w:rPr>
            <w:rFonts w:asciiTheme="minorHAnsi" w:eastAsia="Calibri" w:hAnsiTheme="minorHAnsi" w:cstheme="minorHAnsi"/>
            <w:color w:val="1155CC"/>
            <w:sz w:val="18"/>
            <w:szCs w:val="18"/>
            <w:u w:val="single"/>
          </w:rPr>
          <w:t>https://www.spglobal.com/commodityinsights/en/market-insights/blogs/agriculture/032322-brazil-soybean-acreage-could-threaten-cerrado-savanna-not-amazon</w:t>
        </w:r>
      </w:hyperlink>
      <w:r w:rsidRPr="006E267A">
        <w:rPr>
          <w:rFonts w:asciiTheme="minorHAnsi" w:eastAsia="Calibri" w:hAnsiTheme="minorHAnsi" w:cstheme="minorHAnsi"/>
          <w:color w:val="000000"/>
          <w:sz w:val="18"/>
          <w:szCs w:val="18"/>
        </w:rPr>
        <w:t xml:space="preserve"> </w:t>
      </w:r>
    </w:p>
  </w:footnote>
  <w:footnote w:id="80">
    <w:p w14:paraId="000001E8"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Dawson, N. et al. (2021). </w:t>
      </w:r>
      <w:r w:rsidRPr="006E267A">
        <w:rPr>
          <w:rFonts w:asciiTheme="minorHAnsi" w:eastAsia="Calibri" w:hAnsiTheme="minorHAnsi" w:cstheme="minorHAnsi"/>
          <w:i/>
          <w:color w:val="000000"/>
          <w:sz w:val="18"/>
          <w:szCs w:val="18"/>
        </w:rPr>
        <w:t xml:space="preserve">Protected areas and the neglected contribution of Indigenous Peoples and local communities: Struggles for environmental justice in the Caatinga dry forest. </w:t>
      </w:r>
      <w:r w:rsidRPr="006E267A">
        <w:rPr>
          <w:rFonts w:asciiTheme="minorHAnsi" w:eastAsia="Calibri" w:hAnsiTheme="minorHAnsi" w:cstheme="minorHAnsi"/>
          <w:color w:val="000000"/>
          <w:sz w:val="18"/>
          <w:szCs w:val="18"/>
        </w:rPr>
        <w:t xml:space="preserve">Available online: </w:t>
      </w:r>
      <w:hyperlink r:id="rId85" w:anchor=":~:text=If%20the%20Caatinga%20was%20well,plants%20to%20grow%20for%20grazing">
        <w:r w:rsidRPr="006E267A">
          <w:rPr>
            <w:rFonts w:asciiTheme="minorHAnsi" w:eastAsia="Calibri" w:hAnsiTheme="minorHAnsi" w:cstheme="minorHAnsi"/>
            <w:color w:val="1155CC"/>
            <w:sz w:val="18"/>
            <w:szCs w:val="18"/>
            <w:u w:val="single"/>
          </w:rPr>
          <w:t>https://besjournals.onlinelibrary.wiley.com/doi/full/10.1002/pan3.10288#:~:text=If%20the%20Caatinga%20was%20well,plants%20to%20grow%20for%20grazing</w:t>
        </w:r>
      </w:hyperlink>
      <w:r w:rsidRPr="006E267A">
        <w:rPr>
          <w:rFonts w:asciiTheme="minorHAnsi" w:eastAsia="Calibri" w:hAnsiTheme="minorHAnsi" w:cstheme="minorHAnsi"/>
          <w:color w:val="000000"/>
          <w:sz w:val="18"/>
          <w:szCs w:val="18"/>
        </w:rPr>
        <w:t xml:space="preserve"> </w:t>
      </w:r>
    </w:p>
  </w:footnote>
  <w:footnote w:id="81">
    <w:p w14:paraId="000001E9" w14:textId="77777777" w:rsidR="00490D7E" w:rsidRPr="0052709C"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lang w:val="fr-FR"/>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Vieira, H. (2021). </w:t>
      </w:r>
      <w:r w:rsidRPr="006E267A">
        <w:rPr>
          <w:rFonts w:asciiTheme="minorHAnsi" w:eastAsia="Calibri" w:hAnsiTheme="minorHAnsi" w:cstheme="minorHAnsi"/>
          <w:i/>
          <w:color w:val="000000"/>
          <w:sz w:val="18"/>
          <w:szCs w:val="18"/>
        </w:rPr>
        <w:t>The Unknown Caatinga Biome</w:t>
      </w:r>
      <w:r w:rsidRPr="006E267A">
        <w:rPr>
          <w:rFonts w:asciiTheme="minorHAnsi" w:eastAsia="Calibri" w:hAnsiTheme="minorHAnsi" w:cstheme="minorHAnsi"/>
          <w:color w:val="000000"/>
          <w:sz w:val="18"/>
          <w:szCs w:val="18"/>
        </w:rPr>
        <w:t xml:space="preserve">. </w:t>
      </w:r>
      <w:r w:rsidRPr="0052709C">
        <w:rPr>
          <w:rFonts w:asciiTheme="minorHAnsi" w:eastAsia="Calibri" w:hAnsiTheme="minorHAnsi" w:cstheme="minorHAnsi"/>
          <w:color w:val="000000"/>
          <w:sz w:val="18"/>
          <w:szCs w:val="18"/>
          <w:lang w:val="fr-FR"/>
        </w:rPr>
        <w:t xml:space="preserve">Available online: </w:t>
      </w:r>
      <w:hyperlink r:id="rId86">
        <w:r w:rsidRPr="0052709C">
          <w:rPr>
            <w:rFonts w:asciiTheme="minorHAnsi" w:eastAsia="Calibri" w:hAnsiTheme="minorHAnsi" w:cstheme="minorHAnsi"/>
            <w:color w:val="1155CC"/>
            <w:sz w:val="18"/>
            <w:szCs w:val="18"/>
            <w:u w:val="single"/>
            <w:lang w:val="fr-FR"/>
          </w:rPr>
          <w:t>https://iep.berkeley.edu/content/unknown-caatinga-biome</w:t>
        </w:r>
      </w:hyperlink>
      <w:r w:rsidRPr="0052709C">
        <w:rPr>
          <w:rFonts w:asciiTheme="minorHAnsi" w:eastAsia="Calibri" w:hAnsiTheme="minorHAnsi" w:cstheme="minorHAnsi"/>
          <w:color w:val="000000"/>
          <w:sz w:val="18"/>
          <w:szCs w:val="18"/>
          <w:lang w:val="fr-FR"/>
        </w:rPr>
        <w:t xml:space="preserve"> </w:t>
      </w:r>
    </w:p>
  </w:footnote>
  <w:footnote w:id="82">
    <w:p w14:paraId="000001EA"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vertAlign w:val="superscript"/>
        </w:rPr>
      </w:pPr>
      <w:r w:rsidRPr="006E267A">
        <w:rPr>
          <w:rFonts w:asciiTheme="minorHAnsi" w:hAnsiTheme="minorHAnsi" w:cstheme="minorHAnsi"/>
          <w:sz w:val="18"/>
          <w:szCs w:val="18"/>
          <w:vertAlign w:val="superscript"/>
        </w:rPr>
        <w:footnoteRef/>
      </w:r>
      <w:r w:rsidRPr="0052709C">
        <w:rPr>
          <w:rFonts w:asciiTheme="minorHAnsi" w:eastAsia="Calibri" w:hAnsiTheme="minorHAnsi" w:cstheme="minorHAnsi"/>
          <w:color w:val="000000"/>
          <w:sz w:val="18"/>
          <w:szCs w:val="18"/>
          <w:vertAlign w:val="superscript"/>
          <w:lang w:val="fr-FR"/>
        </w:rPr>
        <w:t xml:space="preserve"> Albuquerque et al. </w:t>
      </w:r>
      <w:r w:rsidRPr="006E267A">
        <w:rPr>
          <w:rFonts w:asciiTheme="minorHAnsi" w:eastAsia="Calibri" w:hAnsiTheme="minorHAnsi" w:cstheme="minorHAnsi"/>
          <w:color w:val="000000"/>
          <w:sz w:val="18"/>
          <w:szCs w:val="18"/>
          <w:vertAlign w:val="superscript"/>
        </w:rPr>
        <w:t xml:space="preserve">(2023). Smallholders in the Caatinga and the Cerrado: A Baseline Analysis for a Rural Just Transition in Brazil. Climate Policy Initiative. Available online: </w:t>
      </w:r>
      <w:hyperlink r:id="rId87">
        <w:r w:rsidRPr="006E267A">
          <w:rPr>
            <w:rFonts w:asciiTheme="minorHAnsi" w:eastAsia="Calibri" w:hAnsiTheme="minorHAnsi" w:cstheme="minorHAnsi"/>
            <w:color w:val="000000"/>
            <w:sz w:val="18"/>
            <w:szCs w:val="18"/>
            <w:vertAlign w:val="superscript"/>
          </w:rPr>
          <w:t>https://www.climatepolicyinitiative.org/publication/smallholders-in-the-caatinga-and-the-cerrado-a-baseline-analysis-for-a-rural-just-transition-in-brazil/</w:t>
        </w:r>
      </w:hyperlink>
      <w:r w:rsidRPr="006E267A">
        <w:rPr>
          <w:rFonts w:asciiTheme="minorHAnsi" w:eastAsia="Calibri" w:hAnsiTheme="minorHAnsi" w:cstheme="minorHAnsi"/>
          <w:color w:val="000000"/>
          <w:sz w:val="18"/>
          <w:szCs w:val="18"/>
          <w:vertAlign w:val="superscript"/>
        </w:rPr>
        <w:t xml:space="preserve"> </w:t>
      </w:r>
    </w:p>
  </w:footnote>
  <w:footnote w:id="83">
    <w:p w14:paraId="000001EB" w14:textId="77777777" w:rsidR="00490D7E" w:rsidRPr="0052709C"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vertAlign w:val="superscript"/>
          <w:lang w:val="fr-FR"/>
        </w:rPr>
      </w:pPr>
      <w:r w:rsidRPr="006E267A">
        <w:rPr>
          <w:rFonts w:asciiTheme="minorHAnsi" w:hAnsiTheme="minorHAnsi" w:cstheme="minorHAnsi"/>
          <w:sz w:val="18"/>
          <w:szCs w:val="18"/>
          <w:vertAlign w:val="superscript"/>
        </w:rPr>
        <w:footnoteRef/>
      </w:r>
      <w:r w:rsidRPr="00C96161">
        <w:rPr>
          <w:rFonts w:asciiTheme="minorHAnsi" w:eastAsia="Calibri" w:hAnsiTheme="minorHAnsi" w:cstheme="minorHAnsi"/>
          <w:color w:val="000000"/>
          <w:sz w:val="18"/>
          <w:szCs w:val="18"/>
          <w:vertAlign w:val="superscript"/>
          <w:lang w:val="pt-BR"/>
        </w:rPr>
        <w:t xml:space="preserve"> Padovezi et al. (2018). Conhecimento agroecológico local: caminhos para a adaptação às mudanças climáticas e restauração da Caatinga. </w:t>
      </w:r>
      <w:r w:rsidRPr="0052709C">
        <w:rPr>
          <w:rFonts w:asciiTheme="minorHAnsi" w:eastAsia="Calibri" w:hAnsiTheme="minorHAnsi" w:cstheme="minorHAnsi"/>
          <w:color w:val="000000"/>
          <w:sz w:val="18"/>
          <w:szCs w:val="18"/>
          <w:vertAlign w:val="superscript"/>
          <w:lang w:val="fr-FR"/>
        </w:rPr>
        <w:t xml:space="preserve">WRI-Brasil. Available online: </w:t>
      </w:r>
      <w:hyperlink r:id="rId88">
        <w:r w:rsidRPr="0052709C">
          <w:rPr>
            <w:rFonts w:asciiTheme="minorHAnsi" w:eastAsia="Calibri" w:hAnsiTheme="minorHAnsi" w:cstheme="minorHAnsi"/>
            <w:color w:val="000000"/>
            <w:sz w:val="18"/>
            <w:szCs w:val="18"/>
            <w:vertAlign w:val="superscript"/>
            <w:lang w:val="fr-FR"/>
          </w:rPr>
          <w:t>https://www.wribrasil.org.br/publicacoes/conhecimento-agroecologico-local-caminhos-para-adaptacao-mudancas-climaticas-e</w:t>
        </w:r>
      </w:hyperlink>
      <w:r w:rsidRPr="0052709C">
        <w:rPr>
          <w:rFonts w:asciiTheme="minorHAnsi" w:eastAsia="Calibri" w:hAnsiTheme="minorHAnsi" w:cstheme="minorHAnsi"/>
          <w:color w:val="000000"/>
          <w:sz w:val="18"/>
          <w:szCs w:val="18"/>
          <w:vertAlign w:val="superscript"/>
          <w:lang w:val="fr-FR"/>
        </w:rPr>
        <w:t xml:space="preserve"> </w:t>
      </w:r>
    </w:p>
  </w:footnote>
  <w:footnote w:id="84">
    <w:p w14:paraId="000001EC"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de Paula Sousa Junior, V. et al. (2022). </w:t>
      </w:r>
      <w:r w:rsidRPr="006E267A">
        <w:rPr>
          <w:rFonts w:asciiTheme="minorHAnsi" w:eastAsia="Calibri" w:hAnsiTheme="minorHAnsi" w:cstheme="minorHAnsi"/>
          <w:i/>
          <w:color w:val="000000"/>
          <w:sz w:val="18"/>
          <w:szCs w:val="18"/>
        </w:rPr>
        <w:t>Land-Use and Land-Cover Dynamics in the Brazilian Caatinga Dry Tropical Forest</w:t>
      </w:r>
      <w:r w:rsidRPr="006E267A">
        <w:rPr>
          <w:rFonts w:asciiTheme="minorHAnsi" w:eastAsia="Calibri" w:hAnsiTheme="minorHAnsi" w:cstheme="minorHAnsi"/>
          <w:color w:val="000000"/>
          <w:sz w:val="18"/>
          <w:szCs w:val="18"/>
        </w:rPr>
        <w:t xml:space="preserve">. Available online: </w:t>
      </w:r>
      <w:hyperlink r:id="rId89">
        <w:r w:rsidRPr="006E267A">
          <w:rPr>
            <w:rFonts w:asciiTheme="minorHAnsi" w:eastAsia="Calibri" w:hAnsiTheme="minorHAnsi" w:cstheme="minorHAnsi"/>
            <w:color w:val="1155CC"/>
            <w:sz w:val="18"/>
            <w:szCs w:val="18"/>
            <w:u w:val="single"/>
          </w:rPr>
          <w:t>https://www.mdpi.com/2673-7159/2/4/48</w:t>
        </w:r>
      </w:hyperlink>
      <w:r w:rsidRPr="006E267A">
        <w:rPr>
          <w:rFonts w:asciiTheme="minorHAnsi" w:eastAsia="Calibri" w:hAnsiTheme="minorHAnsi" w:cstheme="minorHAnsi"/>
          <w:color w:val="000000"/>
          <w:sz w:val="18"/>
          <w:szCs w:val="18"/>
        </w:rPr>
        <w:t xml:space="preserve"> </w:t>
      </w:r>
    </w:p>
  </w:footnote>
  <w:footnote w:id="85">
    <w:p w14:paraId="000001ED"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WWF (n.d.). What is the Atlantic Forest and why do we need to save it? Available online: </w:t>
      </w:r>
      <w:hyperlink r:id="rId90" w:anchor=":~:text=The%20forest%20also%20provides%20other,water%20from%20the%20Atlantic%20Forest">
        <w:r w:rsidRPr="006E267A">
          <w:rPr>
            <w:rFonts w:asciiTheme="minorHAnsi" w:eastAsia="Calibri" w:hAnsiTheme="minorHAnsi" w:cstheme="minorHAnsi"/>
            <w:color w:val="1155CC"/>
            <w:sz w:val="18"/>
            <w:szCs w:val="18"/>
            <w:u w:val="single"/>
          </w:rPr>
          <w:t>https://www.worldwildlife.org/stories/what-is-the-atlantic-forest-and-why-do-we-need-to-save-it#:~:text=The%20forest%20also%20provides%20other,water%20from%20the%20Atlantic%20Forest</w:t>
        </w:r>
      </w:hyperlink>
      <w:r w:rsidRPr="006E267A">
        <w:rPr>
          <w:rFonts w:asciiTheme="minorHAnsi" w:eastAsia="Calibri" w:hAnsiTheme="minorHAnsi" w:cstheme="minorHAnsi"/>
          <w:color w:val="000000"/>
          <w:sz w:val="18"/>
          <w:szCs w:val="18"/>
        </w:rPr>
        <w:t xml:space="preserve">. </w:t>
      </w:r>
    </w:p>
  </w:footnote>
  <w:footnote w:id="86">
    <w:p w14:paraId="000001EE"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52709C">
        <w:rPr>
          <w:rFonts w:asciiTheme="minorHAnsi" w:hAnsiTheme="minorHAnsi" w:cstheme="minorHAnsi"/>
          <w:color w:val="000000"/>
          <w:sz w:val="18"/>
          <w:szCs w:val="18"/>
          <w:lang w:val="fr-FR"/>
        </w:rPr>
        <w:t xml:space="preserve"> </w:t>
      </w:r>
      <w:r w:rsidRPr="0052709C">
        <w:rPr>
          <w:rFonts w:asciiTheme="minorHAnsi" w:eastAsia="Calibri" w:hAnsiTheme="minorHAnsi" w:cstheme="minorHAnsi"/>
          <w:color w:val="000000"/>
          <w:sz w:val="18"/>
          <w:szCs w:val="18"/>
          <w:lang w:val="fr-FR"/>
        </w:rPr>
        <w:t xml:space="preserve">Shennan-Farpon, Y., et al. </w:t>
      </w:r>
      <w:r w:rsidRPr="006E267A">
        <w:rPr>
          <w:rFonts w:asciiTheme="minorHAnsi" w:eastAsia="Calibri" w:hAnsiTheme="minorHAnsi" w:cstheme="minorHAnsi"/>
          <w:color w:val="000000"/>
          <w:sz w:val="18"/>
          <w:szCs w:val="18"/>
        </w:rPr>
        <w:t xml:space="preserve">(2022). </w:t>
      </w:r>
      <w:r w:rsidRPr="006E267A">
        <w:rPr>
          <w:rFonts w:asciiTheme="minorHAnsi" w:eastAsia="Calibri" w:hAnsiTheme="minorHAnsi" w:cstheme="minorHAnsi"/>
          <w:i/>
          <w:color w:val="000000"/>
          <w:sz w:val="18"/>
          <w:szCs w:val="18"/>
        </w:rPr>
        <w:t xml:space="preserve">The role of agroforestry in restoring Brazil’s Atlantic Forest: Opportunities and challenges for smallholder farmers. Available online: </w:t>
      </w:r>
      <w:hyperlink r:id="rId91">
        <w:r w:rsidRPr="006E267A">
          <w:rPr>
            <w:rFonts w:asciiTheme="minorHAnsi" w:eastAsia="Calibri" w:hAnsiTheme="minorHAnsi" w:cstheme="minorHAnsi"/>
            <w:i/>
            <w:color w:val="1155CC"/>
            <w:sz w:val="18"/>
            <w:szCs w:val="18"/>
            <w:u w:val="single"/>
          </w:rPr>
          <w:t>https://besjournals.onlinelibrary.wiley.com/doi/full/10.1002/pan3.10297</w:t>
        </w:r>
      </w:hyperlink>
      <w:r w:rsidRPr="006E267A">
        <w:rPr>
          <w:rFonts w:asciiTheme="minorHAnsi" w:eastAsia="Calibri" w:hAnsiTheme="minorHAnsi" w:cstheme="minorHAnsi"/>
          <w:i/>
          <w:color w:val="000000"/>
          <w:sz w:val="18"/>
          <w:szCs w:val="18"/>
        </w:rPr>
        <w:t xml:space="preserve"> </w:t>
      </w:r>
    </w:p>
  </w:footnote>
  <w:footnote w:id="87">
    <w:p w14:paraId="000001EF" w14:textId="77777777" w:rsidR="00490D7E" w:rsidRPr="006E267A" w:rsidRDefault="00707826" w:rsidP="006E267A">
      <w:pPr>
        <w:pBdr>
          <w:top w:val="nil"/>
          <w:left w:val="nil"/>
          <w:bottom w:val="nil"/>
          <w:right w:val="nil"/>
          <w:between w:val="nil"/>
        </w:pBdr>
        <w:spacing w:line="240" w:lineRule="auto"/>
        <w:rPr>
          <w:rFonts w:asciiTheme="minorHAns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i/>
          <w:color w:val="000000"/>
          <w:sz w:val="18"/>
          <w:szCs w:val="18"/>
        </w:rPr>
        <w:t xml:space="preserve"> </w:t>
      </w:r>
      <w:r w:rsidRPr="006E267A">
        <w:rPr>
          <w:rFonts w:asciiTheme="minorHAnsi" w:eastAsia="Calibri" w:hAnsiTheme="minorHAnsi" w:cstheme="minorHAnsi"/>
          <w:color w:val="000000"/>
          <w:sz w:val="18"/>
          <w:szCs w:val="18"/>
        </w:rPr>
        <w:t>WWF (n.d.)</w:t>
      </w:r>
      <w:r w:rsidRPr="006E267A">
        <w:rPr>
          <w:rFonts w:asciiTheme="minorHAnsi" w:eastAsia="Calibri" w:hAnsiTheme="minorHAnsi" w:cstheme="minorHAnsi"/>
          <w:i/>
          <w:color w:val="000000"/>
          <w:sz w:val="18"/>
          <w:szCs w:val="18"/>
        </w:rPr>
        <w:t xml:space="preserve">. What is the Atlantic Forest and why do we need to save it? </w:t>
      </w:r>
      <w:r w:rsidRPr="006E267A">
        <w:rPr>
          <w:rFonts w:asciiTheme="minorHAnsi" w:eastAsia="Calibri" w:hAnsiTheme="minorHAnsi" w:cstheme="minorHAnsi"/>
          <w:color w:val="000000"/>
          <w:sz w:val="18"/>
          <w:szCs w:val="18"/>
        </w:rPr>
        <w:t xml:space="preserve">Available online: </w:t>
      </w:r>
      <w:hyperlink r:id="rId92" w:anchor=":~:text=The%20forest%20also%20provides%20other,water%20from%20the%20Atlantic%20Forest">
        <w:r w:rsidRPr="006E267A">
          <w:rPr>
            <w:rFonts w:asciiTheme="minorHAnsi" w:eastAsia="Calibri" w:hAnsiTheme="minorHAnsi" w:cstheme="minorHAnsi"/>
            <w:i/>
            <w:color w:val="000000"/>
            <w:sz w:val="18"/>
            <w:szCs w:val="18"/>
          </w:rPr>
          <w:t>https://www.worldwildlife.org/stories/what-is-the-atlantic-forest-and-why-do-we-need-to-save-it#:~:text=The%20forest%20also%20provides%20other,water%20from%20the%20Atlantic%20Forest</w:t>
        </w:r>
      </w:hyperlink>
      <w:r w:rsidRPr="006E267A">
        <w:rPr>
          <w:rFonts w:asciiTheme="minorHAnsi" w:eastAsia="Calibri" w:hAnsiTheme="minorHAnsi" w:cstheme="minorHAnsi"/>
          <w:i/>
          <w:color w:val="000000"/>
          <w:sz w:val="18"/>
          <w:szCs w:val="18"/>
        </w:rPr>
        <w:t xml:space="preserve">. </w:t>
      </w:r>
    </w:p>
  </w:footnote>
  <w:footnote w:id="88">
    <w:p w14:paraId="000001F0"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Renature (2020). </w:t>
      </w:r>
      <w:r w:rsidRPr="006E267A">
        <w:rPr>
          <w:rFonts w:asciiTheme="minorHAnsi" w:eastAsia="Calibri" w:hAnsiTheme="minorHAnsi" w:cstheme="minorHAnsi"/>
          <w:i/>
          <w:color w:val="000000"/>
          <w:sz w:val="18"/>
          <w:szCs w:val="18"/>
        </w:rPr>
        <w:t>Insights on Brazil</w:t>
      </w:r>
      <w:r w:rsidRPr="006E267A">
        <w:rPr>
          <w:rFonts w:asciiTheme="minorHAnsi" w:eastAsia="Calibri" w:hAnsiTheme="minorHAnsi" w:cstheme="minorHAnsi"/>
          <w:color w:val="000000"/>
          <w:sz w:val="18"/>
          <w:szCs w:val="18"/>
        </w:rPr>
        <w:t xml:space="preserve">. Available online: </w:t>
      </w:r>
      <w:hyperlink r:id="rId93">
        <w:r w:rsidRPr="006E267A">
          <w:rPr>
            <w:rFonts w:asciiTheme="minorHAnsi" w:eastAsia="Calibri" w:hAnsiTheme="minorHAnsi" w:cstheme="minorHAnsi"/>
            <w:color w:val="1155CC"/>
            <w:sz w:val="18"/>
            <w:szCs w:val="18"/>
            <w:u w:val="single"/>
          </w:rPr>
          <w:t>https://www.renature.co/articles/insights-on-brazil/</w:t>
        </w:r>
      </w:hyperlink>
      <w:r w:rsidRPr="006E267A">
        <w:rPr>
          <w:rFonts w:asciiTheme="minorHAnsi" w:eastAsia="Calibri" w:hAnsiTheme="minorHAnsi" w:cstheme="minorHAnsi"/>
          <w:color w:val="000000"/>
          <w:sz w:val="18"/>
          <w:szCs w:val="18"/>
        </w:rPr>
        <w:t xml:space="preserve"> </w:t>
      </w:r>
    </w:p>
  </w:footnote>
  <w:footnote w:id="89">
    <w:p w14:paraId="000001F1"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New Generation Plantations (2018). </w:t>
      </w:r>
      <w:r w:rsidRPr="006E267A">
        <w:rPr>
          <w:rFonts w:asciiTheme="minorHAnsi" w:eastAsia="Calibri" w:hAnsiTheme="minorHAnsi" w:cstheme="minorHAnsi"/>
          <w:i/>
          <w:color w:val="000000"/>
          <w:sz w:val="18"/>
          <w:szCs w:val="18"/>
        </w:rPr>
        <w:t>Rainforest Restoration in Brazil’s Atlantic Rainforest</w:t>
      </w:r>
      <w:r w:rsidRPr="006E267A">
        <w:rPr>
          <w:rFonts w:asciiTheme="minorHAnsi" w:eastAsia="Calibri" w:hAnsiTheme="minorHAnsi" w:cstheme="minorHAnsi"/>
          <w:color w:val="000000"/>
          <w:sz w:val="18"/>
          <w:szCs w:val="18"/>
        </w:rPr>
        <w:t xml:space="preserve">. Available online: </w:t>
      </w:r>
      <w:hyperlink r:id="rId94">
        <w:r w:rsidRPr="006E267A">
          <w:rPr>
            <w:rFonts w:asciiTheme="minorHAnsi" w:eastAsia="Calibri" w:hAnsiTheme="minorHAnsi" w:cstheme="minorHAnsi"/>
            <w:color w:val="1155CC"/>
            <w:sz w:val="18"/>
            <w:szCs w:val="18"/>
            <w:u w:val="single"/>
          </w:rPr>
          <w:t>https://newgenerationplantations.exposure.co/rainforest-restoration-in-brazils-atlantic-forest</w:t>
        </w:r>
      </w:hyperlink>
      <w:r w:rsidRPr="006E267A">
        <w:rPr>
          <w:rFonts w:asciiTheme="minorHAnsi" w:eastAsia="Calibri" w:hAnsiTheme="minorHAnsi" w:cstheme="minorHAnsi"/>
          <w:color w:val="000000"/>
          <w:sz w:val="18"/>
          <w:szCs w:val="18"/>
        </w:rPr>
        <w:t xml:space="preserve"> </w:t>
      </w:r>
    </w:p>
  </w:footnote>
  <w:footnote w:id="90">
    <w:p w14:paraId="000001F2"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Wenzel, F., Hofmeister, N. &amp; Papini, P. (2021). </w:t>
      </w:r>
      <w:r w:rsidRPr="006E267A">
        <w:rPr>
          <w:rFonts w:asciiTheme="minorHAnsi" w:eastAsia="Calibri" w:hAnsiTheme="minorHAnsi" w:cstheme="minorHAnsi"/>
          <w:i/>
          <w:color w:val="000000"/>
          <w:sz w:val="18"/>
          <w:szCs w:val="18"/>
        </w:rPr>
        <w:t>Demand for soy puts pressure on Pantanal, Brazil’s largest wild wetland</w:t>
      </w:r>
      <w:r w:rsidRPr="006E267A">
        <w:rPr>
          <w:rFonts w:asciiTheme="minorHAnsi" w:eastAsia="Calibri" w:hAnsiTheme="minorHAnsi" w:cstheme="minorHAnsi"/>
          <w:color w:val="000000"/>
          <w:sz w:val="18"/>
          <w:szCs w:val="18"/>
        </w:rPr>
        <w:t xml:space="preserve">. Available online: </w:t>
      </w:r>
      <w:hyperlink r:id="rId95">
        <w:r w:rsidRPr="006E267A">
          <w:rPr>
            <w:rFonts w:asciiTheme="minorHAnsi" w:eastAsia="Calibri" w:hAnsiTheme="minorHAnsi" w:cstheme="minorHAnsi"/>
            <w:color w:val="1155CC"/>
            <w:sz w:val="18"/>
            <w:szCs w:val="18"/>
            <w:u w:val="single"/>
          </w:rPr>
          <w:t>https://news.mongabay.com/2021/06/demand-for-soy-puts-pressure-on-pantanal-brazils-largest-wild-wetland/</w:t>
        </w:r>
      </w:hyperlink>
      <w:r w:rsidRPr="006E267A">
        <w:rPr>
          <w:rFonts w:asciiTheme="minorHAnsi" w:eastAsia="Calibri" w:hAnsiTheme="minorHAnsi" w:cstheme="minorHAnsi"/>
          <w:color w:val="000000"/>
          <w:sz w:val="18"/>
          <w:szCs w:val="18"/>
        </w:rPr>
        <w:t xml:space="preserve"> </w:t>
      </w:r>
    </w:p>
  </w:footnote>
  <w:footnote w:id="91">
    <w:p w14:paraId="000001F3"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WWF-Brasil (2015). </w:t>
      </w:r>
      <w:r w:rsidRPr="006E267A">
        <w:rPr>
          <w:rFonts w:asciiTheme="minorHAnsi" w:eastAsia="Calibri" w:hAnsiTheme="minorHAnsi" w:cstheme="minorHAnsi"/>
          <w:i/>
          <w:color w:val="000000"/>
          <w:sz w:val="18"/>
          <w:szCs w:val="18"/>
        </w:rPr>
        <w:t>10 Years of Sustainable Beef Production in the Pantanal (2004 - 2014)</w:t>
      </w:r>
      <w:r w:rsidRPr="006E267A">
        <w:rPr>
          <w:rFonts w:asciiTheme="minorHAnsi" w:eastAsia="Calibri" w:hAnsiTheme="minorHAnsi" w:cstheme="minorHAnsi"/>
          <w:color w:val="000000"/>
          <w:sz w:val="18"/>
          <w:szCs w:val="18"/>
        </w:rPr>
        <w:t xml:space="preserve">. Available online: </w:t>
      </w:r>
      <w:hyperlink r:id="rId96">
        <w:r w:rsidRPr="006E267A">
          <w:rPr>
            <w:rFonts w:asciiTheme="minorHAnsi" w:eastAsia="Calibri" w:hAnsiTheme="minorHAnsi" w:cstheme="minorHAnsi"/>
            <w:color w:val="1155CC"/>
            <w:sz w:val="18"/>
            <w:szCs w:val="18"/>
            <w:u w:val="single"/>
          </w:rPr>
          <w:t>https://wwfbr.awsassets.panda.org/downloads/10anospecuaria_ing.pdf</w:t>
        </w:r>
      </w:hyperlink>
      <w:r w:rsidRPr="006E267A">
        <w:rPr>
          <w:rFonts w:asciiTheme="minorHAnsi" w:eastAsia="Calibri" w:hAnsiTheme="minorHAnsi" w:cstheme="minorHAnsi"/>
          <w:color w:val="000000"/>
          <w:sz w:val="18"/>
          <w:szCs w:val="18"/>
        </w:rPr>
        <w:t xml:space="preserve"> </w:t>
      </w:r>
    </w:p>
  </w:footnote>
  <w:footnote w:id="92">
    <w:p w14:paraId="000001F4"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hAnsiTheme="minorHAnsi" w:cstheme="minorHAnsi"/>
          <w:color w:val="000000"/>
          <w:sz w:val="18"/>
          <w:szCs w:val="18"/>
        </w:rPr>
        <w:t xml:space="preserve"> </w:t>
      </w:r>
      <w:r w:rsidRPr="006E267A">
        <w:rPr>
          <w:rFonts w:asciiTheme="minorHAnsi" w:eastAsia="Calibri" w:hAnsiTheme="minorHAnsi" w:cstheme="minorHAnsi"/>
          <w:color w:val="000000"/>
          <w:sz w:val="18"/>
          <w:szCs w:val="18"/>
        </w:rPr>
        <w:t xml:space="preserve">EJF (2022). </w:t>
      </w:r>
      <w:r w:rsidRPr="006E267A">
        <w:rPr>
          <w:rFonts w:asciiTheme="minorHAnsi" w:eastAsia="Calibri" w:hAnsiTheme="minorHAnsi" w:cstheme="minorHAnsi"/>
          <w:i/>
          <w:color w:val="000000"/>
          <w:sz w:val="18"/>
          <w:szCs w:val="18"/>
        </w:rPr>
        <w:t xml:space="preserve">A Wetland Under Siege: Is the Pantanal a Paradise Lost? </w:t>
      </w:r>
      <w:r w:rsidRPr="006E267A">
        <w:rPr>
          <w:rFonts w:asciiTheme="minorHAnsi" w:eastAsia="Calibri" w:hAnsiTheme="minorHAnsi" w:cstheme="minorHAnsi"/>
          <w:color w:val="000000"/>
          <w:sz w:val="18"/>
          <w:szCs w:val="18"/>
        </w:rPr>
        <w:t>Available online</w:t>
      </w:r>
      <w:r w:rsidRPr="006E267A">
        <w:rPr>
          <w:rFonts w:asciiTheme="minorHAnsi" w:eastAsia="Calibri" w:hAnsiTheme="minorHAnsi" w:cstheme="minorHAnsi"/>
          <w:i/>
          <w:color w:val="000000"/>
          <w:sz w:val="18"/>
          <w:szCs w:val="18"/>
        </w:rPr>
        <w:t xml:space="preserve">: </w:t>
      </w:r>
      <w:hyperlink r:id="rId97">
        <w:r w:rsidRPr="006E267A">
          <w:rPr>
            <w:rFonts w:asciiTheme="minorHAnsi" w:eastAsia="Calibri" w:hAnsiTheme="minorHAnsi" w:cstheme="minorHAnsi"/>
            <w:i/>
            <w:color w:val="1155CC"/>
            <w:sz w:val="18"/>
            <w:szCs w:val="18"/>
            <w:u w:val="single"/>
          </w:rPr>
          <w:t>https://ejfoundation.org/news-media/a-wetland-under-siege-is-the-pantanal-a-paradise-lost</w:t>
        </w:r>
      </w:hyperlink>
      <w:r w:rsidRPr="006E267A">
        <w:rPr>
          <w:rFonts w:asciiTheme="minorHAnsi" w:eastAsia="Calibri" w:hAnsiTheme="minorHAnsi" w:cstheme="minorHAnsi"/>
          <w:i/>
          <w:color w:val="000000"/>
          <w:sz w:val="18"/>
          <w:szCs w:val="18"/>
        </w:rPr>
        <w:t xml:space="preserve"> </w:t>
      </w:r>
    </w:p>
  </w:footnote>
  <w:footnote w:id="93">
    <w:p w14:paraId="000001F5" w14:textId="77777777" w:rsidR="00490D7E" w:rsidRPr="0052709C"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lang w:val="fr-FR"/>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SEI (2022). </w:t>
      </w:r>
      <w:r w:rsidRPr="006E267A">
        <w:rPr>
          <w:rFonts w:asciiTheme="minorHAnsi" w:eastAsia="Calibri" w:hAnsiTheme="minorHAnsi" w:cstheme="minorHAnsi"/>
          <w:i/>
          <w:color w:val="000000"/>
          <w:sz w:val="18"/>
          <w:szCs w:val="18"/>
        </w:rPr>
        <w:t>Connecting exports of Brazilian soy to deforestation</w:t>
      </w:r>
      <w:r w:rsidRPr="006E267A">
        <w:rPr>
          <w:rFonts w:asciiTheme="minorHAnsi" w:eastAsia="Calibri" w:hAnsiTheme="minorHAnsi" w:cstheme="minorHAnsi"/>
          <w:color w:val="000000"/>
          <w:sz w:val="18"/>
          <w:szCs w:val="18"/>
        </w:rPr>
        <w:t xml:space="preserve">. </w:t>
      </w:r>
      <w:r w:rsidRPr="0052709C">
        <w:rPr>
          <w:rFonts w:asciiTheme="minorHAnsi" w:eastAsia="Calibri" w:hAnsiTheme="minorHAnsi" w:cstheme="minorHAnsi"/>
          <w:color w:val="000000"/>
          <w:sz w:val="18"/>
          <w:szCs w:val="18"/>
          <w:lang w:val="fr-FR"/>
        </w:rPr>
        <w:t xml:space="preserve">Available online: </w:t>
      </w:r>
      <w:hyperlink r:id="rId98">
        <w:r w:rsidRPr="0052709C">
          <w:rPr>
            <w:rFonts w:asciiTheme="minorHAnsi" w:eastAsia="Calibri" w:hAnsiTheme="minorHAnsi" w:cstheme="minorHAnsi"/>
            <w:color w:val="1155CC"/>
            <w:sz w:val="18"/>
            <w:szCs w:val="18"/>
            <w:u w:val="single"/>
            <w:lang w:val="fr-FR"/>
          </w:rPr>
          <w:t>https://www.sei.org/features/connecting-exports-of-brazilian-soy-to-deforestation/</w:t>
        </w:r>
      </w:hyperlink>
      <w:r w:rsidRPr="0052709C">
        <w:rPr>
          <w:rFonts w:asciiTheme="minorHAnsi" w:eastAsia="Calibri" w:hAnsiTheme="minorHAnsi" w:cstheme="minorHAnsi"/>
          <w:color w:val="000000"/>
          <w:sz w:val="18"/>
          <w:szCs w:val="18"/>
          <w:lang w:val="fr-FR"/>
        </w:rPr>
        <w:t xml:space="preserve"> </w:t>
      </w:r>
    </w:p>
  </w:footnote>
  <w:footnote w:id="94">
    <w:p w14:paraId="000001F6"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52709C">
        <w:rPr>
          <w:rFonts w:asciiTheme="minorHAnsi" w:eastAsia="Calibri" w:hAnsiTheme="minorHAnsi" w:cstheme="minorHAnsi"/>
          <w:color w:val="000000"/>
          <w:sz w:val="18"/>
          <w:szCs w:val="18"/>
          <w:lang w:val="fr-FR"/>
        </w:rPr>
        <w:t xml:space="preserve"> Moreira, J.G. et al. </w:t>
      </w:r>
      <w:r w:rsidRPr="006E267A">
        <w:rPr>
          <w:rFonts w:asciiTheme="minorHAnsi" w:eastAsia="Calibri" w:hAnsiTheme="minorHAnsi" w:cstheme="minorHAnsi"/>
          <w:color w:val="000000"/>
          <w:sz w:val="18"/>
          <w:szCs w:val="18"/>
        </w:rPr>
        <w:t xml:space="preserve">(2021). </w:t>
      </w:r>
      <w:r w:rsidRPr="006E267A">
        <w:rPr>
          <w:rFonts w:asciiTheme="minorHAnsi" w:eastAsia="Calibri" w:hAnsiTheme="minorHAnsi" w:cstheme="minorHAnsi"/>
          <w:i/>
          <w:color w:val="000000"/>
          <w:sz w:val="18"/>
          <w:szCs w:val="18"/>
        </w:rPr>
        <w:t>Brazilian Pampa Rangelands: Challenges in the Face of Soybean Expansion</w:t>
      </w:r>
      <w:r w:rsidRPr="006E267A">
        <w:rPr>
          <w:rFonts w:asciiTheme="minorHAnsi" w:eastAsia="Calibri" w:hAnsiTheme="minorHAnsi" w:cstheme="minorHAnsi"/>
          <w:color w:val="000000"/>
          <w:sz w:val="18"/>
          <w:szCs w:val="18"/>
        </w:rPr>
        <w:t xml:space="preserve">. Available online: </w:t>
      </w:r>
      <w:hyperlink r:id="rId99">
        <w:r w:rsidRPr="006E267A">
          <w:rPr>
            <w:rFonts w:asciiTheme="minorHAnsi" w:eastAsia="Calibri" w:hAnsiTheme="minorHAnsi" w:cstheme="minorHAnsi"/>
            <w:color w:val="1155CC"/>
            <w:sz w:val="18"/>
            <w:szCs w:val="18"/>
            <w:u w:val="single"/>
          </w:rPr>
          <w:t>https://uknowledge.uky.edu/cgi/viewcontent.cgi?article=4301&amp;context=igc</w:t>
        </w:r>
      </w:hyperlink>
      <w:r w:rsidRPr="006E267A">
        <w:rPr>
          <w:rFonts w:asciiTheme="minorHAnsi" w:eastAsia="Calibri" w:hAnsiTheme="minorHAnsi" w:cstheme="minorHAnsi"/>
          <w:color w:val="000000"/>
          <w:sz w:val="18"/>
          <w:szCs w:val="18"/>
        </w:rPr>
        <w:t xml:space="preserve"> </w:t>
      </w:r>
    </w:p>
  </w:footnote>
  <w:footnote w:id="95">
    <w:p w14:paraId="000001F7"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Andrade, B.O. (2023). </w:t>
      </w:r>
      <w:r w:rsidRPr="006E267A">
        <w:rPr>
          <w:rFonts w:asciiTheme="minorHAnsi" w:eastAsia="Calibri" w:hAnsiTheme="minorHAnsi" w:cstheme="minorHAnsi"/>
          <w:i/>
          <w:color w:val="000000"/>
          <w:sz w:val="18"/>
          <w:szCs w:val="18"/>
        </w:rPr>
        <w:t>12,500+ and counting: biodiversity in the Brazilian Pampa</w:t>
      </w:r>
      <w:r w:rsidRPr="006E267A">
        <w:rPr>
          <w:rFonts w:asciiTheme="minorHAnsi" w:eastAsia="Calibri" w:hAnsiTheme="minorHAnsi" w:cstheme="minorHAnsi"/>
          <w:color w:val="000000"/>
          <w:sz w:val="18"/>
          <w:szCs w:val="18"/>
        </w:rPr>
        <w:t xml:space="preserve">. Available online: </w:t>
      </w:r>
      <w:hyperlink r:id="rId100">
        <w:r w:rsidRPr="006E267A">
          <w:rPr>
            <w:rFonts w:asciiTheme="minorHAnsi" w:eastAsia="Calibri" w:hAnsiTheme="minorHAnsi" w:cstheme="minorHAnsi"/>
            <w:color w:val="000000"/>
            <w:sz w:val="18"/>
            <w:szCs w:val="18"/>
          </w:rPr>
          <w:t>https://escholarship.org/content/qt7tp2k884/qt7tp2k884_noSplash_2efc86ba27fea775ef04f49a8ec58904.pdf?t=rvuove</w:t>
        </w:r>
      </w:hyperlink>
      <w:r w:rsidRPr="006E267A">
        <w:rPr>
          <w:rFonts w:asciiTheme="minorHAnsi" w:eastAsia="Calibri" w:hAnsiTheme="minorHAnsi" w:cstheme="minorHAnsi"/>
          <w:color w:val="000000"/>
          <w:sz w:val="18"/>
          <w:szCs w:val="18"/>
        </w:rPr>
        <w:t xml:space="preserve"> </w:t>
      </w:r>
    </w:p>
  </w:footnote>
  <w:footnote w:id="96">
    <w:p w14:paraId="000001F8"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vertAlign w:val="superscript"/>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vertAlign w:val="superscript"/>
        </w:rPr>
        <w:t xml:space="preserve"> Virtual consultation with an expert in gender inclusion in restoration projects in Brazil. May 2024.</w:t>
      </w:r>
    </w:p>
  </w:footnote>
  <w:footnote w:id="97">
    <w:p w14:paraId="000001F9"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Mongabay (2022). Natural regeneration and women-led initiatives help drive Atlantic Forest Pact. Available online: </w:t>
      </w:r>
      <w:hyperlink r:id="rId101">
        <w:r w:rsidRPr="006E267A">
          <w:rPr>
            <w:rFonts w:asciiTheme="minorHAnsi" w:eastAsia="Calibri" w:hAnsiTheme="minorHAnsi" w:cstheme="minorHAnsi"/>
            <w:color w:val="000000"/>
            <w:sz w:val="18"/>
            <w:szCs w:val="18"/>
          </w:rPr>
          <w:t>https://news.mongabay.com/2022/07/natural-regeneration-and-women-led-initiatives-help-drive-atlantic-forest-pact/</w:t>
        </w:r>
      </w:hyperlink>
      <w:r w:rsidRPr="006E267A">
        <w:rPr>
          <w:rFonts w:asciiTheme="minorHAnsi" w:eastAsia="Calibri" w:hAnsiTheme="minorHAnsi" w:cstheme="minorHAnsi"/>
          <w:color w:val="000000"/>
          <w:sz w:val="18"/>
          <w:szCs w:val="18"/>
        </w:rPr>
        <w:t xml:space="preserve"> </w:t>
      </w:r>
    </w:p>
  </w:footnote>
  <w:footnote w:id="98">
    <w:p w14:paraId="000001FA"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Mello, D. (2014). Collective microenterprises and rural women’s economic empowerment in Brazilian Amazonia. </w:t>
      </w:r>
    </w:p>
  </w:footnote>
  <w:footnote w:id="99">
    <w:p w14:paraId="000001FB"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Ibid.</w:t>
      </w:r>
    </w:p>
  </w:footnote>
  <w:footnote w:id="100">
    <w:p w14:paraId="000001FC"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Cirad (2024). Restoring forests is good for people too. Available online: </w:t>
      </w:r>
      <w:hyperlink r:id="rId102">
        <w:r w:rsidRPr="006E267A">
          <w:rPr>
            <w:rFonts w:asciiTheme="minorHAnsi" w:eastAsia="Calibri" w:hAnsiTheme="minorHAnsi" w:cstheme="minorHAnsi"/>
            <w:color w:val="000000"/>
            <w:sz w:val="18"/>
            <w:szCs w:val="18"/>
          </w:rPr>
          <w:t>https://www.cirad.fr/en/cirad-news/news/2024/agroforestry-to-restore-forests-in-the-amazon</w:t>
        </w:r>
      </w:hyperlink>
      <w:r w:rsidRPr="006E267A">
        <w:rPr>
          <w:rFonts w:asciiTheme="minorHAnsi" w:eastAsia="Calibri" w:hAnsiTheme="minorHAnsi" w:cstheme="minorHAnsi"/>
          <w:color w:val="000000"/>
          <w:sz w:val="18"/>
          <w:szCs w:val="18"/>
        </w:rPr>
        <w:t xml:space="preserve"> </w:t>
      </w:r>
    </w:p>
  </w:footnote>
  <w:footnote w:id="101">
    <w:p w14:paraId="000001FD"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Araujo, Bragança, and Assunção (2022). Accessibility in the Amazon: Digital Solutions. Climate Policy Initiative. Available online: </w:t>
      </w:r>
      <w:hyperlink r:id="rId103">
        <w:r w:rsidRPr="006E267A">
          <w:rPr>
            <w:rFonts w:asciiTheme="minorHAnsi" w:eastAsia="Calibri" w:hAnsiTheme="minorHAnsi" w:cstheme="minorHAnsi"/>
            <w:color w:val="000000"/>
            <w:sz w:val="18"/>
            <w:szCs w:val="18"/>
          </w:rPr>
          <w:t>https://www.climatepolicyinitiative.org/publication/accessibility-in-the-amazon-digital-solutions/</w:t>
        </w:r>
      </w:hyperlink>
      <w:r w:rsidRPr="006E267A">
        <w:rPr>
          <w:rFonts w:asciiTheme="minorHAnsi" w:eastAsia="Calibri" w:hAnsiTheme="minorHAnsi" w:cstheme="minorHAnsi"/>
          <w:color w:val="000000"/>
          <w:sz w:val="18"/>
          <w:szCs w:val="18"/>
        </w:rPr>
        <w:t xml:space="preserve"> </w:t>
      </w:r>
    </w:p>
  </w:footnote>
  <w:footnote w:id="102">
    <w:p w14:paraId="000001FE"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E25E81">
        <w:rPr>
          <w:rFonts w:asciiTheme="minorHAnsi" w:eastAsia="Calibri" w:hAnsiTheme="minorHAnsi" w:cstheme="minorHAnsi"/>
          <w:color w:val="000000"/>
          <w:sz w:val="18"/>
          <w:szCs w:val="18"/>
          <w:lang w:val="es-MX"/>
        </w:rPr>
        <w:t xml:space="preserve"> Nakayama, L.F. et al. </w:t>
      </w:r>
      <w:r w:rsidRPr="006E267A">
        <w:rPr>
          <w:rFonts w:asciiTheme="minorHAnsi" w:eastAsia="Calibri" w:hAnsiTheme="minorHAnsi" w:cstheme="minorHAnsi"/>
          <w:color w:val="000000"/>
          <w:sz w:val="18"/>
          <w:szCs w:val="18"/>
        </w:rPr>
        <w:t xml:space="preserve">(2023). The Digital Divide in Brazil and Barriers to Telehealth and Equal Digital Health Care: Analysis of Internet Access Using Publicly Available Data. Available online: </w:t>
      </w:r>
      <w:hyperlink r:id="rId104">
        <w:r w:rsidRPr="006E267A">
          <w:rPr>
            <w:rFonts w:asciiTheme="minorHAnsi" w:eastAsia="Calibri" w:hAnsiTheme="minorHAnsi" w:cstheme="minorHAnsi"/>
            <w:color w:val="000000"/>
            <w:sz w:val="18"/>
            <w:szCs w:val="18"/>
          </w:rPr>
          <w:t>https://www.ncbi.nlm.nih.gov/pmc/articles/PMC10403759/</w:t>
        </w:r>
      </w:hyperlink>
      <w:r w:rsidRPr="006E267A">
        <w:rPr>
          <w:rFonts w:asciiTheme="minorHAnsi" w:eastAsia="Calibri" w:hAnsiTheme="minorHAnsi" w:cstheme="minorHAnsi"/>
          <w:color w:val="000000"/>
          <w:sz w:val="18"/>
          <w:szCs w:val="18"/>
        </w:rPr>
        <w:t xml:space="preserve"> </w:t>
      </w:r>
    </w:p>
  </w:footnote>
  <w:footnote w:id="103">
    <w:p w14:paraId="000001FF"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GSMA (2020). Connected Women: The Mobile Gender Gap Report 2020. Available online: </w:t>
      </w:r>
      <w:hyperlink r:id="rId105">
        <w:r w:rsidRPr="006E267A">
          <w:rPr>
            <w:rFonts w:asciiTheme="minorHAnsi" w:eastAsia="Calibri" w:hAnsiTheme="minorHAnsi" w:cstheme="minorHAnsi"/>
            <w:color w:val="000000"/>
            <w:sz w:val="18"/>
            <w:szCs w:val="18"/>
          </w:rPr>
          <w:t>https://www.gsma.com/solutions-and-impact/connectivity-for-good/mobile-for-development/wp-content/uploads/2020/05/GSMA-The-Mobile-Gender-Gap-Report-2020.pdf</w:t>
        </w:r>
      </w:hyperlink>
      <w:r w:rsidRPr="006E267A">
        <w:rPr>
          <w:rFonts w:asciiTheme="minorHAnsi" w:eastAsia="Calibri" w:hAnsiTheme="minorHAnsi" w:cstheme="minorHAnsi"/>
          <w:color w:val="000000"/>
          <w:sz w:val="18"/>
          <w:szCs w:val="18"/>
        </w:rPr>
        <w:t xml:space="preserve"> </w:t>
      </w:r>
    </w:p>
  </w:footnote>
  <w:footnote w:id="104">
    <w:p w14:paraId="00000200" w14:textId="77777777" w:rsidR="00490D7E" w:rsidRPr="00C96161"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lang w:val="es-MX"/>
        </w:rPr>
      </w:pPr>
      <w:r w:rsidRPr="006E267A">
        <w:rPr>
          <w:rFonts w:asciiTheme="minorHAnsi" w:hAnsiTheme="minorHAnsi" w:cstheme="minorHAnsi"/>
          <w:sz w:val="18"/>
          <w:szCs w:val="18"/>
          <w:vertAlign w:val="superscript"/>
        </w:rPr>
        <w:footnoteRef/>
      </w:r>
      <w:r w:rsidRPr="00C96161">
        <w:rPr>
          <w:rFonts w:asciiTheme="minorHAnsi" w:eastAsia="Calibri" w:hAnsiTheme="minorHAnsi" w:cstheme="minorHAnsi"/>
          <w:color w:val="000000"/>
          <w:sz w:val="18"/>
          <w:szCs w:val="18"/>
          <w:lang w:val="es-MX"/>
        </w:rPr>
        <w:t xml:space="preserve"> Ibid.</w:t>
      </w:r>
    </w:p>
  </w:footnote>
  <w:footnote w:id="105">
    <w:p w14:paraId="00000201"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C96161">
        <w:rPr>
          <w:rFonts w:asciiTheme="minorHAnsi" w:eastAsia="Calibri" w:hAnsiTheme="minorHAnsi" w:cstheme="minorHAnsi"/>
          <w:color w:val="000000"/>
          <w:sz w:val="18"/>
          <w:szCs w:val="18"/>
          <w:lang w:val="es-MX"/>
        </w:rPr>
        <w:t xml:space="preserve"> Hägele, R. &amp; Mansur, J.A. (2023). </w:t>
      </w:r>
      <w:r w:rsidRPr="006E267A">
        <w:rPr>
          <w:rFonts w:asciiTheme="minorHAnsi" w:eastAsia="Calibri" w:hAnsiTheme="minorHAnsi" w:cstheme="minorHAnsi"/>
          <w:color w:val="000000"/>
          <w:sz w:val="18"/>
          <w:szCs w:val="18"/>
        </w:rPr>
        <w:t xml:space="preserve">How Digitalisation and Technology Empower Women Working on the Ocean and Along the Amazon River. Available online: </w:t>
      </w:r>
      <w:hyperlink r:id="rId106">
        <w:r w:rsidRPr="006E267A">
          <w:rPr>
            <w:rFonts w:asciiTheme="minorHAnsi" w:eastAsia="Calibri" w:hAnsiTheme="minorHAnsi" w:cstheme="minorHAnsi"/>
            <w:color w:val="000000"/>
            <w:sz w:val="18"/>
            <w:szCs w:val="18"/>
          </w:rPr>
          <w:t>https://www.idos-research.de/en/the-current-column/article/how-digitalisation-and-technology-empower-women-working-on-the-ocean-and-along-the-amazon-river/</w:t>
        </w:r>
      </w:hyperlink>
      <w:r w:rsidRPr="006E267A">
        <w:rPr>
          <w:rFonts w:asciiTheme="minorHAnsi" w:eastAsia="Calibri" w:hAnsiTheme="minorHAnsi" w:cstheme="minorHAnsi"/>
          <w:color w:val="000000"/>
          <w:sz w:val="18"/>
          <w:szCs w:val="18"/>
        </w:rPr>
        <w:t xml:space="preserve"> </w:t>
      </w:r>
    </w:p>
  </w:footnote>
  <w:footnote w:id="106">
    <w:p w14:paraId="00000202"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GIZ &amp; BNDES (2019). Gender equality in projects for sustainable productive activities supported by the Amazon Fund/BNDES.</w:t>
      </w:r>
    </w:p>
  </w:footnote>
  <w:footnote w:id="107">
    <w:p w14:paraId="00000203" w14:textId="77777777" w:rsidR="00490D7E" w:rsidRPr="00E25E81"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CAPES (2022). Contributions of the Digital Girls in the Cerrado project within the scope of the IF Goiano - Campus Ceres. </w:t>
      </w:r>
      <w:r w:rsidRPr="00E25E81">
        <w:rPr>
          <w:rFonts w:asciiTheme="minorHAnsi" w:eastAsia="Calibri" w:hAnsiTheme="minorHAnsi" w:cstheme="minorHAnsi"/>
          <w:color w:val="000000"/>
          <w:sz w:val="18"/>
          <w:szCs w:val="18"/>
        </w:rPr>
        <w:t xml:space="preserve">Available online: </w:t>
      </w:r>
      <w:hyperlink r:id="rId107">
        <w:r w:rsidRPr="00E25E81">
          <w:rPr>
            <w:rFonts w:asciiTheme="minorHAnsi" w:eastAsia="Calibri" w:hAnsiTheme="minorHAnsi" w:cstheme="minorHAnsi"/>
            <w:color w:val="000000"/>
            <w:sz w:val="18"/>
            <w:szCs w:val="18"/>
          </w:rPr>
          <w:t>https://app.dimensions.ai/details/grant/grant.13395018</w:t>
        </w:r>
      </w:hyperlink>
      <w:r w:rsidRPr="00E25E81">
        <w:rPr>
          <w:rFonts w:asciiTheme="minorHAnsi" w:eastAsia="Calibri" w:hAnsiTheme="minorHAnsi" w:cstheme="minorHAnsi"/>
          <w:color w:val="000000"/>
          <w:sz w:val="18"/>
          <w:szCs w:val="18"/>
        </w:rPr>
        <w:t xml:space="preserve"> </w:t>
      </w:r>
    </w:p>
  </w:footnote>
  <w:footnote w:id="108">
    <w:p w14:paraId="00000204"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E25E81">
        <w:rPr>
          <w:rFonts w:asciiTheme="minorHAnsi" w:eastAsia="Calibri" w:hAnsiTheme="minorHAnsi" w:cstheme="minorHAnsi"/>
          <w:color w:val="000000"/>
          <w:sz w:val="18"/>
          <w:szCs w:val="18"/>
        </w:rPr>
        <w:t xml:space="preserve"> Castro, F.T. (2016). </w:t>
      </w:r>
      <w:r w:rsidRPr="00C96161">
        <w:rPr>
          <w:rFonts w:asciiTheme="minorHAnsi" w:eastAsia="Calibri" w:hAnsiTheme="minorHAnsi" w:cstheme="minorHAnsi"/>
          <w:color w:val="000000"/>
          <w:sz w:val="18"/>
          <w:szCs w:val="18"/>
          <w:lang w:val="pt-BR"/>
        </w:rPr>
        <w:t xml:space="preserve">Juventude rural e as contribuições do Projeto Transformar de capacitação de jovens rurais no sul de Minas Gerais (2006-2013). </w:t>
      </w:r>
      <w:r w:rsidRPr="006E267A">
        <w:rPr>
          <w:rFonts w:asciiTheme="minorHAnsi" w:eastAsia="Calibri" w:hAnsiTheme="minorHAnsi" w:cstheme="minorHAnsi"/>
          <w:color w:val="000000"/>
          <w:sz w:val="18"/>
          <w:szCs w:val="18"/>
        </w:rPr>
        <w:t xml:space="preserve">Available online: </w:t>
      </w:r>
      <w:hyperlink r:id="rId108">
        <w:r w:rsidRPr="006E267A">
          <w:rPr>
            <w:rFonts w:asciiTheme="minorHAnsi" w:eastAsia="Calibri" w:hAnsiTheme="minorHAnsi" w:cstheme="minorHAnsi"/>
            <w:color w:val="000000"/>
            <w:sz w:val="18"/>
            <w:szCs w:val="18"/>
          </w:rPr>
          <w:t>https://seer.ufu.br/index.php/revextensao/article/view/33822</w:t>
        </w:r>
      </w:hyperlink>
      <w:r w:rsidRPr="006E267A">
        <w:rPr>
          <w:rFonts w:asciiTheme="minorHAnsi" w:eastAsia="Calibri" w:hAnsiTheme="minorHAnsi" w:cstheme="minorHAnsi"/>
          <w:color w:val="000000"/>
          <w:sz w:val="18"/>
          <w:szCs w:val="18"/>
        </w:rPr>
        <w:t xml:space="preserve"> </w:t>
      </w:r>
    </w:p>
  </w:footnote>
  <w:footnote w:id="109">
    <w:p w14:paraId="00000205"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Arends-Kuenning, M. et al. (2021). Gender, education, and farm succession in Western Paraná State, Brazil. Available online: </w:t>
      </w:r>
      <w:hyperlink r:id="rId109">
        <w:r w:rsidRPr="006E267A">
          <w:rPr>
            <w:rFonts w:asciiTheme="minorHAnsi" w:eastAsia="Calibri" w:hAnsiTheme="minorHAnsi" w:cstheme="minorHAnsi"/>
            <w:color w:val="000000"/>
            <w:sz w:val="18"/>
            <w:szCs w:val="18"/>
          </w:rPr>
          <w:t>https://www-sciencedirect-com.gate3.library.lse.ac.uk/science/article/pii/S0264837721001769?via%3Dihub</w:t>
        </w:r>
      </w:hyperlink>
      <w:r w:rsidRPr="006E267A">
        <w:rPr>
          <w:rFonts w:asciiTheme="minorHAnsi" w:eastAsia="Calibri" w:hAnsiTheme="minorHAnsi" w:cstheme="minorHAnsi"/>
          <w:color w:val="000000"/>
          <w:sz w:val="18"/>
          <w:szCs w:val="18"/>
        </w:rPr>
        <w:t xml:space="preserve"> </w:t>
      </w:r>
    </w:p>
  </w:footnote>
  <w:footnote w:id="110">
    <w:p w14:paraId="00000206"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Deere and Catanzarite (2017). </w:t>
      </w:r>
      <w:r w:rsidRPr="006E267A">
        <w:rPr>
          <w:rFonts w:asciiTheme="minorHAnsi" w:eastAsia="Calibri" w:hAnsiTheme="minorHAnsi" w:cstheme="minorHAnsi"/>
          <w:i/>
          <w:color w:val="000000"/>
          <w:sz w:val="18"/>
          <w:szCs w:val="18"/>
        </w:rPr>
        <w:t>Who borrows to accumulate assets? Class, gender, and indebtedness in Ecuador’s</w:t>
      </w:r>
    </w:p>
    <w:p w14:paraId="00000207"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eastAsia="Calibri" w:hAnsiTheme="minorHAnsi" w:cstheme="minorHAnsi"/>
          <w:i/>
          <w:color w:val="000000"/>
          <w:sz w:val="18"/>
          <w:szCs w:val="18"/>
        </w:rPr>
        <w:t xml:space="preserve">credit market. </w:t>
      </w:r>
      <w:r w:rsidRPr="006E267A">
        <w:rPr>
          <w:rFonts w:asciiTheme="minorHAnsi" w:eastAsia="Calibri" w:hAnsiTheme="minorHAnsi" w:cstheme="minorHAnsi"/>
          <w:color w:val="000000"/>
          <w:sz w:val="18"/>
          <w:szCs w:val="18"/>
        </w:rPr>
        <w:t xml:space="preserve">CEPAL. Available online: </w:t>
      </w:r>
      <w:hyperlink r:id="rId110">
        <w:r w:rsidRPr="006E267A">
          <w:rPr>
            <w:rFonts w:asciiTheme="minorHAnsi" w:eastAsia="Calibri" w:hAnsiTheme="minorHAnsi" w:cstheme="minorHAnsi"/>
            <w:color w:val="000000"/>
            <w:sz w:val="18"/>
            <w:szCs w:val="18"/>
            <w:u w:val="single"/>
          </w:rPr>
          <w:t>https://www.cepal.org/sites/default/files/publication/files/42661/RVI122_Deere.pdf</w:t>
        </w:r>
      </w:hyperlink>
      <w:r w:rsidRPr="006E267A">
        <w:rPr>
          <w:rFonts w:asciiTheme="minorHAnsi" w:eastAsia="Calibri" w:hAnsiTheme="minorHAnsi" w:cstheme="minorHAnsi"/>
          <w:color w:val="000000"/>
          <w:sz w:val="18"/>
          <w:szCs w:val="18"/>
        </w:rPr>
        <w:t xml:space="preserve"> </w:t>
      </w:r>
    </w:p>
  </w:footnote>
  <w:footnote w:id="111">
    <w:p w14:paraId="00000208" w14:textId="77777777" w:rsidR="00490D7E" w:rsidRPr="006E267A" w:rsidRDefault="00707826" w:rsidP="006E267A">
      <w:pPr>
        <w:pBdr>
          <w:top w:val="nil"/>
          <w:left w:val="nil"/>
          <w:bottom w:val="nil"/>
          <w:right w:val="nil"/>
          <w:between w:val="nil"/>
        </w:pBdr>
        <w:spacing w:line="240" w:lineRule="auto"/>
        <w:rPr>
          <w:rFonts w:asciiTheme="minorHAnsi" w:eastAsia="Calibri" w:hAnsiTheme="minorHAnsi" w:cstheme="minorHAnsi"/>
          <w:color w:val="000000"/>
          <w:sz w:val="18"/>
          <w:szCs w:val="18"/>
        </w:rPr>
      </w:pPr>
      <w:r w:rsidRPr="006E267A">
        <w:rPr>
          <w:rFonts w:asciiTheme="minorHAnsi" w:hAnsiTheme="minorHAnsi" w:cstheme="minorHAnsi"/>
          <w:sz w:val="18"/>
          <w:szCs w:val="18"/>
          <w:vertAlign w:val="superscript"/>
        </w:rPr>
        <w:footnoteRef/>
      </w:r>
      <w:r w:rsidRPr="006E267A">
        <w:rPr>
          <w:rFonts w:asciiTheme="minorHAnsi" w:eastAsia="Calibri" w:hAnsiTheme="minorHAnsi" w:cstheme="minorHAnsi"/>
          <w:color w:val="000000"/>
          <w:sz w:val="18"/>
          <w:szCs w:val="18"/>
        </w:rPr>
        <w:t xml:space="preserve"> GEF (2018). </w:t>
      </w:r>
      <w:r w:rsidRPr="006E267A">
        <w:rPr>
          <w:rFonts w:asciiTheme="minorHAnsi" w:eastAsia="Calibri" w:hAnsiTheme="minorHAnsi" w:cstheme="minorHAnsi"/>
          <w:i/>
          <w:color w:val="000000"/>
          <w:sz w:val="18"/>
          <w:szCs w:val="18"/>
        </w:rPr>
        <w:t xml:space="preserve">Guidance to Advance Gender Equality in GEF Projects and Programs. </w:t>
      </w:r>
      <w:r w:rsidRPr="006E267A">
        <w:rPr>
          <w:rFonts w:asciiTheme="minorHAnsi" w:eastAsia="Calibri" w:hAnsiTheme="minorHAnsi" w:cstheme="minorHAnsi"/>
          <w:color w:val="000000"/>
          <w:sz w:val="18"/>
          <w:szCs w:val="18"/>
        </w:rPr>
        <w:t xml:space="preserve">Available online: </w:t>
      </w:r>
      <w:hyperlink r:id="rId111">
        <w:r w:rsidRPr="006E267A">
          <w:rPr>
            <w:rFonts w:asciiTheme="minorHAnsi" w:eastAsia="Calibri" w:hAnsiTheme="minorHAnsi" w:cstheme="minorHAnsi"/>
            <w:color w:val="000000"/>
            <w:sz w:val="18"/>
            <w:szCs w:val="18"/>
            <w:u w:val="single"/>
          </w:rPr>
          <w:t>https://www.thegef.org/sites/default/files/publications/GEF_GenderGuidelines_Dec2018_CRA_web.pdf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09" w14:textId="77777777" w:rsidR="00490D7E" w:rsidRDefault="00490D7E">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0A" w14:textId="77777777" w:rsidR="00490D7E" w:rsidRDefault="00707826">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65F520DF" wp14:editId="07FB00A7">
          <wp:simplePos x="0" y="0"/>
          <wp:positionH relativeFrom="column">
            <wp:posOffset>2162175</wp:posOffset>
          </wp:positionH>
          <wp:positionV relativeFrom="paragraph">
            <wp:posOffset>-323846</wp:posOffset>
          </wp:positionV>
          <wp:extent cx="1619250" cy="668655"/>
          <wp:effectExtent l="0" t="0" r="0" b="0"/>
          <wp:wrapSquare wrapText="bothSides" distT="0" distB="0" distL="114300" distR="114300"/>
          <wp:docPr id="5" name="image1.png" descr="A close up of a logo&#10;&#10;Description generated with very high confidence"/>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generated with very high confidence"/>
                  <pic:cNvPicPr preferRelativeResize="0"/>
                </pic:nvPicPr>
                <pic:blipFill>
                  <a:blip r:embed="rId1"/>
                  <a:srcRect l="67223" t="1847" r="4582" b="89147"/>
                  <a:stretch>
                    <a:fillRect/>
                  </a:stretch>
                </pic:blipFill>
                <pic:spPr>
                  <a:xfrm>
                    <a:off x="0" y="0"/>
                    <a:ext cx="1619250" cy="66865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0B" w14:textId="77777777" w:rsidR="00490D7E" w:rsidRDefault="00490D7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57ED8"/>
    <w:multiLevelType w:val="multilevel"/>
    <w:tmpl w:val="D0D86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BD0A37"/>
    <w:multiLevelType w:val="multilevel"/>
    <w:tmpl w:val="0B46E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904053"/>
    <w:multiLevelType w:val="multilevel"/>
    <w:tmpl w:val="DF2659EC"/>
    <w:lvl w:ilvl="0">
      <w:start w:val="1"/>
      <w:numFmt w:val="decimal"/>
      <w:lvlText w:val="%1."/>
      <w:lvlJc w:val="left"/>
      <w:pPr>
        <w:ind w:left="706" w:hanging="360"/>
      </w:pPr>
    </w:lvl>
    <w:lvl w:ilvl="1">
      <w:start w:val="1"/>
      <w:numFmt w:val="lowerLetter"/>
      <w:lvlText w:val="%2."/>
      <w:lvlJc w:val="left"/>
      <w:pPr>
        <w:ind w:left="1426" w:hanging="360"/>
      </w:pPr>
    </w:lvl>
    <w:lvl w:ilvl="2">
      <w:start w:val="1"/>
      <w:numFmt w:val="lowerRoman"/>
      <w:lvlText w:val="%3."/>
      <w:lvlJc w:val="right"/>
      <w:pPr>
        <w:ind w:left="2146" w:hanging="180"/>
      </w:pPr>
    </w:lvl>
    <w:lvl w:ilvl="3">
      <w:start w:val="1"/>
      <w:numFmt w:val="decimal"/>
      <w:lvlText w:val="%4."/>
      <w:lvlJc w:val="left"/>
      <w:pPr>
        <w:ind w:left="2866" w:hanging="360"/>
      </w:pPr>
    </w:lvl>
    <w:lvl w:ilvl="4">
      <w:start w:val="1"/>
      <w:numFmt w:val="lowerLetter"/>
      <w:lvlText w:val="%5."/>
      <w:lvlJc w:val="left"/>
      <w:pPr>
        <w:ind w:left="3586" w:hanging="360"/>
      </w:pPr>
    </w:lvl>
    <w:lvl w:ilvl="5">
      <w:start w:val="1"/>
      <w:numFmt w:val="lowerRoman"/>
      <w:lvlText w:val="%6."/>
      <w:lvlJc w:val="right"/>
      <w:pPr>
        <w:ind w:left="4306" w:hanging="180"/>
      </w:pPr>
    </w:lvl>
    <w:lvl w:ilvl="6">
      <w:start w:val="1"/>
      <w:numFmt w:val="decimal"/>
      <w:lvlText w:val="%7."/>
      <w:lvlJc w:val="left"/>
      <w:pPr>
        <w:ind w:left="5026" w:hanging="360"/>
      </w:pPr>
    </w:lvl>
    <w:lvl w:ilvl="7">
      <w:start w:val="1"/>
      <w:numFmt w:val="lowerLetter"/>
      <w:lvlText w:val="%8."/>
      <w:lvlJc w:val="left"/>
      <w:pPr>
        <w:ind w:left="5746" w:hanging="360"/>
      </w:pPr>
    </w:lvl>
    <w:lvl w:ilvl="8">
      <w:start w:val="1"/>
      <w:numFmt w:val="lowerRoman"/>
      <w:lvlText w:val="%9."/>
      <w:lvlJc w:val="right"/>
      <w:pPr>
        <w:ind w:left="6466" w:hanging="180"/>
      </w:pPr>
    </w:lvl>
  </w:abstractNum>
  <w:abstractNum w:abstractNumId="3" w15:restartNumberingAfterBreak="0">
    <w:nsid w:val="06C26C2C"/>
    <w:multiLevelType w:val="multilevel"/>
    <w:tmpl w:val="24240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86C4717"/>
    <w:multiLevelType w:val="multilevel"/>
    <w:tmpl w:val="FA88E0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93440B1"/>
    <w:multiLevelType w:val="multilevel"/>
    <w:tmpl w:val="180CD0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763A69"/>
    <w:multiLevelType w:val="multilevel"/>
    <w:tmpl w:val="0E4E01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F92877"/>
    <w:multiLevelType w:val="multilevel"/>
    <w:tmpl w:val="512697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30140CA"/>
    <w:multiLevelType w:val="multilevel"/>
    <w:tmpl w:val="8AAA1D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4A20CEE"/>
    <w:multiLevelType w:val="multilevel"/>
    <w:tmpl w:val="5D9827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B6B68F5"/>
    <w:multiLevelType w:val="multilevel"/>
    <w:tmpl w:val="83DE7B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15A7987"/>
    <w:multiLevelType w:val="multilevel"/>
    <w:tmpl w:val="0AC6BE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CE37245"/>
    <w:multiLevelType w:val="multilevel"/>
    <w:tmpl w:val="257EDB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E5141C9"/>
    <w:multiLevelType w:val="multilevel"/>
    <w:tmpl w:val="12CC5A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21102577">
    <w:abstractNumId w:val="13"/>
  </w:num>
  <w:num w:numId="2" w16cid:durableId="1772510987">
    <w:abstractNumId w:val="12"/>
  </w:num>
  <w:num w:numId="3" w16cid:durableId="1762414910">
    <w:abstractNumId w:val="2"/>
  </w:num>
  <w:num w:numId="4" w16cid:durableId="2081361857">
    <w:abstractNumId w:val="6"/>
  </w:num>
  <w:num w:numId="5" w16cid:durableId="1727098128">
    <w:abstractNumId w:val="5"/>
  </w:num>
  <w:num w:numId="6" w16cid:durableId="1691905061">
    <w:abstractNumId w:val="7"/>
  </w:num>
  <w:num w:numId="7" w16cid:durableId="928734058">
    <w:abstractNumId w:val="4"/>
  </w:num>
  <w:num w:numId="8" w16cid:durableId="493617362">
    <w:abstractNumId w:val="11"/>
  </w:num>
  <w:num w:numId="9" w16cid:durableId="531265339">
    <w:abstractNumId w:val="0"/>
  </w:num>
  <w:num w:numId="10" w16cid:durableId="1354768257">
    <w:abstractNumId w:val="9"/>
  </w:num>
  <w:num w:numId="11" w16cid:durableId="108815257">
    <w:abstractNumId w:val="8"/>
  </w:num>
  <w:num w:numId="12" w16cid:durableId="903830441">
    <w:abstractNumId w:val="3"/>
  </w:num>
  <w:num w:numId="13" w16cid:durableId="513344161">
    <w:abstractNumId w:val="10"/>
  </w:num>
  <w:num w:numId="14" w16cid:durableId="767433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D7E"/>
    <w:rsid w:val="000E2506"/>
    <w:rsid w:val="001958AF"/>
    <w:rsid w:val="0023393F"/>
    <w:rsid w:val="00330F56"/>
    <w:rsid w:val="00341213"/>
    <w:rsid w:val="003913B7"/>
    <w:rsid w:val="003E7F2E"/>
    <w:rsid w:val="003F7A88"/>
    <w:rsid w:val="00490D7E"/>
    <w:rsid w:val="004B5776"/>
    <w:rsid w:val="0052709C"/>
    <w:rsid w:val="00585500"/>
    <w:rsid w:val="005E03D8"/>
    <w:rsid w:val="00650A4D"/>
    <w:rsid w:val="00654866"/>
    <w:rsid w:val="006E267A"/>
    <w:rsid w:val="00707826"/>
    <w:rsid w:val="0077164E"/>
    <w:rsid w:val="00791670"/>
    <w:rsid w:val="00792EAA"/>
    <w:rsid w:val="00801E70"/>
    <w:rsid w:val="00A23CF9"/>
    <w:rsid w:val="00A2401B"/>
    <w:rsid w:val="00B039AD"/>
    <w:rsid w:val="00C66820"/>
    <w:rsid w:val="00C96161"/>
    <w:rsid w:val="00E25E81"/>
    <w:rsid w:val="00EC55FB"/>
    <w:rsid w:val="00F04C97"/>
    <w:rsid w:val="00F4791A"/>
    <w:rsid w:val="00F90CCC"/>
    <w:rsid w:val="00F96548"/>
    <w:rsid w:val="00FB3B5B"/>
    <w:rsid w:val="00FE4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EECA3"/>
  <w15:docId w15:val="{2D4150AF-43C1-4F0D-AC37-BC94A979E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BB99486"/>
  </w:style>
  <w:style w:type="paragraph" w:styleId="Ttulo1">
    <w:name w:val="heading 1"/>
    <w:basedOn w:val="Normal"/>
    <w:next w:val="Normal"/>
    <w:uiPriority w:val="9"/>
    <w:qFormat/>
    <w:rsid w:val="1BB99486"/>
    <w:pPr>
      <w:keepNext/>
      <w:keepLines/>
      <w:spacing w:before="480" w:after="120"/>
      <w:outlineLvl w:val="0"/>
    </w:pPr>
    <w:rPr>
      <w:b/>
      <w:bCs/>
      <w:sz w:val="48"/>
      <w:szCs w:val="48"/>
    </w:rPr>
  </w:style>
  <w:style w:type="paragraph" w:styleId="Ttulo2">
    <w:name w:val="heading 2"/>
    <w:basedOn w:val="Normal"/>
    <w:next w:val="Normal"/>
    <w:uiPriority w:val="9"/>
    <w:semiHidden/>
    <w:unhideWhenUsed/>
    <w:qFormat/>
    <w:rsid w:val="1BB99486"/>
    <w:pPr>
      <w:keepNext/>
      <w:keepLines/>
      <w:tabs>
        <w:tab w:val="right" w:pos="73"/>
        <w:tab w:val="right" w:pos="1712"/>
        <w:tab w:val="right" w:pos="4160"/>
        <w:tab w:val="right" w:pos="6528"/>
        <w:tab w:val="right" w:pos="9384"/>
      </w:tabs>
      <w:spacing w:before="120" w:after="120"/>
      <w:jc w:val="both"/>
      <w:outlineLvl w:val="1"/>
    </w:pPr>
    <w:rPr>
      <w:rFonts w:ascii="Calibri" w:eastAsia="Calibri" w:hAnsi="Calibri" w:cs="Calibri"/>
      <w:b/>
      <w:bCs/>
      <w:u w:val="single"/>
    </w:rPr>
  </w:style>
  <w:style w:type="paragraph" w:styleId="Ttulo3">
    <w:name w:val="heading 3"/>
    <w:basedOn w:val="Normal"/>
    <w:next w:val="Normal"/>
    <w:uiPriority w:val="9"/>
    <w:semiHidden/>
    <w:unhideWhenUsed/>
    <w:qFormat/>
    <w:rsid w:val="1BB99486"/>
    <w:pPr>
      <w:keepNext/>
      <w:keepLines/>
      <w:tabs>
        <w:tab w:val="right" w:pos="73"/>
        <w:tab w:val="right" w:pos="1712"/>
        <w:tab w:val="right" w:pos="4160"/>
        <w:tab w:val="right" w:pos="6528"/>
        <w:tab w:val="right" w:pos="9384"/>
      </w:tabs>
      <w:spacing w:before="120" w:after="120"/>
      <w:jc w:val="both"/>
      <w:outlineLvl w:val="2"/>
    </w:pPr>
    <w:rPr>
      <w:rFonts w:ascii="Calibri" w:eastAsia="Calibri" w:hAnsi="Calibri" w:cs="Calibri"/>
      <w:b/>
      <w:bCs/>
    </w:rPr>
  </w:style>
  <w:style w:type="paragraph" w:styleId="Ttulo4">
    <w:name w:val="heading 4"/>
    <w:basedOn w:val="Normal"/>
    <w:next w:val="Normal"/>
    <w:uiPriority w:val="9"/>
    <w:semiHidden/>
    <w:unhideWhenUsed/>
    <w:qFormat/>
    <w:rsid w:val="1BB99486"/>
    <w:pPr>
      <w:keepNext/>
      <w:keepLines/>
      <w:spacing w:before="240" w:after="40"/>
      <w:outlineLvl w:val="3"/>
    </w:pPr>
    <w:rPr>
      <w:b/>
      <w:bCs/>
    </w:rPr>
  </w:style>
  <w:style w:type="paragraph" w:styleId="Ttulo5">
    <w:name w:val="heading 5"/>
    <w:basedOn w:val="Normal"/>
    <w:next w:val="Normal"/>
    <w:uiPriority w:val="9"/>
    <w:semiHidden/>
    <w:unhideWhenUsed/>
    <w:qFormat/>
    <w:rsid w:val="1BB99486"/>
    <w:pPr>
      <w:keepNext/>
      <w:keepLines/>
      <w:spacing w:before="220" w:after="40"/>
      <w:outlineLvl w:val="4"/>
    </w:pPr>
    <w:rPr>
      <w:b/>
      <w:bCs/>
    </w:rPr>
  </w:style>
  <w:style w:type="paragraph" w:styleId="Ttulo6">
    <w:name w:val="heading 6"/>
    <w:basedOn w:val="Normal"/>
    <w:next w:val="Normal"/>
    <w:uiPriority w:val="9"/>
    <w:semiHidden/>
    <w:unhideWhenUsed/>
    <w:qFormat/>
    <w:rsid w:val="1BB99486"/>
    <w:pPr>
      <w:keepNext/>
      <w:keepLines/>
      <w:spacing w:before="200" w:after="40"/>
      <w:outlineLvl w:val="5"/>
    </w:pPr>
    <w:rPr>
      <w:b/>
      <w:bCs/>
      <w:sz w:val="20"/>
      <w:szCs w:val="20"/>
    </w:rPr>
  </w:style>
  <w:style w:type="paragraph" w:styleId="Ttulo7">
    <w:name w:val="heading 7"/>
    <w:basedOn w:val="Normal"/>
    <w:next w:val="Normal"/>
    <w:link w:val="Ttulo7Car"/>
    <w:uiPriority w:val="9"/>
    <w:unhideWhenUsed/>
    <w:qFormat/>
    <w:rsid w:val="1BB99486"/>
    <w:pPr>
      <w:keepNext/>
      <w:keepLines/>
      <w:spacing w:before="40"/>
      <w:outlineLvl w:val="6"/>
    </w:pPr>
    <w:rPr>
      <w:rFonts w:asciiTheme="majorHAnsi" w:eastAsiaTheme="majorEastAsia" w:hAnsiTheme="majorHAnsi" w:cstheme="majorBidi"/>
      <w:i/>
      <w:iCs/>
      <w:color w:val="1F3763"/>
    </w:rPr>
  </w:style>
  <w:style w:type="paragraph" w:styleId="Ttulo8">
    <w:name w:val="heading 8"/>
    <w:basedOn w:val="Normal"/>
    <w:next w:val="Normal"/>
    <w:link w:val="Ttulo8Car"/>
    <w:uiPriority w:val="9"/>
    <w:unhideWhenUsed/>
    <w:qFormat/>
    <w:rsid w:val="1BB99486"/>
    <w:pPr>
      <w:keepNext/>
      <w:keepLines/>
      <w:spacing w:before="4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ar"/>
    <w:uiPriority w:val="9"/>
    <w:unhideWhenUsed/>
    <w:qFormat/>
    <w:rsid w:val="1BB99486"/>
    <w:pPr>
      <w:keepNext/>
      <w:keepLines/>
      <w:spacing w:before="40"/>
      <w:outlineLvl w:val="8"/>
    </w:pPr>
    <w:rPr>
      <w:rFonts w:asciiTheme="majorHAnsi" w:eastAsiaTheme="majorEastAsia" w:hAnsiTheme="majorHAnsi" w:cstheme="majorBidi"/>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rsid w:val="1BB99486"/>
    <w:pPr>
      <w:keepNext/>
      <w:keepLines/>
      <w:spacing w:before="480" w:after="120"/>
    </w:pPr>
    <w:rPr>
      <w:b/>
      <w:bCs/>
      <w:sz w:val="72"/>
      <w:szCs w:val="7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00" w:after="120"/>
    </w:pPr>
    <w:rPr>
      <w:sz w:val="40"/>
      <w:szCs w:val="40"/>
    </w:rPr>
  </w:style>
  <w:style w:type="paragraph" w:customStyle="1" w:styleId="heading20">
    <w:name w:val="heading 20"/>
    <w:basedOn w:val="Normal0"/>
    <w:next w:val="Normal0"/>
    <w:pPr>
      <w:keepNext/>
      <w:keepLines/>
      <w:spacing w:before="360" w:after="120"/>
    </w:pPr>
    <w:rPr>
      <w:sz w:val="32"/>
      <w:szCs w:val="32"/>
    </w:rPr>
  </w:style>
  <w:style w:type="paragraph" w:customStyle="1" w:styleId="heading30">
    <w:name w:val="heading 30"/>
    <w:basedOn w:val="Normal0"/>
    <w:next w:val="Normal0"/>
    <w:pPr>
      <w:keepNext/>
      <w:keepLines/>
      <w:spacing w:before="320" w:after="80"/>
    </w:pPr>
    <w:rPr>
      <w:color w:val="434343"/>
      <w:sz w:val="28"/>
      <w:szCs w:val="28"/>
    </w:rPr>
  </w:style>
  <w:style w:type="paragraph" w:customStyle="1" w:styleId="heading40">
    <w:name w:val="heading 40"/>
    <w:basedOn w:val="Normal0"/>
    <w:next w:val="Normal0"/>
    <w:pPr>
      <w:keepNext/>
      <w:keepLines/>
      <w:spacing w:before="280" w:after="80"/>
    </w:pPr>
    <w:rPr>
      <w:color w:val="666666"/>
      <w:sz w:val="24"/>
      <w:szCs w:val="24"/>
    </w:rPr>
  </w:style>
  <w:style w:type="paragraph" w:customStyle="1" w:styleId="heading50">
    <w:name w:val="heading 50"/>
    <w:basedOn w:val="Normal0"/>
    <w:next w:val="Normal0"/>
    <w:pPr>
      <w:keepNext/>
      <w:keepLines/>
      <w:spacing w:before="240" w:after="80"/>
    </w:pPr>
    <w:rPr>
      <w:color w:val="666666"/>
    </w:rPr>
  </w:style>
  <w:style w:type="paragraph" w:customStyle="1" w:styleId="heading60">
    <w:name w:val="heading 60"/>
    <w:basedOn w:val="Normal0"/>
    <w:next w:val="Normal0"/>
    <w:pPr>
      <w:keepNext/>
      <w:keepLines/>
      <w:spacing w:before="240" w:after="80"/>
    </w:pPr>
    <w:rPr>
      <w:i/>
      <w:color w:val="666666"/>
    </w:rPr>
  </w:style>
  <w:style w:type="paragraph" w:customStyle="1" w:styleId="Title0">
    <w:name w:val="Title0"/>
    <w:basedOn w:val="Normal0"/>
    <w:next w:val="Normal0"/>
    <w:pPr>
      <w:keepNext/>
      <w:keepLines/>
      <w:spacing w:after="60"/>
    </w:pPr>
    <w:rPr>
      <w:sz w:val="52"/>
      <w:szCs w:val="52"/>
    </w:rPr>
  </w:style>
  <w:style w:type="paragraph" w:customStyle="1" w:styleId="Normal1">
    <w:name w:val="Normal1"/>
    <w:qFormat/>
    <w:rsid w:val="001D2E66"/>
  </w:style>
  <w:style w:type="paragraph" w:customStyle="1" w:styleId="heading11">
    <w:name w:val="heading 11"/>
    <w:basedOn w:val="Normal1"/>
    <w:next w:val="Normal1"/>
    <w:uiPriority w:val="9"/>
    <w:qFormat/>
    <w:pPr>
      <w:keepNext/>
      <w:keepLines/>
      <w:spacing w:before="480" w:after="120"/>
      <w:outlineLvl w:val="0"/>
    </w:pPr>
    <w:rPr>
      <w:b/>
      <w:sz w:val="48"/>
      <w:szCs w:val="48"/>
    </w:rPr>
  </w:style>
  <w:style w:type="paragraph" w:customStyle="1" w:styleId="heading21">
    <w:name w:val="heading 21"/>
    <w:basedOn w:val="Normal1"/>
    <w:next w:val="Normal1"/>
    <w:uiPriority w:val="9"/>
    <w:unhideWhenUsed/>
    <w:qFormat/>
    <w:pPr>
      <w:keepNext/>
      <w:keepLines/>
      <w:tabs>
        <w:tab w:val="left" w:pos="0"/>
        <w:tab w:val="right" w:pos="73"/>
        <w:tab w:val="right" w:pos="1712"/>
        <w:tab w:val="right" w:pos="4160"/>
        <w:tab w:val="right" w:pos="6528"/>
        <w:tab w:val="right" w:pos="9384"/>
      </w:tabs>
      <w:spacing w:before="120" w:after="120"/>
      <w:jc w:val="both"/>
      <w:outlineLvl w:val="1"/>
    </w:pPr>
    <w:rPr>
      <w:rFonts w:ascii="Calibri" w:eastAsia="Calibri" w:hAnsi="Calibri" w:cs="Calibri"/>
      <w:b/>
      <w:u w:val="single"/>
    </w:rPr>
  </w:style>
  <w:style w:type="paragraph" w:customStyle="1" w:styleId="heading31">
    <w:name w:val="heading 31"/>
    <w:basedOn w:val="Normal1"/>
    <w:next w:val="Normal1"/>
    <w:uiPriority w:val="9"/>
    <w:unhideWhenUsed/>
    <w:qFormat/>
    <w:pPr>
      <w:keepNext/>
      <w:keepLines/>
      <w:tabs>
        <w:tab w:val="left" w:pos="0"/>
        <w:tab w:val="right" w:pos="73"/>
        <w:tab w:val="right" w:pos="1712"/>
        <w:tab w:val="right" w:pos="4160"/>
        <w:tab w:val="right" w:pos="6528"/>
        <w:tab w:val="right" w:pos="9384"/>
      </w:tabs>
      <w:spacing w:before="120" w:after="120"/>
      <w:jc w:val="both"/>
      <w:outlineLvl w:val="2"/>
    </w:pPr>
    <w:rPr>
      <w:rFonts w:ascii="Calibri" w:eastAsia="Calibri" w:hAnsi="Calibri" w:cs="Calibri"/>
      <w:b/>
    </w:rPr>
  </w:style>
  <w:style w:type="paragraph" w:customStyle="1" w:styleId="heading41">
    <w:name w:val="heading 41"/>
    <w:basedOn w:val="Normal1"/>
    <w:next w:val="Normal1"/>
    <w:uiPriority w:val="9"/>
    <w:semiHidden/>
    <w:unhideWhenUsed/>
    <w:qFormat/>
    <w:pPr>
      <w:keepNext/>
      <w:keepLines/>
      <w:spacing w:before="240" w:after="40"/>
      <w:outlineLvl w:val="3"/>
    </w:pPr>
    <w:rPr>
      <w:b/>
    </w:rPr>
  </w:style>
  <w:style w:type="paragraph" w:customStyle="1" w:styleId="heading51">
    <w:name w:val="heading 51"/>
    <w:basedOn w:val="Normal1"/>
    <w:next w:val="Normal1"/>
    <w:uiPriority w:val="9"/>
    <w:semiHidden/>
    <w:unhideWhenUsed/>
    <w:qFormat/>
    <w:pPr>
      <w:keepNext/>
      <w:keepLines/>
      <w:spacing w:before="220" w:after="40"/>
      <w:outlineLvl w:val="4"/>
    </w:pPr>
    <w:rPr>
      <w:b/>
    </w:rPr>
  </w:style>
  <w:style w:type="paragraph" w:customStyle="1" w:styleId="heading61">
    <w:name w:val="heading 61"/>
    <w:basedOn w:val="Normal1"/>
    <w:next w:val="Normal1"/>
    <w:uiPriority w:val="9"/>
    <w:semiHidden/>
    <w:unhideWhenUsed/>
    <w:qFormat/>
    <w:pPr>
      <w:keepNext/>
      <w:keepLines/>
      <w:spacing w:before="200" w:after="40"/>
      <w:outlineLvl w:val="5"/>
    </w:pPr>
    <w:rPr>
      <w:b/>
      <w:sz w:val="20"/>
      <w:szCs w:val="20"/>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paragraph" w:customStyle="1" w:styleId="Title1">
    <w:name w:val="Title1"/>
    <w:basedOn w:val="Normal1"/>
    <w:next w:val="Normal1"/>
    <w:uiPriority w:val="10"/>
    <w:qFormat/>
    <w:pPr>
      <w:keepNext/>
      <w:keepLines/>
      <w:spacing w:before="480" w:after="120"/>
    </w:pPr>
    <w:rPr>
      <w:b/>
      <w:sz w:val="72"/>
      <w:szCs w:val="72"/>
    </w:rPr>
  </w:style>
  <w:style w:type="paragraph" w:styleId="Textonotapie">
    <w:name w:val="footnote text"/>
    <w:aliases w:val="Geneva 9,Font: Geneva 9,Boston 10,f,Voetnoottekst Char,Voetnoottekst Char1 Char,Voetnoottekst Char Char1 Char,Voetnoottekst Char1 Char Char Char,Voetnoottekst Char Char1 Char Char Char,Voetnoottekst Char1 Char Char Char Char Char"/>
    <w:basedOn w:val="Normal1"/>
    <w:link w:val="TextonotapieCar"/>
    <w:uiPriority w:val="99"/>
    <w:qFormat/>
    <w:rsid w:val="001D2E66"/>
    <w:rPr>
      <w:sz w:val="20"/>
      <w:szCs w:val="20"/>
    </w:rPr>
  </w:style>
  <w:style w:type="character" w:customStyle="1" w:styleId="TextonotapieCar">
    <w:name w:val="Texto nota pie Car"/>
    <w:aliases w:val="Geneva 9 Car,Font: Geneva 9 Car,Boston 10 Car,f Car,Voetnoottekst Char Car,Voetnoottekst Char1 Char Car,Voetnoottekst Char Char1 Char Car,Voetnoottekst Char1 Char Char Char Car,Voetnoottekst Char Char1 Char Char Char Car"/>
    <w:basedOn w:val="Fuentedeprrafopredeter"/>
    <w:link w:val="Textonotapie"/>
    <w:uiPriority w:val="99"/>
    <w:rsid w:val="001D2E66"/>
    <w:rPr>
      <w:rFonts w:ascii="Times New Roman" w:eastAsia="Times New Roman" w:hAnsi="Times New Roman" w:cs="Times New Roman"/>
      <w:sz w:val="20"/>
      <w:szCs w:val="20"/>
      <w:lang w:val="en-GB"/>
    </w:rPr>
  </w:style>
  <w:style w:type="character" w:styleId="Refdenotaalpie">
    <w:name w:val="footnote reference"/>
    <w:aliases w:val="16 Point,Superscript 6 Point,number,SUPERS,Footnote Reference Superscript,Footnote number,-E Fußnotenzeichen,(Footnote Reference),Footnote,Footnote symbol,Char1 Char Char Char Char,stylish,ftref,4_G,Carattere Char1,fr,BVI fnr"/>
    <w:basedOn w:val="Fuentedeprrafopredeter"/>
    <w:link w:val="ftrefChar"/>
    <w:uiPriority w:val="99"/>
    <w:qFormat/>
    <w:rsid w:val="001D2E66"/>
    <w:rPr>
      <w:rFonts w:cs="Times New Roman"/>
      <w:vertAlign w:val="superscript"/>
    </w:rPr>
  </w:style>
  <w:style w:type="character" w:styleId="Refdecomentario">
    <w:name w:val="annotation reference"/>
    <w:basedOn w:val="Fuentedeprrafopredeter"/>
    <w:uiPriority w:val="99"/>
    <w:rsid w:val="001D2E66"/>
    <w:rPr>
      <w:rFonts w:cs="Times New Roman"/>
      <w:sz w:val="16"/>
      <w:szCs w:val="16"/>
    </w:rPr>
  </w:style>
  <w:style w:type="paragraph" w:styleId="Textocomentario">
    <w:name w:val="annotation text"/>
    <w:basedOn w:val="Normal1"/>
    <w:link w:val="TextocomentarioCar"/>
    <w:uiPriority w:val="99"/>
    <w:rsid w:val="001D2E66"/>
    <w:rPr>
      <w:sz w:val="20"/>
      <w:szCs w:val="20"/>
    </w:rPr>
  </w:style>
  <w:style w:type="character" w:customStyle="1" w:styleId="TextocomentarioCar">
    <w:name w:val="Texto comentario Car"/>
    <w:basedOn w:val="Fuentedeprrafopredeter"/>
    <w:link w:val="Textocomentario"/>
    <w:uiPriority w:val="99"/>
    <w:rsid w:val="001D2E66"/>
    <w:rPr>
      <w:rFonts w:ascii="Times New Roman" w:eastAsia="Times New Roman" w:hAnsi="Times New Roman" w:cs="Times New Roman"/>
      <w:sz w:val="20"/>
      <w:szCs w:val="20"/>
      <w:lang w:val="en-GB"/>
    </w:rPr>
  </w:style>
  <w:style w:type="table" w:styleId="Tablaconcuadrcula">
    <w:name w:val="Table Grid"/>
    <w:basedOn w:val="NormalTable1"/>
    <w:uiPriority w:val="39"/>
    <w:rsid w:val="001D2E66"/>
    <w:pPr>
      <w:spacing w:after="120"/>
      <w:ind w:left="360" w:hanging="360"/>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1D2E66"/>
    <w:rPr>
      <w:rFonts w:cs="Times New Roman"/>
      <w:color w:val="0000FF"/>
      <w:u w:val="single"/>
    </w:rPr>
  </w:style>
  <w:style w:type="paragraph" w:styleId="Textoindependiente">
    <w:name w:val="Body Text"/>
    <w:basedOn w:val="Normal1"/>
    <w:link w:val="TextoindependienteCar"/>
    <w:rsid w:val="001D2E66"/>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pPr>
    <w:rPr>
      <w:rFonts w:cs="Courier New"/>
      <w:b/>
      <w:bCs/>
      <w:spacing w:val="-2"/>
      <w:sz w:val="20"/>
      <w:szCs w:val="20"/>
    </w:rPr>
  </w:style>
  <w:style w:type="character" w:customStyle="1" w:styleId="TextoindependienteCar">
    <w:name w:val="Texto independiente Car"/>
    <w:basedOn w:val="Fuentedeprrafopredeter"/>
    <w:link w:val="Textoindependiente"/>
    <w:rsid w:val="001D2E66"/>
    <w:rPr>
      <w:rFonts w:ascii="Times New Roman" w:eastAsia="Times New Roman" w:hAnsi="Times New Roman" w:cs="Courier New"/>
      <w:b/>
      <w:bCs/>
      <w:spacing w:val="-2"/>
      <w:sz w:val="20"/>
      <w:szCs w:val="20"/>
      <w:lang w:val="en-GB"/>
    </w:rPr>
  </w:style>
  <w:style w:type="paragraph" w:customStyle="1" w:styleId="ftrefChar">
    <w:name w:val="ftref Char"/>
    <w:aliases w:val="4_G Char,-E Fußnotenzeichen Char,16 Point Char,Superscript 6 Point Char,Carattere Char1 Char,Carattere Char Char Carattere Carattere Char Char Char,fr Char,(NECG) Footnote Reference"/>
    <w:basedOn w:val="Normal1"/>
    <w:link w:val="Refdenotaalpie"/>
    <w:uiPriority w:val="99"/>
    <w:rsid w:val="001D2E66"/>
    <w:pPr>
      <w:spacing w:line="240" w:lineRule="exact"/>
    </w:pPr>
    <w:rPr>
      <w:rFonts w:asciiTheme="minorHAnsi" w:eastAsiaTheme="minorHAnsi" w:hAnsiTheme="minorHAnsi"/>
      <w:vertAlign w:val="superscript"/>
    </w:rPr>
  </w:style>
  <w:style w:type="paragraph" w:styleId="Textodeglobo">
    <w:name w:val="Balloon Text"/>
    <w:basedOn w:val="Normal1"/>
    <w:link w:val="TextodegloboCar"/>
    <w:uiPriority w:val="99"/>
    <w:semiHidden/>
    <w:unhideWhenUsed/>
    <w:rsid w:val="001D2E6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D2E66"/>
    <w:rPr>
      <w:rFonts w:ascii="Segoe UI" w:eastAsia="Times New Roman" w:hAnsi="Segoe UI" w:cs="Segoe UI"/>
      <w:sz w:val="18"/>
      <w:szCs w:val="18"/>
      <w:lang w:val="en-GB"/>
    </w:rPr>
  </w:style>
  <w:style w:type="paragraph" w:styleId="Prrafodelista">
    <w:name w:val="List Paragraph"/>
    <w:basedOn w:val="Normal1"/>
    <w:uiPriority w:val="34"/>
    <w:qFormat/>
    <w:rsid w:val="00FF1931"/>
    <w:pPr>
      <w:ind w:left="720"/>
      <w:contextualSpacing/>
    </w:pPr>
  </w:style>
  <w:style w:type="paragraph" w:styleId="Encabezado">
    <w:name w:val="header"/>
    <w:basedOn w:val="Normal1"/>
    <w:link w:val="EncabezadoCar"/>
    <w:uiPriority w:val="99"/>
    <w:unhideWhenUsed/>
    <w:rsid w:val="009D52FA"/>
    <w:pPr>
      <w:tabs>
        <w:tab w:val="center" w:pos="4680"/>
        <w:tab w:val="right" w:pos="9360"/>
      </w:tabs>
    </w:pPr>
  </w:style>
  <w:style w:type="character" w:customStyle="1" w:styleId="EncabezadoCar">
    <w:name w:val="Encabezado Car"/>
    <w:basedOn w:val="Fuentedeprrafopredeter"/>
    <w:link w:val="Encabezado"/>
    <w:uiPriority w:val="99"/>
    <w:rsid w:val="009D52FA"/>
    <w:rPr>
      <w:rFonts w:ascii="Times New Roman" w:eastAsia="Times New Roman" w:hAnsi="Times New Roman" w:cs="Times New Roman"/>
      <w:sz w:val="24"/>
      <w:szCs w:val="24"/>
      <w:lang w:val="en-GB"/>
    </w:rPr>
  </w:style>
  <w:style w:type="paragraph" w:styleId="Piedepgina">
    <w:name w:val="footer"/>
    <w:basedOn w:val="Normal1"/>
    <w:link w:val="PiedepginaCar"/>
    <w:uiPriority w:val="99"/>
    <w:unhideWhenUsed/>
    <w:rsid w:val="009D52FA"/>
    <w:pPr>
      <w:tabs>
        <w:tab w:val="center" w:pos="4680"/>
        <w:tab w:val="right" w:pos="9360"/>
      </w:tabs>
    </w:pPr>
  </w:style>
  <w:style w:type="character" w:customStyle="1" w:styleId="PiedepginaCar">
    <w:name w:val="Pie de página Car"/>
    <w:basedOn w:val="Fuentedeprrafopredeter"/>
    <w:link w:val="Piedepgina"/>
    <w:uiPriority w:val="99"/>
    <w:rsid w:val="009D52FA"/>
    <w:rPr>
      <w:rFonts w:ascii="Times New Roman" w:eastAsia="Times New Roman" w:hAnsi="Times New Roman" w:cs="Times New Roman"/>
      <w:sz w:val="24"/>
      <w:szCs w:val="24"/>
      <w:lang w:val="en-GB"/>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
    <w:name w:val="4"/>
    <w:basedOn w:val="NormalTable1"/>
    <w:pPr>
      <w:spacing w:after="120"/>
      <w:ind w:left="360" w:hanging="360"/>
    </w:pPr>
    <w:rPr>
      <w:rFonts w:ascii="Calibri" w:eastAsia="Calibri" w:hAnsi="Calibri" w:cs="Calibri"/>
      <w:sz w:val="20"/>
      <w:szCs w:val="20"/>
    </w:rPr>
    <w:tblPr>
      <w:tblStyleRowBandSize w:val="1"/>
      <w:tblStyleColBandSize w:val="1"/>
    </w:tblPr>
  </w:style>
  <w:style w:type="table" w:customStyle="1" w:styleId="3">
    <w:name w:val="3"/>
    <w:basedOn w:val="NormalTable1"/>
    <w:tblPr>
      <w:tblStyleRowBandSize w:val="1"/>
      <w:tblStyleColBandSize w:val="1"/>
      <w:tblCellMar>
        <w:top w:w="43" w:type="dxa"/>
        <w:left w:w="115" w:type="dxa"/>
        <w:bottom w:w="43" w:type="dxa"/>
        <w:right w:w="115" w:type="dxa"/>
      </w:tblCellMar>
    </w:tblPr>
  </w:style>
  <w:style w:type="table" w:customStyle="1" w:styleId="2">
    <w:name w:val="2"/>
    <w:basedOn w:val="NormalTable1"/>
    <w:pPr>
      <w:spacing w:after="120"/>
      <w:ind w:left="360" w:hanging="360"/>
    </w:pPr>
    <w:rPr>
      <w:rFonts w:ascii="Calibri" w:eastAsia="Calibri" w:hAnsi="Calibri" w:cs="Calibri"/>
      <w:sz w:val="20"/>
      <w:szCs w:val="20"/>
    </w:rPr>
    <w:tblPr>
      <w:tblStyleRowBandSize w:val="1"/>
      <w:tblStyleColBandSize w:val="1"/>
    </w:tblPr>
  </w:style>
  <w:style w:type="table" w:customStyle="1" w:styleId="1">
    <w:name w:val="1"/>
    <w:basedOn w:val="NormalTable1"/>
    <w:pPr>
      <w:spacing w:after="120"/>
      <w:ind w:left="360" w:hanging="360"/>
    </w:pPr>
    <w:rPr>
      <w:rFonts w:ascii="Calibri" w:eastAsia="Calibri" w:hAnsi="Calibri" w:cs="Calibri"/>
      <w:sz w:val="20"/>
      <w:szCs w:val="20"/>
    </w:rPr>
    <w:tblPr>
      <w:tblStyleRowBandSize w:val="1"/>
      <w:tblStyleColBandSize w:val="1"/>
    </w:tblPr>
  </w:style>
  <w:style w:type="paragraph" w:styleId="Revisin">
    <w:name w:val="Revision"/>
    <w:hidden/>
    <w:uiPriority w:val="99"/>
    <w:semiHidden/>
    <w:rsid w:val="006F0D24"/>
  </w:style>
  <w:style w:type="paragraph" w:styleId="Asuntodelcomentario">
    <w:name w:val="annotation subject"/>
    <w:basedOn w:val="Textocomentario"/>
    <w:next w:val="Textocomentario"/>
    <w:link w:val="AsuntodelcomentarioCar"/>
    <w:uiPriority w:val="99"/>
    <w:semiHidden/>
    <w:unhideWhenUsed/>
    <w:rsid w:val="00A114B9"/>
    <w:rPr>
      <w:b/>
      <w:bCs/>
    </w:rPr>
  </w:style>
  <w:style w:type="character" w:customStyle="1" w:styleId="AsuntodelcomentarioCar">
    <w:name w:val="Asunto del comentario Car"/>
    <w:basedOn w:val="TextocomentarioCar"/>
    <w:link w:val="Asuntodelcomentario"/>
    <w:uiPriority w:val="99"/>
    <w:semiHidden/>
    <w:rsid w:val="00A114B9"/>
    <w:rPr>
      <w:rFonts w:ascii="Times New Roman" w:eastAsia="Times New Roman" w:hAnsi="Times New Roman" w:cs="Times New Roman"/>
      <w:b/>
      <w:bCs/>
      <w:sz w:val="20"/>
      <w:szCs w:val="20"/>
      <w:lang w:val="en-GB"/>
    </w:rPr>
  </w:style>
  <w:style w:type="paragraph" w:customStyle="1" w:styleId="Subtitle0">
    <w:name w:val="Subtitle0"/>
    <w:basedOn w:val="Normal1"/>
    <w:next w:val="Normal1"/>
    <w:pPr>
      <w:keepNext/>
      <w:keepLines/>
      <w:spacing w:after="320"/>
    </w:pPr>
    <w:rPr>
      <w:color w:val="666666"/>
      <w:sz w:val="30"/>
      <w:szCs w:val="30"/>
    </w:rPr>
  </w:style>
  <w:style w:type="table" w:customStyle="1" w:styleId="a">
    <w:basedOn w:val="NormalTable0"/>
    <w:pPr>
      <w:spacing w:after="120"/>
      <w:ind w:left="360" w:hanging="360"/>
    </w:pPr>
    <w:rPr>
      <w:rFonts w:ascii="Calibri" w:eastAsia="Calibri" w:hAnsi="Calibri" w:cs="Calibri"/>
      <w:sz w:val="20"/>
      <w:szCs w:val="20"/>
    </w:rPr>
    <w:tblPr>
      <w:tblStyleRowBandSize w:val="1"/>
      <w:tblStyleColBandSize w:val="1"/>
      <w:tblCellMar>
        <w:top w:w="43" w:type="dxa"/>
        <w:left w:w="115" w:type="dxa"/>
        <w:bottom w:w="43" w:type="dxa"/>
        <w:right w:w="115" w:type="dxa"/>
      </w:tblCellMar>
    </w:tblPr>
  </w:style>
  <w:style w:type="table" w:customStyle="1" w:styleId="a0">
    <w:basedOn w:val="NormalTable0"/>
    <w:pPr>
      <w:spacing w:after="120"/>
      <w:ind w:left="360" w:hanging="360"/>
    </w:pPr>
    <w:rPr>
      <w:rFonts w:ascii="Calibri" w:eastAsia="Calibri" w:hAnsi="Calibri" w:cs="Calibri"/>
      <w:sz w:val="20"/>
      <w:szCs w:val="20"/>
    </w:rPr>
    <w:tblPr>
      <w:tblStyleRowBandSize w:val="1"/>
      <w:tblStyleColBandSize w:val="1"/>
      <w:tblCellMar>
        <w:top w:w="43" w:type="dxa"/>
        <w:left w:w="115" w:type="dxa"/>
        <w:bottom w:w="43" w:type="dxa"/>
        <w:right w:w="115" w:type="dxa"/>
      </w:tblCellMar>
    </w:tblPr>
  </w:style>
  <w:style w:type="table" w:customStyle="1" w:styleId="a1">
    <w:basedOn w:val="NormalTable0"/>
    <w:pPr>
      <w:spacing w:after="120"/>
      <w:ind w:left="360" w:hanging="360"/>
    </w:pPr>
    <w:rPr>
      <w:rFonts w:ascii="Calibri" w:eastAsia="Calibri" w:hAnsi="Calibri" w:cs="Calibri"/>
      <w:sz w:val="20"/>
      <w:szCs w:val="20"/>
    </w:rPr>
    <w:tblPr>
      <w:tblStyleRowBandSize w:val="1"/>
      <w:tblStyleColBandSize w:val="1"/>
      <w:tblCellMar>
        <w:top w:w="43" w:type="dxa"/>
        <w:left w:w="115" w:type="dxa"/>
        <w:bottom w:w="43" w:type="dxa"/>
        <w:right w:w="115" w:type="dxa"/>
      </w:tblCellMar>
    </w:tblPr>
  </w:style>
  <w:style w:type="table" w:customStyle="1" w:styleId="a2">
    <w:basedOn w:val="NormalTable0"/>
    <w:pPr>
      <w:spacing w:after="120"/>
      <w:ind w:left="360" w:hanging="360"/>
    </w:pPr>
    <w:rPr>
      <w:rFonts w:ascii="Calibri" w:eastAsia="Calibri" w:hAnsi="Calibri" w:cs="Calibri"/>
      <w:sz w:val="20"/>
      <w:szCs w:val="20"/>
    </w:rPr>
    <w:tblPr>
      <w:tblStyleRowBandSize w:val="1"/>
      <w:tblStyleColBandSize w:val="1"/>
      <w:tblCellMar>
        <w:top w:w="43" w:type="dxa"/>
        <w:left w:w="115" w:type="dxa"/>
        <w:bottom w:w="43" w:type="dxa"/>
        <w:right w:w="115" w:type="dxa"/>
      </w:tblCellMar>
    </w:tblPr>
  </w:style>
  <w:style w:type="table" w:customStyle="1" w:styleId="a3">
    <w:basedOn w:val="NormalTable0"/>
    <w:pPr>
      <w:spacing w:after="120"/>
      <w:ind w:left="360" w:hanging="360"/>
    </w:pPr>
    <w:rPr>
      <w:rFonts w:ascii="Calibri" w:eastAsia="Calibri" w:hAnsi="Calibri" w:cs="Calibri"/>
      <w:sz w:val="20"/>
      <w:szCs w:val="20"/>
    </w:rPr>
    <w:tblPr>
      <w:tblStyleRowBandSize w:val="1"/>
      <w:tblStyleColBandSize w:val="1"/>
      <w:tblCellMar>
        <w:top w:w="43" w:type="dxa"/>
        <w:left w:w="115" w:type="dxa"/>
        <w:bottom w:w="43" w:type="dxa"/>
        <w:right w:w="115" w:type="dxa"/>
      </w:tblCellMar>
    </w:tblPr>
  </w:style>
  <w:style w:type="paragraph" w:customStyle="1" w:styleId="Subtitle1">
    <w:name w:val="Subtitle1"/>
    <w:basedOn w:val="Normal1"/>
    <w:next w:val="Normal1"/>
    <w:pPr>
      <w:keepNext/>
      <w:keepLines/>
      <w:spacing w:after="320"/>
    </w:pPr>
    <w:rPr>
      <w:color w:val="666666"/>
      <w:sz w:val="30"/>
      <w:szCs w:val="30"/>
    </w:rPr>
  </w:style>
  <w:style w:type="table" w:customStyle="1" w:styleId="a4">
    <w:basedOn w:val="NormalTable0"/>
    <w:pPr>
      <w:spacing w:after="120"/>
      <w:ind w:left="360" w:hanging="360"/>
    </w:pPr>
    <w:rPr>
      <w:rFonts w:ascii="Calibri" w:eastAsia="Calibri" w:hAnsi="Calibri" w:cs="Calibri"/>
      <w:sz w:val="20"/>
      <w:szCs w:val="20"/>
    </w:rPr>
    <w:tblPr>
      <w:tblStyleRowBandSize w:val="1"/>
      <w:tblStyleColBandSize w:val="1"/>
      <w:tblCellMar>
        <w:top w:w="43" w:type="dxa"/>
        <w:left w:w="115" w:type="dxa"/>
        <w:bottom w:w="43" w:type="dxa"/>
        <w:right w:w="115" w:type="dxa"/>
      </w:tblCellMar>
    </w:tblPr>
  </w:style>
  <w:style w:type="table" w:customStyle="1" w:styleId="a5">
    <w:basedOn w:val="NormalTable0"/>
    <w:pPr>
      <w:spacing w:after="120"/>
      <w:ind w:left="360" w:hanging="360"/>
    </w:pPr>
    <w:rPr>
      <w:rFonts w:ascii="Calibri" w:eastAsia="Calibri" w:hAnsi="Calibri" w:cs="Calibri"/>
      <w:sz w:val="20"/>
      <w:szCs w:val="20"/>
    </w:rPr>
    <w:tblPr>
      <w:tblStyleRowBandSize w:val="1"/>
      <w:tblStyleColBandSize w:val="1"/>
      <w:tblCellMar>
        <w:top w:w="43" w:type="dxa"/>
        <w:left w:w="115" w:type="dxa"/>
        <w:bottom w:w="43" w:type="dxa"/>
        <w:right w:w="115" w:type="dxa"/>
      </w:tblCellMar>
    </w:tblPr>
  </w:style>
  <w:style w:type="table" w:customStyle="1" w:styleId="a6">
    <w:basedOn w:val="NormalTable0"/>
    <w:pPr>
      <w:spacing w:after="120"/>
      <w:ind w:left="360" w:hanging="360"/>
    </w:pPr>
    <w:rPr>
      <w:rFonts w:ascii="Calibri" w:eastAsia="Calibri" w:hAnsi="Calibri" w:cs="Calibri"/>
      <w:sz w:val="20"/>
      <w:szCs w:val="20"/>
    </w:rPr>
    <w:tblPr>
      <w:tblStyleRowBandSize w:val="1"/>
      <w:tblStyleColBandSize w:val="1"/>
      <w:tblCellMar>
        <w:top w:w="43" w:type="dxa"/>
        <w:left w:w="115" w:type="dxa"/>
        <w:bottom w:w="43" w:type="dxa"/>
        <w:right w:w="115" w:type="dxa"/>
      </w:tblCellMar>
    </w:tblPr>
  </w:style>
  <w:style w:type="table" w:customStyle="1" w:styleId="a7">
    <w:basedOn w:val="NormalTable0"/>
    <w:pPr>
      <w:spacing w:after="120"/>
      <w:ind w:left="360" w:hanging="360"/>
    </w:pPr>
    <w:rPr>
      <w:rFonts w:ascii="Calibri" w:eastAsia="Calibri" w:hAnsi="Calibri" w:cs="Calibri"/>
      <w:sz w:val="20"/>
      <w:szCs w:val="20"/>
    </w:rPr>
    <w:tblPr>
      <w:tblStyleRowBandSize w:val="1"/>
      <w:tblStyleColBandSize w:val="1"/>
      <w:tblCellMar>
        <w:top w:w="43" w:type="dxa"/>
        <w:left w:w="115" w:type="dxa"/>
        <w:bottom w:w="43" w:type="dxa"/>
        <w:right w:w="115" w:type="dxa"/>
      </w:tblCellMar>
    </w:tblPr>
  </w:style>
  <w:style w:type="table" w:customStyle="1" w:styleId="a8">
    <w:basedOn w:val="NormalTable0"/>
    <w:pPr>
      <w:spacing w:after="120"/>
      <w:ind w:left="360" w:hanging="360"/>
    </w:pPr>
    <w:rPr>
      <w:rFonts w:ascii="Calibri" w:eastAsia="Calibri" w:hAnsi="Calibri" w:cs="Calibri"/>
      <w:sz w:val="20"/>
      <w:szCs w:val="20"/>
    </w:rPr>
    <w:tblPr>
      <w:tblStyleRowBandSize w:val="1"/>
      <w:tblStyleColBandSize w:val="1"/>
      <w:tblCellMar>
        <w:top w:w="43" w:type="dxa"/>
        <w:left w:w="115" w:type="dxa"/>
        <w:bottom w:w="43" w:type="dxa"/>
        <w:right w:w="115" w:type="dxa"/>
      </w:tblCellMar>
    </w:tblPr>
  </w:style>
  <w:style w:type="paragraph" w:styleId="Cita">
    <w:name w:val="Quote"/>
    <w:basedOn w:val="Normal"/>
    <w:next w:val="Normal"/>
    <w:link w:val="CitaCar"/>
    <w:uiPriority w:val="29"/>
    <w:qFormat/>
    <w:rsid w:val="1BB99486"/>
    <w:pPr>
      <w:spacing w:before="200"/>
      <w:ind w:left="864" w:right="864"/>
      <w:jc w:val="center"/>
    </w:pPr>
    <w:rPr>
      <w:i/>
      <w:iCs/>
      <w:color w:val="404040" w:themeColor="text1" w:themeTint="BF"/>
    </w:rPr>
  </w:style>
  <w:style w:type="paragraph" w:styleId="Citadestacada">
    <w:name w:val="Intense Quote"/>
    <w:basedOn w:val="Normal"/>
    <w:next w:val="Normal"/>
    <w:link w:val="CitadestacadaCar"/>
    <w:uiPriority w:val="30"/>
    <w:qFormat/>
    <w:rsid w:val="1BB99486"/>
    <w:pPr>
      <w:spacing w:before="360" w:after="360"/>
      <w:ind w:left="864" w:right="864"/>
      <w:jc w:val="center"/>
    </w:pPr>
    <w:rPr>
      <w:i/>
      <w:iCs/>
      <w:color w:val="4472C4" w:themeColor="accent1"/>
    </w:rPr>
  </w:style>
  <w:style w:type="character" w:customStyle="1" w:styleId="Ttulo7Car">
    <w:name w:val="Título 7 Car"/>
    <w:basedOn w:val="Fuentedeprrafopredeter"/>
    <w:link w:val="Ttulo7"/>
    <w:uiPriority w:val="9"/>
    <w:rsid w:val="1BB99486"/>
    <w:rPr>
      <w:rFonts w:asciiTheme="majorHAnsi" w:eastAsiaTheme="majorEastAsia" w:hAnsiTheme="majorHAnsi" w:cstheme="majorBidi"/>
      <w:i/>
      <w:iCs/>
      <w:noProof w:val="0"/>
      <w:color w:val="1F3763"/>
      <w:lang w:val="en-US"/>
    </w:rPr>
  </w:style>
  <w:style w:type="character" w:customStyle="1" w:styleId="Ttulo8Car">
    <w:name w:val="Título 8 Car"/>
    <w:basedOn w:val="Fuentedeprrafopredeter"/>
    <w:link w:val="Ttulo8"/>
    <w:uiPriority w:val="9"/>
    <w:rsid w:val="1BB99486"/>
    <w:rPr>
      <w:rFonts w:asciiTheme="majorHAnsi" w:eastAsiaTheme="majorEastAsia" w:hAnsiTheme="majorHAnsi" w:cstheme="majorBidi"/>
      <w:noProof w:val="0"/>
      <w:color w:val="272727"/>
      <w:sz w:val="21"/>
      <w:szCs w:val="21"/>
      <w:lang w:val="en-US"/>
    </w:rPr>
  </w:style>
  <w:style w:type="character" w:customStyle="1" w:styleId="Ttulo9Car">
    <w:name w:val="Título 9 Car"/>
    <w:basedOn w:val="Fuentedeprrafopredeter"/>
    <w:link w:val="Ttulo9"/>
    <w:uiPriority w:val="9"/>
    <w:rsid w:val="1BB99486"/>
    <w:rPr>
      <w:rFonts w:asciiTheme="majorHAnsi" w:eastAsiaTheme="majorEastAsia" w:hAnsiTheme="majorHAnsi" w:cstheme="majorBidi"/>
      <w:i/>
      <w:iCs/>
      <w:noProof w:val="0"/>
      <w:color w:val="272727"/>
      <w:sz w:val="21"/>
      <w:szCs w:val="21"/>
      <w:lang w:val="en-US"/>
    </w:rPr>
  </w:style>
  <w:style w:type="character" w:customStyle="1" w:styleId="CitaCar">
    <w:name w:val="Cita Car"/>
    <w:basedOn w:val="Fuentedeprrafopredeter"/>
    <w:link w:val="Cita"/>
    <w:uiPriority w:val="29"/>
    <w:rsid w:val="1BB99486"/>
    <w:rPr>
      <w:i/>
      <w:iCs/>
      <w:noProof w:val="0"/>
      <w:color w:val="404040" w:themeColor="text1" w:themeTint="BF"/>
      <w:lang w:val="en-US"/>
    </w:rPr>
  </w:style>
  <w:style w:type="character" w:customStyle="1" w:styleId="CitadestacadaCar">
    <w:name w:val="Cita destacada Car"/>
    <w:basedOn w:val="Fuentedeprrafopredeter"/>
    <w:link w:val="Citadestacada"/>
    <w:uiPriority w:val="30"/>
    <w:rsid w:val="1BB99486"/>
    <w:rPr>
      <w:i/>
      <w:iCs/>
      <w:noProof w:val="0"/>
      <w:color w:val="4472C4" w:themeColor="accent1"/>
      <w:lang w:val="en-US"/>
    </w:rPr>
  </w:style>
  <w:style w:type="paragraph" w:styleId="TDC1">
    <w:name w:val="toc 1"/>
    <w:basedOn w:val="Normal"/>
    <w:next w:val="Normal"/>
    <w:uiPriority w:val="39"/>
    <w:unhideWhenUsed/>
    <w:rsid w:val="1BB99486"/>
    <w:pPr>
      <w:spacing w:after="100"/>
    </w:pPr>
  </w:style>
  <w:style w:type="paragraph" w:styleId="TDC2">
    <w:name w:val="toc 2"/>
    <w:basedOn w:val="Normal"/>
    <w:next w:val="Normal"/>
    <w:uiPriority w:val="39"/>
    <w:unhideWhenUsed/>
    <w:rsid w:val="1BB99486"/>
    <w:pPr>
      <w:spacing w:after="100"/>
      <w:ind w:left="220"/>
    </w:pPr>
  </w:style>
  <w:style w:type="paragraph" w:styleId="TDC3">
    <w:name w:val="toc 3"/>
    <w:basedOn w:val="Normal"/>
    <w:next w:val="Normal"/>
    <w:uiPriority w:val="39"/>
    <w:unhideWhenUsed/>
    <w:rsid w:val="1BB99486"/>
    <w:pPr>
      <w:spacing w:after="100"/>
      <w:ind w:left="440"/>
    </w:pPr>
  </w:style>
  <w:style w:type="paragraph" w:styleId="TDC4">
    <w:name w:val="toc 4"/>
    <w:basedOn w:val="Normal"/>
    <w:next w:val="Normal"/>
    <w:uiPriority w:val="39"/>
    <w:unhideWhenUsed/>
    <w:rsid w:val="1BB99486"/>
    <w:pPr>
      <w:spacing w:after="100"/>
      <w:ind w:left="660"/>
    </w:pPr>
  </w:style>
  <w:style w:type="paragraph" w:styleId="TDC5">
    <w:name w:val="toc 5"/>
    <w:basedOn w:val="Normal"/>
    <w:next w:val="Normal"/>
    <w:uiPriority w:val="39"/>
    <w:unhideWhenUsed/>
    <w:rsid w:val="1BB99486"/>
    <w:pPr>
      <w:spacing w:after="100"/>
      <w:ind w:left="880"/>
    </w:pPr>
  </w:style>
  <w:style w:type="paragraph" w:styleId="TDC6">
    <w:name w:val="toc 6"/>
    <w:basedOn w:val="Normal"/>
    <w:next w:val="Normal"/>
    <w:uiPriority w:val="39"/>
    <w:unhideWhenUsed/>
    <w:rsid w:val="1BB99486"/>
    <w:pPr>
      <w:spacing w:after="100"/>
      <w:ind w:left="1100"/>
    </w:pPr>
  </w:style>
  <w:style w:type="paragraph" w:styleId="TDC7">
    <w:name w:val="toc 7"/>
    <w:basedOn w:val="Normal"/>
    <w:next w:val="Normal"/>
    <w:uiPriority w:val="39"/>
    <w:unhideWhenUsed/>
    <w:rsid w:val="1BB99486"/>
    <w:pPr>
      <w:spacing w:after="100"/>
      <w:ind w:left="1320"/>
    </w:pPr>
  </w:style>
  <w:style w:type="paragraph" w:styleId="TDC8">
    <w:name w:val="toc 8"/>
    <w:basedOn w:val="Normal"/>
    <w:next w:val="Normal"/>
    <w:uiPriority w:val="39"/>
    <w:unhideWhenUsed/>
    <w:rsid w:val="1BB99486"/>
    <w:pPr>
      <w:spacing w:after="100"/>
      <w:ind w:left="1540"/>
    </w:pPr>
  </w:style>
  <w:style w:type="paragraph" w:styleId="TDC9">
    <w:name w:val="toc 9"/>
    <w:basedOn w:val="Normal"/>
    <w:next w:val="Normal"/>
    <w:uiPriority w:val="39"/>
    <w:unhideWhenUsed/>
    <w:rsid w:val="1BB99486"/>
    <w:pPr>
      <w:spacing w:after="100"/>
      <w:ind w:left="1760"/>
    </w:pPr>
  </w:style>
  <w:style w:type="paragraph" w:styleId="Textonotaalfinal">
    <w:name w:val="endnote text"/>
    <w:basedOn w:val="Normal"/>
    <w:link w:val="TextonotaalfinalCar"/>
    <w:uiPriority w:val="99"/>
    <w:semiHidden/>
    <w:unhideWhenUsed/>
    <w:rsid w:val="1BB99486"/>
    <w:rPr>
      <w:sz w:val="20"/>
      <w:szCs w:val="20"/>
    </w:rPr>
  </w:style>
  <w:style w:type="character" w:customStyle="1" w:styleId="TextonotaalfinalCar">
    <w:name w:val="Texto nota al final Car"/>
    <w:basedOn w:val="Fuentedeprrafopredeter"/>
    <w:link w:val="Textonotaalfinal"/>
    <w:uiPriority w:val="99"/>
    <w:semiHidden/>
    <w:rsid w:val="1BB99486"/>
    <w:rPr>
      <w:noProof w:val="0"/>
      <w:sz w:val="20"/>
      <w:szCs w:val="20"/>
      <w:lang w:val="en-US"/>
    </w:rPr>
  </w:style>
  <w:style w:type="numbering" w:customStyle="1" w:styleId="Listaatual1">
    <w:name w:val="Lista atual1"/>
    <w:uiPriority w:val="99"/>
    <w:rsid w:val="003F7C68"/>
  </w:style>
  <w:style w:type="paragraph" w:styleId="NormalWeb">
    <w:name w:val="Normal (Web)"/>
    <w:basedOn w:val="Normal"/>
    <w:uiPriority w:val="99"/>
    <w:unhideWhenUsed/>
    <w:rsid w:val="009378FA"/>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character" w:styleId="Textoennegrita">
    <w:name w:val="Strong"/>
    <w:basedOn w:val="Fuentedeprrafopredeter"/>
    <w:uiPriority w:val="22"/>
    <w:qFormat/>
    <w:rsid w:val="00362E09"/>
    <w:rPr>
      <w:b/>
      <w:bCs/>
    </w:rPr>
  </w:style>
  <w:style w:type="table" w:customStyle="1" w:styleId="a9">
    <w:basedOn w:val="Tablanormal"/>
    <w:tblPr>
      <w:tblStyleRowBandSize w:val="1"/>
      <w:tblStyleColBandSize w:val="1"/>
      <w:tblCellMar>
        <w:top w:w="43" w:type="dxa"/>
        <w:left w:w="115" w:type="dxa"/>
        <w:bottom w:w="43" w:type="dxa"/>
        <w:right w:w="115" w:type="dxa"/>
      </w:tblCellMar>
    </w:tblPr>
  </w:style>
  <w:style w:type="table" w:customStyle="1" w:styleId="aa">
    <w:basedOn w:val="Tablanormal"/>
    <w:tblPr>
      <w:tblStyleRowBandSize w:val="1"/>
      <w:tblStyleColBandSize w:val="1"/>
      <w:tblCellMar>
        <w:top w:w="43" w:type="dxa"/>
        <w:left w:w="115" w:type="dxa"/>
        <w:bottom w:w="43" w:type="dxa"/>
        <w:right w:w="115" w:type="dxa"/>
      </w:tblCellMar>
    </w:tblPr>
  </w:style>
  <w:style w:type="table" w:customStyle="1" w:styleId="ab">
    <w:basedOn w:val="Tablanormal"/>
    <w:tblPr>
      <w:tblStyleRowBandSize w:val="1"/>
      <w:tblStyleColBandSize w:val="1"/>
      <w:tblCellMar>
        <w:top w:w="43" w:type="dxa"/>
        <w:left w:w="115" w:type="dxa"/>
        <w:bottom w:w="43" w:type="dxa"/>
        <w:right w:w="115" w:type="dxa"/>
      </w:tblCellMar>
    </w:tblPr>
  </w:style>
  <w:style w:type="table" w:customStyle="1" w:styleId="ac">
    <w:basedOn w:val="Tablanormal"/>
    <w:tblPr>
      <w:tblStyleRowBandSize w:val="1"/>
      <w:tblStyleColBandSize w:val="1"/>
      <w:tblCellMar>
        <w:top w:w="43" w:type="dxa"/>
        <w:left w:w="115" w:type="dxa"/>
        <w:bottom w:w="43" w:type="dxa"/>
        <w:right w:w="115" w:type="dxa"/>
      </w:tblCellMar>
    </w:tblPr>
  </w:style>
  <w:style w:type="table" w:customStyle="1" w:styleId="ad">
    <w:basedOn w:val="Tablanormal"/>
    <w:tblPr>
      <w:tblStyleRowBandSize w:val="1"/>
      <w:tblStyleColBandSize w:val="1"/>
      <w:tblCellMar>
        <w:top w:w="43" w:type="dxa"/>
        <w:left w:w="115" w:type="dxa"/>
        <w:bottom w:w="43" w:type="dxa"/>
        <w:right w:w="115" w:type="dxa"/>
      </w:tblCellMar>
    </w:tblPr>
  </w:style>
  <w:style w:type="paragraph" w:customStyle="1" w:styleId="paragraph">
    <w:name w:val="paragraph"/>
    <w:basedOn w:val="Normal"/>
    <w:rsid w:val="004B5776"/>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normaltextrun">
    <w:name w:val="normaltextrun"/>
    <w:basedOn w:val="Fuentedeprrafopredeter"/>
    <w:rsid w:val="004B5776"/>
  </w:style>
  <w:style w:type="character" w:customStyle="1" w:styleId="eop">
    <w:name w:val="eop"/>
    <w:basedOn w:val="Fuentedeprrafopredeter"/>
    <w:rsid w:val="004B5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96070">
      <w:bodyDiv w:val="1"/>
      <w:marLeft w:val="0"/>
      <w:marRight w:val="0"/>
      <w:marTop w:val="0"/>
      <w:marBottom w:val="0"/>
      <w:divBdr>
        <w:top w:val="none" w:sz="0" w:space="0" w:color="auto"/>
        <w:left w:val="none" w:sz="0" w:space="0" w:color="auto"/>
        <w:bottom w:val="none" w:sz="0" w:space="0" w:color="auto"/>
        <w:right w:val="none" w:sz="0" w:space="0" w:color="auto"/>
      </w:divBdr>
      <w:divsChild>
        <w:div w:id="1945569893">
          <w:marLeft w:val="0"/>
          <w:marRight w:val="0"/>
          <w:marTop w:val="0"/>
          <w:marBottom w:val="0"/>
          <w:divBdr>
            <w:top w:val="none" w:sz="0" w:space="0" w:color="auto"/>
            <w:left w:val="none" w:sz="0" w:space="0" w:color="auto"/>
            <w:bottom w:val="none" w:sz="0" w:space="0" w:color="auto"/>
            <w:right w:val="none" w:sz="0" w:space="0" w:color="auto"/>
          </w:divBdr>
          <w:divsChild>
            <w:div w:id="730885728">
              <w:marLeft w:val="0"/>
              <w:marRight w:val="0"/>
              <w:marTop w:val="0"/>
              <w:marBottom w:val="0"/>
              <w:divBdr>
                <w:top w:val="none" w:sz="0" w:space="0" w:color="auto"/>
                <w:left w:val="none" w:sz="0" w:space="0" w:color="auto"/>
                <w:bottom w:val="none" w:sz="0" w:space="0" w:color="auto"/>
                <w:right w:val="none" w:sz="0" w:space="0" w:color="auto"/>
              </w:divBdr>
            </w:div>
          </w:divsChild>
        </w:div>
        <w:div w:id="183829126">
          <w:marLeft w:val="0"/>
          <w:marRight w:val="0"/>
          <w:marTop w:val="0"/>
          <w:marBottom w:val="0"/>
          <w:divBdr>
            <w:top w:val="none" w:sz="0" w:space="0" w:color="auto"/>
            <w:left w:val="none" w:sz="0" w:space="0" w:color="auto"/>
            <w:bottom w:val="none" w:sz="0" w:space="0" w:color="auto"/>
            <w:right w:val="none" w:sz="0" w:space="0" w:color="auto"/>
          </w:divBdr>
          <w:divsChild>
            <w:div w:id="141704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6304">
      <w:bodyDiv w:val="1"/>
      <w:marLeft w:val="0"/>
      <w:marRight w:val="0"/>
      <w:marTop w:val="0"/>
      <w:marBottom w:val="0"/>
      <w:divBdr>
        <w:top w:val="none" w:sz="0" w:space="0" w:color="auto"/>
        <w:left w:val="none" w:sz="0" w:space="0" w:color="auto"/>
        <w:bottom w:val="none" w:sz="0" w:space="0" w:color="auto"/>
        <w:right w:val="none" w:sz="0" w:space="0" w:color="auto"/>
      </w:divBdr>
    </w:div>
    <w:div w:id="1111436927">
      <w:bodyDiv w:val="1"/>
      <w:marLeft w:val="0"/>
      <w:marRight w:val="0"/>
      <w:marTop w:val="0"/>
      <w:marBottom w:val="0"/>
      <w:divBdr>
        <w:top w:val="none" w:sz="0" w:space="0" w:color="auto"/>
        <w:left w:val="none" w:sz="0" w:space="0" w:color="auto"/>
        <w:bottom w:val="none" w:sz="0" w:space="0" w:color="auto"/>
        <w:right w:val="none" w:sz="0" w:space="0" w:color="auto"/>
      </w:divBdr>
      <w:divsChild>
        <w:div w:id="1682511227">
          <w:marLeft w:val="0"/>
          <w:marRight w:val="0"/>
          <w:marTop w:val="0"/>
          <w:marBottom w:val="0"/>
          <w:divBdr>
            <w:top w:val="none" w:sz="0" w:space="0" w:color="auto"/>
            <w:left w:val="none" w:sz="0" w:space="0" w:color="auto"/>
            <w:bottom w:val="none" w:sz="0" w:space="0" w:color="auto"/>
            <w:right w:val="none" w:sz="0" w:space="0" w:color="auto"/>
          </w:divBdr>
          <w:divsChild>
            <w:div w:id="373777337">
              <w:marLeft w:val="0"/>
              <w:marRight w:val="0"/>
              <w:marTop w:val="0"/>
              <w:marBottom w:val="0"/>
              <w:divBdr>
                <w:top w:val="none" w:sz="0" w:space="0" w:color="auto"/>
                <w:left w:val="none" w:sz="0" w:space="0" w:color="auto"/>
                <w:bottom w:val="none" w:sz="0" w:space="0" w:color="auto"/>
                <w:right w:val="none" w:sz="0" w:space="0" w:color="auto"/>
              </w:divBdr>
            </w:div>
          </w:divsChild>
        </w:div>
        <w:div w:id="984092082">
          <w:marLeft w:val="0"/>
          <w:marRight w:val="0"/>
          <w:marTop w:val="0"/>
          <w:marBottom w:val="0"/>
          <w:divBdr>
            <w:top w:val="none" w:sz="0" w:space="0" w:color="auto"/>
            <w:left w:val="none" w:sz="0" w:space="0" w:color="auto"/>
            <w:bottom w:val="none" w:sz="0" w:space="0" w:color="auto"/>
            <w:right w:val="none" w:sz="0" w:space="0" w:color="auto"/>
          </w:divBdr>
          <w:divsChild>
            <w:div w:id="78800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reenclimate.fund/sites/default/files/document/guidelines-gcf-toolkit-mainstreaming-gender_0.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thegef.org/sites/default/files/publications/GEF%20Guidance%20on%20Gender.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gef.org/sites/default/files/publications/GEF%20Guidance%20on%20Gender.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6" Type="http://schemas.openxmlformats.org/officeDocument/2006/relationships/hyperlink" Target="https://censo2022.ibge.gov.br/panorama/?utm_source=ibge&amp;utm_medium=home&amp;utm_campaign=portal" TargetMode="External"/><Relationship Id="rId21" Type="http://schemas.openxmlformats.org/officeDocument/2006/relationships/hyperlink" Target="https://www.ibge.gov.br/apps/snig/v1/?loc=0" TargetMode="External"/><Relationship Id="rId42" Type="http://schemas.openxmlformats.org/officeDocument/2006/relationships/hyperlink" Target="https://censo2022.ibge.gov.br/panorama/?utm_source=ibge&amp;utm_medium=home&amp;utm_campaign=portal" TargetMode="External"/><Relationship Id="rId47" Type="http://schemas.openxmlformats.org/officeDocument/2006/relationships/hyperlink" Target="https://censo2022.ibge.gov.br/panorama/?utm_source=ibge&amp;utm_medium=home&amp;utm_campaign=portal" TargetMode="External"/><Relationship Id="rId63" Type="http://schemas.openxmlformats.org/officeDocument/2006/relationships/hyperlink" Target="https://censo2022.ibge.gov.br/panorama/?utm_source=ibge&amp;utm_medium=home&amp;utm_campaign=portal" TargetMode="External"/><Relationship Id="rId68" Type="http://schemas.openxmlformats.org/officeDocument/2006/relationships/hyperlink" Target="https://thinkpieces-review.co.uk/2023/11/10/those-who-bathe/" TargetMode="External"/><Relationship Id="rId84" Type="http://schemas.openxmlformats.org/officeDocument/2006/relationships/hyperlink" Target="https://www.spglobal.com/commodityinsights/en/market-insights/blogs/agriculture/032322-brazil-soybean-acreage-could-threaten-cerrado-savanna-not-amazon" TargetMode="External"/><Relationship Id="rId89" Type="http://schemas.openxmlformats.org/officeDocument/2006/relationships/hyperlink" Target="https://www.mdpi.com/2673-7159/2/4/48" TargetMode="External"/><Relationship Id="rId16" Type="http://schemas.openxmlformats.org/officeDocument/2006/relationships/hyperlink" Target="https://www.embrapa.br/busca-de-noticias/-/noticia/50779965/mapa-embrapa-e-ibge-apresentam-os-dados-sobre-mulheres-rurais" TargetMode="External"/><Relationship Id="rId107" Type="http://schemas.openxmlformats.org/officeDocument/2006/relationships/hyperlink" Target="https://app.dimensions.ai/details/grant/grant.13395018" TargetMode="External"/><Relationship Id="rId11" Type="http://schemas.openxmlformats.org/officeDocument/2006/relationships/hyperlink" Target="https://data.worldbank.org/indicator/FX.OWN.TOTL.MA.ZS?locations=BR" TargetMode="External"/><Relationship Id="rId32" Type="http://schemas.openxmlformats.org/officeDocument/2006/relationships/hyperlink" Target="https://mapsontheweb.zoom-maps.com/post/675468447498551296/approximate-population-within-natural-biomes-in" TargetMode="External"/><Relationship Id="rId37" Type="http://schemas.openxmlformats.org/officeDocument/2006/relationships/hyperlink" Target="https://www.climatepolicyinitiative.org/publication/smallholders-in-the-caatinga-and-the-cerrado-a-baseline-analysis-for-a-rural-just-transition-in-brazil/" TargetMode="External"/><Relationship Id="rId53" Type="http://schemas.openxmlformats.org/officeDocument/2006/relationships/hyperlink" Target="https://www.bpbes.net.br/wp-content/uploads/2019/10/Relatorio_Restauracao_VF.pdf" TargetMode="External"/><Relationship Id="rId58" Type="http://schemas.openxmlformats.org/officeDocument/2006/relationships/hyperlink" Target="https://mapsontheweb.zoom-maps.com/post/675468447498551296/approximate-population-within-natural-biomes-in" TargetMode="External"/><Relationship Id="rId74" Type="http://schemas.openxmlformats.org/officeDocument/2006/relationships/hyperlink" Target="https://www.sciencedirect.com/science/article/abs/pii/S0169204618309368" TargetMode="External"/><Relationship Id="rId79" Type="http://schemas.openxmlformats.org/officeDocument/2006/relationships/hyperlink" Target="https://www.worldwildlife.org/places/cerrado" TargetMode="External"/><Relationship Id="rId102" Type="http://schemas.openxmlformats.org/officeDocument/2006/relationships/hyperlink" Target="https://www.cirad.fr/en/cirad-news/news/2024/agroforestry-to-restore-forests-in-the-amazon" TargetMode="External"/><Relationship Id="rId5" Type="http://schemas.openxmlformats.org/officeDocument/2006/relationships/hyperlink" Target="https://data.worldbank.org/indicator/SE.ADT.LITR.FE.ZS?locations=BR" TargetMode="External"/><Relationship Id="rId90" Type="http://schemas.openxmlformats.org/officeDocument/2006/relationships/hyperlink" Target="https://www.worldwildlife.org/stories/what-is-the-atlantic-forest-and-why-do-we-need-to-save-it" TargetMode="External"/><Relationship Id="rId95" Type="http://schemas.openxmlformats.org/officeDocument/2006/relationships/hyperlink" Target="https://news.mongabay.com/2021/06/demand-for-soy-puts-pressure-on-pantanal-brazils-largest-wild-wetland/" TargetMode="External"/><Relationship Id="rId22" Type="http://schemas.openxmlformats.org/officeDocument/2006/relationships/hyperlink" Target="https://solidaridadlatam.org/brasil/wp-content/uploads/2023/07/the_path_to_gender_inclusivity_in_the_amazons_and_the_cerrados_production_chains.pdf" TargetMode="External"/><Relationship Id="rId27" Type="http://schemas.openxmlformats.org/officeDocument/2006/relationships/hyperlink" Target="https://www.caf.com/en/currently/news/2019/03/funds-to-expand-credit-access-for-brazilian-women-owned-smes/" TargetMode="External"/><Relationship Id="rId43" Type="http://schemas.openxmlformats.org/officeDocument/2006/relationships/hyperlink" Target="https://www.climatepolicyinitiative.org/pt-br/publication/agricultores-familiares-da-caatinga-e-do-cerrado-mapeamento-para-a-promocao-de-uma-transicao-rural-justa-no-brasil/" TargetMode="External"/><Relationship Id="rId48" Type="http://schemas.openxmlformats.org/officeDocument/2006/relationships/hyperlink" Target="https://news.mongabay.com/2022/07/natural-regeneration-and-women-led-initiatives-help-drive-atlantic-forest-pact/" TargetMode="External"/><Relationship Id="rId64" Type="http://schemas.openxmlformats.org/officeDocument/2006/relationships/hyperlink" Target="https://censo2022.ibge.gov.br/panorama/?utm_source=ibge&amp;utm_medium=home&amp;utm_campaign=portal" TargetMode="External"/><Relationship Id="rId69" Type="http://schemas.openxmlformats.org/officeDocument/2006/relationships/hyperlink" Target="https://www.scielo.br/j/urbe/a/B45sLZhxZ7tKdhvWB6nCv6H/" TargetMode="External"/><Relationship Id="rId80" Type="http://schemas.openxmlformats.org/officeDocument/2006/relationships/hyperlink" Target="https://www.wwf.org.br/?32562/A-future-for-the-Cerrado" TargetMode="External"/><Relationship Id="rId85" Type="http://schemas.openxmlformats.org/officeDocument/2006/relationships/hyperlink" Target="https://besjournals.onlinelibrary.wiley.com/doi/full/10.1002/pan3.10288" TargetMode="External"/><Relationship Id="rId12" Type="http://schemas.openxmlformats.org/officeDocument/2006/relationships/hyperlink" Target="https://www.cifor.org/publications/pdf_files/OccPapers/OP-121.pdf" TargetMode="External"/><Relationship Id="rId17" Type="http://schemas.openxmlformats.org/officeDocument/2006/relationships/hyperlink" Target="https://forumseguranca.org.br/painel-violencia-contra-a-mulher/" TargetMode="External"/><Relationship Id="rId33" Type="http://schemas.openxmlformats.org/officeDocument/2006/relationships/hyperlink" Target="https://mapsontheweb.zoom-maps.com/post/675468447498551296/approximate-population-within-natural-biomes-in" TargetMode="External"/><Relationship Id="rId38" Type="http://schemas.openxmlformats.org/officeDocument/2006/relationships/hyperlink" Target="https://www.cepf.net/sites/default/files/cerrado-ecosystem-profile-summary-english-revised-2017.pdf" TargetMode="External"/><Relationship Id="rId59" Type="http://schemas.openxmlformats.org/officeDocument/2006/relationships/hyperlink" Target="https://www.funbio.org.br/en/women-at-the-forefront-gef-terrestre-sees-an-increase-in-female-participation-in-decision-making/" TargetMode="External"/><Relationship Id="rId103" Type="http://schemas.openxmlformats.org/officeDocument/2006/relationships/hyperlink" Target="https://www.climatepolicyinitiative.org/publication/accessibility-in-the-amazon-digital-solutions/" TargetMode="External"/><Relationship Id="rId108" Type="http://schemas.openxmlformats.org/officeDocument/2006/relationships/hyperlink" Target="https://seer.ufu.br/index.php/revextensao/article/view/33822" TargetMode="External"/><Relationship Id="rId54" Type="http://schemas.openxmlformats.org/officeDocument/2006/relationships/hyperlink" Target="https://news.mongabay.com/2022/07/natural-regeneration-and-women-led-initiatives-help-drive-atlantic-forest-pact/" TargetMode="External"/><Relationship Id="rId70" Type="http://schemas.openxmlformats.org/officeDocument/2006/relationships/hyperlink" Target="https://www.bpbes.net.br/wp-content/uploads/2019/10/Relatorio_Restauracao_VF.pdf" TargetMode="External"/><Relationship Id="rId75" Type="http://schemas.openxmlformats.org/officeDocument/2006/relationships/hyperlink" Target="https://digitalcommons.usf.edu/cgi/viewcontent.cgi?article=1018&amp;context=jea" TargetMode="External"/><Relationship Id="rId91" Type="http://schemas.openxmlformats.org/officeDocument/2006/relationships/hyperlink" Target="https://besjournals.onlinelibrary.wiley.com/doi/full/10.1002/pan3.10297" TargetMode="External"/><Relationship Id="rId96" Type="http://schemas.openxmlformats.org/officeDocument/2006/relationships/hyperlink" Target="https://wwfbr.awsassets.panda.org/downloads/10anospecuaria_ing.pdf" TargetMode="External"/><Relationship Id="rId1" Type="http://schemas.openxmlformats.org/officeDocument/2006/relationships/hyperlink" Target="https://data.worldbank.org/indicator/SP.POP.TOTL.MA.IN?locations=BR" TargetMode="External"/><Relationship Id="rId6" Type="http://schemas.openxmlformats.org/officeDocument/2006/relationships/hyperlink" Target="https://data.worldbank.org/indicator/SE.ADT.LITR.MA.ZS?locations=BR" TargetMode="External"/><Relationship Id="rId15" Type="http://schemas.openxmlformats.org/officeDocument/2006/relationships/hyperlink" Target="https://hir.harvard.edu/femicide-in-brazil-inter-american-condemnation/" TargetMode="External"/><Relationship Id="rId23" Type="http://schemas.openxmlformats.org/officeDocument/2006/relationships/hyperlink" Target="https://data.worldbank.org/indicator/SI.POV.DDAY?locations=BR" TargetMode="External"/><Relationship Id="rId28" Type="http://schemas.openxmlformats.org/officeDocument/2006/relationships/hyperlink" Target="https://forestsnews.cifor.org/1878/the-role-of-women-in-brazil-nut-management-in-the-amazon?fnl=en" TargetMode="External"/><Relationship Id="rId36" Type="http://schemas.openxmlformats.org/officeDocument/2006/relationships/hyperlink" Target="https://www.climatepolicyinitiative.org/publication/smallholders-in-the-caatinga-and-the-cerrado-a-baseline-analysis-for-a-rural-just-transition-in-brazil/" TargetMode="External"/><Relationship Id="rId49" Type="http://schemas.openxmlformats.org/officeDocument/2006/relationships/hyperlink" Target="https://www.pactomataatlantica.org.br/wp-content/uploads/2021/08/Gender-inclusion-in-ecological-restoration_Siqueira-2021.pdf" TargetMode="External"/><Relationship Id="rId57" Type="http://schemas.openxmlformats.org/officeDocument/2006/relationships/hyperlink" Target="https://mapsontheweb.zoom-maps.com/post/675468447498551296/approximate-population-within-natural-biomes-in" TargetMode="External"/><Relationship Id="rId106" Type="http://schemas.openxmlformats.org/officeDocument/2006/relationships/hyperlink" Target="https://www.idos-research.de/en/the-current-column/article/how-digitalisation-and-technology-empower-women-working-on-the-ocean-and-along-the-amazon-river/" TargetMode="External"/><Relationship Id="rId10" Type="http://schemas.openxmlformats.org/officeDocument/2006/relationships/hyperlink" Target="https://data.worldbank.org/indicator/SL.TLF.TOTL.FE.ZS?locations=BR" TargetMode="External"/><Relationship Id="rId31" Type="http://schemas.openxmlformats.org/officeDocument/2006/relationships/hyperlink" Target="https://peabiru.org.br/wp-content/uploads/2016/11/o-peconheiro-diagnostico-acai-peabiru-fundacentro.pdf" TargetMode="External"/><Relationship Id="rId44" Type="http://schemas.openxmlformats.org/officeDocument/2006/relationships/hyperlink" Target="https://mapsontheweb.zoom-maps.com/post/675468447498551296/approximate-population-within-natural-biomes-in" TargetMode="External"/><Relationship Id="rId52" Type="http://schemas.openxmlformats.org/officeDocument/2006/relationships/hyperlink" Target="https://www.pactomataatlantica.org.br/wp-content/uploads/2021/05/mulheres-na-restauracao.pdf" TargetMode="External"/><Relationship Id="rId60" Type="http://schemas.openxmlformats.org/officeDocument/2006/relationships/hyperlink" Target="https://www.thegef.org/projects-operations/projects/4859" TargetMode="External"/><Relationship Id="rId65" Type="http://schemas.openxmlformats.org/officeDocument/2006/relationships/hyperlink" Target="https://www.frontiersin.org/journals/plant-science/articles/10.3389/fpls.2023.1232589/full" TargetMode="External"/><Relationship Id="rId73" Type="http://schemas.openxmlformats.org/officeDocument/2006/relationships/hyperlink" Target="https://link-springer-com.gate3.library.lse.ac.uk/article/10.1007/s10745-020-00127-7" TargetMode="External"/><Relationship Id="rId78" Type="http://schemas.openxmlformats.org/officeDocument/2006/relationships/hyperlink" Target="https://www.land-links.org/wp-content/uploads/2016/09/USAID_Land_Tenure_Brazil_Profile.pdf" TargetMode="External"/><Relationship Id="rId81" Type="http://schemas.openxmlformats.org/officeDocument/2006/relationships/hyperlink" Target="https://www.climateandlandusealliance.org/wp-content/uploads/2016/09/Cerrado-Traditional-communities-biodiversity-water-and-climate.pdf" TargetMode="External"/><Relationship Id="rId86" Type="http://schemas.openxmlformats.org/officeDocument/2006/relationships/hyperlink" Target="https://iep.berkeley.edu/content/unknown-caatinga-biome" TargetMode="External"/><Relationship Id="rId94" Type="http://schemas.openxmlformats.org/officeDocument/2006/relationships/hyperlink" Target="https://newgenerationplantations.exposure.co/rainforest-restoration-in-brazils-atlantic-forest" TargetMode="External"/><Relationship Id="rId99" Type="http://schemas.openxmlformats.org/officeDocument/2006/relationships/hyperlink" Target="https://uknowledge.uky.edu/cgi/viewcontent.cgi?article=4301&amp;context=igc" TargetMode="External"/><Relationship Id="rId101" Type="http://schemas.openxmlformats.org/officeDocument/2006/relationships/hyperlink" Target="https://news.mongabay.com/2022/07/natural-regeneration-and-women-led-initiatives-help-drive-atlantic-forest-pact/" TargetMode="External"/><Relationship Id="rId4" Type="http://schemas.openxmlformats.org/officeDocument/2006/relationships/hyperlink" Target="https://www.worldbank.org/en/news/feature/2017/03/08/ser-mujer-brasil" TargetMode="External"/><Relationship Id="rId9" Type="http://schemas.openxmlformats.org/officeDocument/2006/relationships/hyperlink" Target="https://data.worldbank.org/indicator/SL.UEM.TOTL.MA.ZS?locations=BR" TargetMode="External"/><Relationship Id="rId13" Type="http://schemas.openxmlformats.org/officeDocument/2006/relationships/hyperlink" Target="https://www.weforum.org/publications/global-gender-gap-report-2023/economy-profiles-5932ef6d39" TargetMode="External"/><Relationship Id="rId18" Type="http://schemas.openxmlformats.org/officeDocument/2006/relationships/hyperlink" Target="https://terradedireitos.org.br/racismoeviolencia/uploads/Ficha%20web%20Racismo%20e%20Viol%C3%AAncia%20-%20Ingl%C3%AAs.pdf" TargetMode="External"/><Relationship Id="rId39" Type="http://schemas.openxmlformats.org/officeDocument/2006/relationships/hyperlink" Target="https://mapsontheweb.zoom-maps.com/post/675468447498551296/approximate-population-within-natural-biomes-in" TargetMode="External"/><Relationship Id="rId109" Type="http://schemas.openxmlformats.org/officeDocument/2006/relationships/hyperlink" Target="https://www-sciencedirect-com.gate3.library.lse.ac.uk/science/article/pii/S0264837721001769?via%3Dihub" TargetMode="External"/><Relationship Id="rId34" Type="http://schemas.openxmlformats.org/officeDocument/2006/relationships/hyperlink" Target="https://censo2022.ibge.gov.br/panorama/?utm_source=ibge&amp;utm_medium=home&amp;utm_campaign=portal" TargetMode="External"/><Relationship Id="rId50" Type="http://schemas.openxmlformats.org/officeDocument/2006/relationships/hyperlink" Target="https://www.scielo.br/j/abb/a/4gzKG7G3n8pHFb4XhBbJYYy/?lang=en" TargetMode="External"/><Relationship Id="rId55" Type="http://schemas.openxmlformats.org/officeDocument/2006/relationships/hyperlink" Target="https://censo2022.ibge.gov.br/panorama/?utm_source=ibge&amp;utm_medium=home&amp;utm_campaign=portal" TargetMode="External"/><Relationship Id="rId76" Type="http://schemas.openxmlformats.org/officeDocument/2006/relationships/hyperlink" Target="https://www.ncbi.nlm.nih.gov/pmc/articles/PMC3422238/" TargetMode="External"/><Relationship Id="rId97" Type="http://schemas.openxmlformats.org/officeDocument/2006/relationships/hyperlink" Target="https://ejfoundation.org/news-media/a-wetland-under-siege-is-the-pantanal-a-paradise-lost" TargetMode="External"/><Relationship Id="rId104" Type="http://schemas.openxmlformats.org/officeDocument/2006/relationships/hyperlink" Target="https://www.ncbi.nlm.nih.gov/pmc/articles/PMC10403759/" TargetMode="External"/><Relationship Id="rId7" Type="http://schemas.openxmlformats.org/officeDocument/2006/relationships/hyperlink" Target="https://www.oliverwyman.com/our-expertise/insights/2018/aug/the-gender-gap-lifecycle.html" TargetMode="External"/><Relationship Id="rId71" Type="http://schemas.openxmlformats.org/officeDocument/2006/relationships/hyperlink" Target="https://www.land-links.org/wp-content/uploads/2016/09/USAID_Land_Tenure_Brazil_Profile.pdf" TargetMode="External"/><Relationship Id="rId92" Type="http://schemas.openxmlformats.org/officeDocument/2006/relationships/hyperlink" Target="https://www.worldwildlife.org/stories/what-is-the-atlantic-forest-and-why-do-we-need-to-save-it" TargetMode="External"/><Relationship Id="rId2" Type="http://schemas.openxmlformats.org/officeDocument/2006/relationships/hyperlink" Target="https://data.unwomen.org/country/brazil" TargetMode="External"/><Relationship Id="rId29" Type="http://schemas.openxmlformats.org/officeDocument/2006/relationships/hyperlink" Target="https://escravonempensar.org.br/wp-content/uploads/2022/09/fasciculo_amazonia_2022_WEB.pdf" TargetMode="External"/><Relationship Id="rId24" Type="http://schemas.openxmlformats.org/officeDocument/2006/relationships/hyperlink" Target="https://www.econstor.eu/bitstream/10419/220135/1/dp_046.pdf" TargetMode="External"/><Relationship Id="rId40" Type="http://schemas.openxmlformats.org/officeDocument/2006/relationships/hyperlink" Target="https://mapsontheweb.zoom-maps.com/post/675468447498551296/approximate-population-within-natural-biomes-in" TargetMode="External"/><Relationship Id="rId45" Type="http://schemas.openxmlformats.org/officeDocument/2006/relationships/hyperlink" Target="https://mapsontheweb.zoom-maps.com/post/675468447498551296/approximate-population-within-natural-biomes-in" TargetMode="External"/><Relationship Id="rId66" Type="http://schemas.openxmlformats.org/officeDocument/2006/relationships/hyperlink" Target="https://lume.ufrgs.br/bitstream/handle/10183/69822/000024763.pdf;jsessionid=D22CA6EAE788A38130551FAB51210466?sequence=1" TargetMode="External"/><Relationship Id="rId87" Type="http://schemas.openxmlformats.org/officeDocument/2006/relationships/hyperlink" Target="https://www.climatepolicyinitiative.org/publication/smallholders-in-the-caatinga-and-the-cerrado-a-baseline-analysis-for-a-rural-just-transition-in-brazil/" TargetMode="External"/><Relationship Id="rId110" Type="http://schemas.openxmlformats.org/officeDocument/2006/relationships/hyperlink" Target="https://www.cepal.org/sites/default/files/publication/files/42661/RVI122_Deere.pdf" TargetMode="External"/><Relationship Id="rId61" Type="http://schemas.openxmlformats.org/officeDocument/2006/relationships/hyperlink" Target="https://mapsontheweb.zoom-maps.com/post/675468447498551296/approximate-population-within-natural-biomes-in" TargetMode="External"/><Relationship Id="rId82" Type="http://schemas.openxmlformats.org/officeDocument/2006/relationships/hyperlink" Target="https://www.cepf.net/sites/default/files/cerrado-ecosystem-profile-summary-english-revised-2017.pdf" TargetMode="External"/><Relationship Id="rId19" Type="http://schemas.openxmlformats.org/officeDocument/2006/relationships/hyperlink" Target="https://www.socioambiental.org/en/socio-environmental-news/Quilombola-women-fight-against-gender-violence-in-their-territories" TargetMode="External"/><Relationship Id="rId14" Type="http://schemas.openxmlformats.org/officeDocument/2006/relationships/hyperlink" Target="https://www.wilsoncenter.org/article/fighting-gender-based-violence-brazil" TargetMode="External"/><Relationship Id="rId30" Type="http://schemas.openxmlformats.org/officeDocument/2006/relationships/hyperlink" Target="https://peabiru.org.br/wp-content/uploads/2016/11/o-peconheiro-diagnostico-acai-peabiru-fundacentro.pdf" TargetMode="External"/><Relationship Id="rId35" Type="http://schemas.openxmlformats.org/officeDocument/2006/relationships/hyperlink" Target="https://censo2022.ibge.gov.br/panorama/?utm_source=ibge&amp;utm_medium=home&amp;utm_campaign=portal" TargetMode="External"/><Relationship Id="rId56" Type="http://schemas.openxmlformats.org/officeDocument/2006/relationships/hyperlink" Target="https://censo2022.ibge.gov.br/panorama/?utm_source=ibge&amp;utm_medium=home&amp;utm_campaign=portal" TargetMode="External"/><Relationship Id="rId77" Type="http://schemas.openxmlformats.org/officeDocument/2006/relationships/hyperlink" Target="https://digitalcommons.usf.edu/cgi/viewcontent.cgi?article=1018&amp;context=jea" TargetMode="External"/><Relationship Id="rId100" Type="http://schemas.openxmlformats.org/officeDocument/2006/relationships/hyperlink" Target="https://escholarship.org/content/qt7tp2k884/qt7tp2k884_noSplash_2efc86ba27fea775ef04f49a8ec58904.pdf?t=rvuove" TargetMode="External"/><Relationship Id="rId105" Type="http://schemas.openxmlformats.org/officeDocument/2006/relationships/hyperlink" Target="https://www.gsma.com/solutions-and-impact/connectivity-for-good/mobile-for-development/wp-content/uploads/2020/05/GSMA-The-Mobile-Gender-Gap-Report-2020.pdf" TargetMode="External"/><Relationship Id="rId8" Type="http://schemas.openxmlformats.org/officeDocument/2006/relationships/hyperlink" Target="https://data.worldbank.org/indicator/SL.UEM.TOTL.FE.ZS?locations=BR" TargetMode="External"/><Relationship Id="rId51" Type="http://schemas.openxmlformats.org/officeDocument/2006/relationships/hyperlink" Target="https://wwfint.awsassets.panda.org/downloads/flr_field_series_atlantic_forest.pdf" TargetMode="External"/><Relationship Id="rId72" Type="http://schemas.openxmlformats.org/officeDocument/2006/relationships/hyperlink" Target="https://link-springer-com.gate3.library.lse.ac.uk/article/10.1007/s10113-021-01836-5" TargetMode="External"/><Relationship Id="rId93" Type="http://schemas.openxmlformats.org/officeDocument/2006/relationships/hyperlink" Target="https://www.renature.co/articles/insights-on-brazil/" TargetMode="External"/><Relationship Id="rId98" Type="http://schemas.openxmlformats.org/officeDocument/2006/relationships/hyperlink" Target="https://www.sei.org/features/connecting-exports-of-brazilian-soy-to-deforestation/" TargetMode="External"/><Relationship Id="rId3" Type="http://schemas.openxmlformats.org/officeDocument/2006/relationships/hyperlink" Target="https://data.worldbank.org/indicator/SE.TER.ENRR.FE?locations=BR" TargetMode="External"/><Relationship Id="rId25" Type="http://schemas.openxmlformats.org/officeDocument/2006/relationships/hyperlink" Target="https://censo2022.ibge.gov.br/panorama/?utm_source=ibge&amp;utm_medium=home&amp;utm_campaign=portal" TargetMode="External"/><Relationship Id="rId46" Type="http://schemas.openxmlformats.org/officeDocument/2006/relationships/hyperlink" Target="https://censo2022.ibge.gov.br/panorama/?utm_source=ibge&amp;utm_medium=home&amp;utm_campaign=portal" TargetMode="External"/><Relationship Id="rId67" Type="http://schemas.openxmlformats.org/officeDocument/2006/relationships/hyperlink" Target="https://www.yesmagazine.org/social-justice/2023/09/20/brazil-indigenous-women-march" TargetMode="External"/><Relationship Id="rId20" Type="http://schemas.openxmlformats.org/officeDocument/2006/relationships/hyperlink" Target="https://www.ibge.gov.br/estatisticas/multidominio/genero/20163-estatisticas-de-genero-indicadores-sociais-das-mulheres-no-brasil.html?=&amp;t=publicacoes" TargetMode="External"/><Relationship Id="rId41" Type="http://schemas.openxmlformats.org/officeDocument/2006/relationships/hyperlink" Target="https://censo2022.ibge.gov.br/panorama/?utm_source=ibge&amp;utm_medium=home&amp;utm_campaign=portal" TargetMode="External"/><Relationship Id="rId62" Type="http://schemas.openxmlformats.org/officeDocument/2006/relationships/hyperlink" Target="https://mapsontheweb.zoom-maps.com/post/675468447498551296/approximate-population-within-natural-biomes-in" TargetMode="External"/><Relationship Id="rId83" Type="http://schemas.openxmlformats.org/officeDocument/2006/relationships/hyperlink" Target="https://www.weforum.org/press/2024/02/environmental-protection-and-sustainable-food-production-in-the-cerrado-could-create-72bn-for-brazil-says-new-report/" TargetMode="External"/><Relationship Id="rId88" Type="http://schemas.openxmlformats.org/officeDocument/2006/relationships/hyperlink" Target="https://www.wribrasil.org.br/publicacoes/conhecimento-agroecologico-local-caminhos-para-adaptacao-mudancas-climaticas-e" TargetMode="External"/><Relationship Id="rId111" Type="http://schemas.openxmlformats.org/officeDocument/2006/relationships/hyperlink" Target="https://www.thegef.org/sites/default/files/publications/GEF_GenderGuidelines_Dec2018_CRA_web.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ohJVYktC5JrpXOsNZlcPj8TXyA==">CgMxLjAaGgoBMBIVChMIBCoPCgtBQUFCTGNldm9GbxABGhoKATESFQoTCAQqDwoLQUFBQkxjZXZvRm8QARoaCgEyEhUKEwgEKg8KC0FBQUJMY2V2b0ZvEAIaGgoBMxIVChMIBCoPCgtBQUFCTGNldm9GdxACGhoKATQSFQoTCAQqDwoLQUFBQkxjZXZvRjQQARoaCgE1EhUKEwgEKg8KC0FBQUJMY2V2b0Y0EAEaGgoBNhIVChMIBCoPCgtBQUFCTGNldm9GMBABGhoKATcSFQoTCAQqDwoLQUFBQkxjZXZvRjAQARoaCgE4EhUKEwgEKg8KC0FBQUJMY2V2b0YwEAIaGgoBORIVChMIBCoPCgtBQUFCUHozRmZIZxABGhsKAjEwEhUKEwgEKg8KC0FBQUJQejNGZkhnEAEaGwoCMTESFQoTCAQqDwoLQUFBQlB6M0ZmSGcQAhobCgIxMhIVChMIBCoPCgtBQUFCUHozRmZIaxABGhsKAjEzEhUKEwgEKg8KC0FBQUJQejNGZkhrEAEaGwoCMTQSFQoTCAQqDwoLQUFBQlB6M0ZmSGsQAhobCgIxNRIVChMIBCoPCgtBQUFCUHozRmZKSRABGhsKAjE2EhUKEwgEKg8KC0FBQUJQejNGZkpJEAEaGwoCMTcSFQoTCAQqDwoLQUFBQlB6M0ZmSkkQAhooCgIxOBIiCiAIBCocCgtBQUFCTGNldm9GURAIGgtBQUFCTGNldm9GURooCgIxORIiCiAIBCocCgtBQUFCTGNldm9GURAIGgtBQUFCTGNldm9OWRobCgIyMBIVChMIBCoPCgtBQUFCTGNldm9NcxABGhsKAjIxEhUKEwgEKg8KC0FBQUJMY2V2b01zEAEaGwoCMjISFQoTCAQqDwoLQUFBQkxjZXZvSEkQAhooCgIyMxIiCiAIBCocCgtBQUFCTGNldm9GVRAIGgtBQUFCTGNldm9GVRooCgIyNBIiCiAIBCocCgtBQUFCTGNldm9GVRAIGgtBQUFCTGNldm9IQRobCgIyNRIVChMIBCoPCgtBQUFCTGNldm9ITRABGhsKAjI2EhUKEwgEKg8KC0FBQUJMY2V2b0hNEAIaGwoCMjcSFQoTCAQqDwoLQUFBQkxjZXZvSUEQARobCgIyOBIVChMIBCoPCgtBQUFCTGNldm9JQRACGhsKAjI5EhUKEwgEKg8KC0FBQUJMY2V2b0lREAEaGwoCMzASFQoTCAQqDwoLQUFBQkxjZXZvSVEQAhobCgIzMRIVChMIBCoPCgtBQUFCTGNldm9JVRACGhsKAjMyEhUKEwgEKg8KC0FBQUJQelpVLXBJEAEaGwoCMzMSFQoTCAQqDwoLQUFBQlB6WlUtcEkQARobCgIzNBIVChMIBCoPCgtBQUFCUHpaVS1wSRABGhsKAjM1EhUKEwgEKg8KC0FBQUJQelpVLXBJEAEaGwoCMzYSFQoTCAQqDwoLQUFBQlB6WlUtcEkQARobCgIzNxIVChMIBCoPCgtBQUFCUHpaVS1wSRABGhsKAjM4EhUKEwgEKg8KC0FBQUJQelpVLXBJEAEaGwoCMzkSFQoTCAQqDwoLQUFBQlB6WlUtcEkQARobCgI0MBIVChMIBCoPCgtBQUFCUHpaVS1wSRABGhsKAjQxEhUKEwgEKg8KC0FBQUJQelpVLXBJEAEaGwoCNDISFQoTCAQqDwoLQUFBQlB6WlUtcEkQARobCgI0MxIVChMIBCoPCgtBQUFCUHpaVS1wSRABGhsKAjQ0EhUKEwgEKg8KC0FBQUJQelpVLXBJEAEaGwoCNDUSFQoTCAQqDwoLQUFBQlB6WlUtcEkQARo2CgI0NhIwCgQ6AggDChMIBCoPCgtBQUFCUHpaVS1wTRAEChMIBCoPCgtBQUFCUHpaVS1wTRADGhsKAjQ3EhUKEwgEKg8KC0FBQUJMY2V2b0pjEAEaGwoCNDgSFQoTCAQqDwoLQUFBQkxjZXZvSmMQARobCgI0ORIVChMIBCoPCgtBQUFCTGNldm9KYxACGigKAjUwEiIKIAgEKhwKC0FBQUJMY2V2b0VvEAgaC0FBQUJMY2V2b0VvGigKAjUxEiIKIAgEKhwKC0FBQUJMY2V2b0VvEAgaC0FBQUJMY2V2b0pnGhsKAjUyEhUKEwgEKg8KC0FBQUJMY2V2b0tNEAEaGwoCNTMSFQoTCAQqDwoLQUFBQkxjZXZvS00QAhobCgI1NBIVChMIBCoPCgtBQUFCTGNldm9LSRABGhsKAjU1EhUKEwgEKg8KC0FBQUJMY2V2b0tJEAEaGwoCNTYSFQoTCAQqDwoLQUFBQkxjZXZvS0kQAhobCgI1NxIVChMIBCoPCgtBQUFCTGNldm9LbxABGhsKAjU4EhUKEwgEKg8KC0FBQUJMY2V2b0tvEAEaGwoCNTkSFQoTCAQqDwoLQUFBQkxjZXZvS28QAhobCgI2MBIVChMIBCoPCgtBQUFCTGNldm9LaxACGhsKAjYxEhUKEwgEKg8KC0FBQUJMY2V2b0trEAIaKAoCNjISIgogCAQqHAoLQUFBQkxjZXZvRWsQCBoLQUFBQkxjZXZvRWsaKAoCNjMSIgogCAQqHAoLQUFBQkxjZXZvRWsQCBoLQUFBQkxjZXZvS2caKAoCNjQSIgogCAQqHAoLQUFBQkxjZXZvRTQQCBoLQUFBQkxjZXZvRTQaKAoCNjUSIgogCAQqHAoLQUFBQkxjZXZvRTQQCBoLQUFBQkxjZXZvS3caGwoCNjYSFQoTCAQqDwoLQUFBQkxjZXZvSzAQBxobCgI2NxIVChMIBCoPCgtBQUFCTGNldm9LMBAJGhsKAjY4EhUKEwgEKg8KC0FBQUJMY2V2b0swEAEaGwoCNjkSFQoTCAQqDwoLQUFBQkxjZXZvSzAQCRobCgI3MBIVChMIBCoPCgtBQUFCTGNldm9LMBAEGjAKAjcxEioKEwgEKg8KC0FBQUJMY2V2b0swEAQKEwgEKg8KC0FBQUJMY2V2b0swEAMaGwoCNzISFQoTCAQqDwoLQUFBQkxjZXZvSzAQBxobCgI3MxIVChMIBCoPCgtBQUFCTGNldm9LMBAJGhsKAjc0EhUKEwgEKg8KC0FBQUJMY2V2b0swEAEaGwoCNzUSFQoTCAQqDwoLQUFBQkxjZXZvSzAQCRobCgI3NhIVChMIBCoPCgtBQUFCTGNldm9LMBAEGjAKAjc3EioKEwgEKg8KC0FBQUJMY2V2b0swEAQKEwgEKg8KC0FBQUJMY2V2b0swEAMaGwoCNzgSFQoTCAQqDwoLQUFBQkxjZXZvSzAQBxobCgI3ORIVChMIBCoPCgtBQUFCTGNldm9LMBAJGhsKAjgwEhUKEwgEKg8KC0FBQUJMY2V2b0swEAEaGwoCODESFQoTCAQqDwoLQUFBQkxjZXZvSzAQCRobCgI4MhIVChMIBCoPCgtBQUFCTGNldm9LMBAEGjAKAjgzEioKEwgEKg8KC0FBQUJMY2V2b0swEAQKEwgEKg8KC0FBQUJMY2V2b0swEAMaKAoCODQSIgogCAQqHAoLQUFBQk5zMjJ3cm8QCBoLQUFBQk5zMjJ3cm8aKAoCODUSIgogCAQqHAoLQUFBQkxjZXZvRXMQCBoLQUFBQkxjZXZvRXMaGwoCODYSFQoTCAQqDwoLQUFBQkxjZXZvSzgQARobCgI4NxIVChMIBCoPCgtBQUFCTGNldm9LOBABGhsKAjg4EhUKEwgEKg8KC0FBQUJMY2V2b0s4EAIaGwoCODkSFQoTCAQqDwoLQUFBQkxjZXZvTEEQARobCgI5MBIVChMIBCoPCgtBQUFCTGNldm9MQRABGhsKAjkxEhUKEwgEKg8KC0FBQUJMY2V2b0xBEAIaGwoCOTISFQoTCAQqDwoLQUFBQkxjZXZvTGMQAhobCgI5MxIVChMIBCoPCgtBQUFCTGNldm9MYxACGhsKAjk0EhUKEwgEKg8KC0FBQUJMY2V2b1FJEAEaKAoCOTUSIgogCAQqHAoLQUFBQkxjZXZvUUkQCBoLQUFBQkxjZXZvUU0aGwoCOTYSFQoTCAQqDwoLQUFBQkxjZXZvTXMQChobCgI5NxIVChMIBCoPCgtBQUFCTGNldm9NcxABGhsKAjk4EhUKEwgEKg8KC0FBQUJMY2V2b01zEAEaGwoCOTkSFQoTCAQqDwoLQUFBQkxjZXZvTXMQARocCgMxMDASFQoTCAQqDwoLQUFBQkxjZXZvTXMQARocCgMxMDESFQoTCAQqDwoLQUFBQkxjZXZvTXMQARocCgMxMDISFQoTCAQqDwoLQUFBQkxjZXZvTXMQARocCgMxMDMSFQoTCAQqDwoLQUFBQkxjZXZvTXMQARocCgMxMDQSFQoTCAQqDwoLQUFBQkxjZXZvTXMQARocCgMxMDUSFQoTCAQqDwoLQUFBQkxjZXZvTXMQARocCgMxMDYSFQoTCAQqDwoLQUFBQkxjZXZvTXMQARocCgMxMDcSFQoTCAQqDwoLQUFBQkxjZXZvTXMQARocCgMxMDgSFQoTCAQqDwoLQUFBQkxjZXZvTXMQARocCgMxMDkSFQoTCAQqDwoLQUFBQkxjZXZvTXMQARocCgMxMTASFQoTCAQqDwoLQUFBQkxjZXZvTXMQARocCgMxMTESFQoTCAQqDwoLQUFBQkxjZXZvTXMQARocCgMxMTISFQoTCAQqDwoLQUFBQkxjZXZvTXMQARocCgMxMTMSFQoTCAQqDwoLQUFBQkxjZXZvTXMQARocCgMxMTQSFQoTCAQqDwoLQUFBQkxjZXZvTXMQARocCgMxMTUSFQoTCAQqDwoLQUFBQkxjZXZvTXMQARocCgMxMTYSFQoTCAQqDwoLQUFBQkxjZXZvTXMQARocCgMxMTcSFQoTCAQqDwoLQUFBQkxjZXZvTXMQARocCgMxMTgSFQoTCAQqDwoLQUFBQkxjZXZvTXMQARocCgMxMTkSFQoTCAQqDwoLQUFBQkxjZXZvTXMQARocCgMxMjASFQoTCAQqDwoLQUFBQkxjZXZvTXMQARocCgMxMjESFQoTCAQqDwoLQUFBQkxjZXZvTXMQARocCgMxMjISFQoTCAQqDwoLQUFBQkxjZXZvTXMQARocCgMxMjMSFQoTCAQqDwoLQUFBQkxjZXZvTXMQARocCgMxMjQSFQoTCAQqDwoLQUFBQkxjZXZvTXMQARocCgMxMjUSFQoTCAQqDwoLQUFBQkxjZXZvTXMQARocCgMxMjYSFQoTCAQqDwoLQUFBQkxjZXZvTXMQARocCgMxMjcSFQoTCAQqDwoLQUFBQkxjZXZvTXMQARocCgMxMjgSFQoTCAQqDwoLQUFBQkxjZXZvTXMQARocCgMxMjkSFQoTCAQqDwoLQUFBQkxjZXZvTXMQARocCgMxMzASFQoTCAQqDwoLQUFBQkxjZXZvTXMQARocCgMxMzESFQoTCAQqDwoLQUFBQkxjZXZvTXMQARocCgMxMzISFQoTCAQqDwoLQUFBQkxjZXZvTXMQASLtAgoLQUFBQlB6WlUtcEkSuQIKC0FBQUJQelpVLXBJEgtBQUFCUHpaVS1wSRoNCgl0ZXh0L2h0bWwSACIOCgp0ZXh0L3BsYWluEgAqGyIVMTA1NjQ4NjU1MDEzNTQ2MDU3ODk2KAA4ADCkm/aJgTI4rcP2iYEySp4BCiRhcHBsaWNhdGlvbi92bmQuZ29vZ2xlLWFwcHMuZG9jcy5tZHMadsLX2uQBcBpuCmoKZFRoZSBNaW5pc3RyeSBvZiBFbnZpcm9ubWVudCBoYXMgYmVlbiBpbXBsZW1lbnRpbmcgaW50ZXJuYXRpb25hbCBjb29wZXJhdGlvbiBwcm9qZWN0cyBzaW5jZSBpdHMgaW5jZXAQARgBEAFaDDhjNG1uZW1hb2M0ZXICIAB4AIIBFHN1Z2dlc3QuZ3U0aTJ1c2lnYWJjmgEGCAAQABgAGKSb9omBMiCtw/aJgTJCFHN1Z2dlc3QuZ3U0aTJ1c2lnYWJjIqECCgtBQUFCTGNldm9GdxLrAQoLQUFBQkxjZXZvRncSC0FBQUJMY2V2b0Z3Gg0KCXRleHQvaHRtbBIAIg4KCnRleHQvcGxhaW4SACobIhUxMDU2NDg2NTUwMTM1NDYwNTc4OTYoADgAMPuL67mAMjiikeu5gDJKSwokYXBwbGljYXRpb24vdm5kLmdvb2dsZS1hcHBzLmRvY3MubWRzGiPC19rkAR0SGwoXChEoUmVzdGF1cmEgQmlvbWFzKRABGAAQAVoMYWQ5dTQzbm9rZXQ0cgIgAHgAggEUc3VnZ2VzdC50bXpoeGs0cjBkdXmaAQYIABAAGACwAQC4AQAY+4vruYAyIKKR67mAMjAAQhRzdWdnZXN0LnRtemh4azRyMGR1eSKIAgoLQUFBQlB6WlUtcE0S1AEKC0FBQUJQelpVLXBNEgtBQUFCUHpaVS1wTRoNCgl0ZXh0L2h0bWwSACIOCgp0ZXh0L3BsYWluEgAqGyIVMTA1NjQ4NjU1MDEzNTQ2MDU3ODk2KAA4ADDbsfqJgTI4mNn6iYEySjoKJGFwcGxpY2F0aW9uL3ZuZC5nb29nbGUtYXBwcy5kb2NzLm1kcxoSwtfa5AEMIgQIURABIgQIRxABWgxqZTBnc2drZ2hrNHlyAiAAeACCARRzdWdnZXN0LnFzbWxkaGVmcmVrdJoBBggAEAAYABjbsfqJgTIgmNn6iYEyQhRzdWdnZXN0LnFzbWxkaGVmcmVrdCKkAgoLQUFBQkxjZXZvTEES7gEKC0FBQUJMY2V2b0xBEgtBQUFCTGNldm9MQRoNCgl0ZXh0L2h0bWwSACIOCgp0ZXh0L3BsYWluEgAqGyIVMTA1NjQ4NjU1MDEzNTQ2MDU3ODk2KAA4ADCfzq26gDI4nuOtuoAySk4KJGFwcGxpY2F0aW9uL3ZuZC5nb29nbGUtYXBwcy5kb2NzLm1kcxomwtfa5AEgCh4KDAoGNTIsNTAwEAEYABIMCgY0NS4wMDAQARgAGAFaDHZsNWt0OTdiOWhlM3ICIAB4AIIBFHN1Z2dlc3Quam4wOXB0ejZpbWc4mgEGCAAQABgAsAEAuAEAGJ/OrbqAMiCe4626gDIwAEIUc3VnZ2VzdC5qbjA5cHR6NmltZzgipAIKC0FBQUJMY2V2b0tJEu4BCgtBQUFCTGNldm9LSRILQUFBQkxjZXZvS0kaDQoJdGV4dC9odG1sEgAiDgoKdGV4dC9wbGFpbhIAKhsiFTEwNTY0ODY1NTAxMzU0NjA1Nzg5NigAOAAwnq2guoAyOJW8oLqAMkpOCiRhcHBsaWNhdGlvbi92bmQuZ29vZ2xlLWFwcHMuZG9jcy5tZHMaJsLX2uQBIAoeCgwKBjUyLDUwMBABGAASDAoGNDUsMDAwEAEYABgBWgxuZ25ud2kzZmxsMGhyAiAAeACCARRzdWdnZXN0Lm5zZ3owenNveW9kcZoBBggAEAAYALABALgBABieraC6gDIglbyguoAyMABCFHN1Z2dlc3QubnNnejB6c295b2RxIrwCCgtBQUFCTGNldm9GbxKGAgoLQUFBQkxjZXZvRm8SC0FBQUJMY2V2b0ZvGg0KCXRleHQvaHRtbBIAIg4KCnRleHQvcGxhaW4SACobIhUxMDU2NDg2NTUwMTM1NDYwNTc4OTYoADgAMKCt6rmAMjjXw+q5gDJKZgokYXBwbGljYXRpb24vdm5kLmdvb2dsZS1hcHBzLmRvY3MubWRzGj7C19rkATgKNgoVCg9SZXN0YXVyYSBCaW9tYXMQARgAEhsKFVVuaW9uIGZvciBSZXN0b3JhdGlvbhABGAAYAVoMOWZrNTlhOHZkNml0cgIgAHgAggEUc3VnZ2VzdC4xMzB5b2Z0aDBjM3iaAQYIABAAGACwAQC4AQAYoK3quYAyINfD6rmAMjAAQhRzdWdnZXN0LjEzMHlvZnRoMGMzeCKlAgoLQUFBQkxjZXZvS00S7wEKC0FBQUJMY2V2b0tNEgtBQUFCTGNldm9LTRoNCgl0ZXh0L2h0bWwSACIOCgp0ZXh0L3BsYWluEgAqGyIVMTA1NjQ4NjU1MDEzNTQ2MDU3ODk2KAA4ADD1uKG6gDI4jsShuoAySk8KJGFwcGxpY2F0aW9uL3ZuZC5nb29nbGUtYXBwcy5kb2NzLm1kcxonwtfa5AEhCh8KDAoGOTcsNTAwEAEYABINCgcxMDUsMDAwEAEYABgBWgx3cnF0YnB2YWU0OGZyAiAAeACCARRzdWdnZXN0LmFqZmZ3MWN0cTVhcpoBBggAEAAYALABALgBABj1uKG6gDIgjsShuoAyMABCFHN1Z2dlc3QuYWpmZncxY3RxNWFyIqUDCgtBQUFCTGNldm9FcxL6AgoLQUFBQkxjZXZvRXMSC0FBQUJMY2V2b0VzGjsKCXRleHQvaHRtbBIuQXJlIHRoZXNlIDcgdGhlIHNhbWUgYXMgZm9yIHRoZSAybmQgaW5kaWNhdG9yPyI8Cgp0ZXh0L3BsYWluEi5BcmUgdGhlc2UgNyB0aGUgc2FtZSBhcyBmb3IgdGhlIDJuZCBpbmRpY2F0b3I/KkUKDEp1bGlhbmEgUmlvcxo1Ly9zc2wuZ3N0YXRpYy5jb20vZG9jcy9jb21tb24vYmx1ZV9zaWxob3VldHRlOTYtMC5wbmcwgOO8k4AyOIDjvJOAMnJHCgxKdWxpYW5hIFJpb3MaNwo1Ly9zc2wuZ3N0YXRpYy5jb20vZG9jcy9jb21tb24vYmx1ZV9zaWxob3VldHRlOTYtMC5wbmd4AIgBAZoBBggAEAAYAKoBMBIuQXJlIHRoZXNlIDcgdGhlIHNhbWUgYXMgZm9yIHRoZSAybmQgaW5kaWNhdG9yP7ABALgBARiA47yTgDIggOO8k4AyMABCCWtpeC5jbXQxMCL7BwoLQUFBQkxjZXZvRlUS0QcKC0FBQUJMY2V2b0ZVEgtBQUFCTGNldm9GVRo8Cgl0ZXh0L2h0bWwSLz8gVGhpcyB0ZXJtIGlzIGluIHNwYW5pc2guIEluIEJSIGl0IGlzIG5vdCB1c2VkIj0KCnRleHQvcGxhaW4SLz8gVGhpcyB0ZXJtIGlzIGluIHNwYW5pc2guIEluIEJSIGl0IGlzIG5vdCB1c2VkKkkKEE5laWxhIENhdmFsY2FudGUaNS8vc3NsLmdzdGF0aWMuY29tL2RvY3MvY29tbW9uL2JsdWVfc2lsaG91ZXR0ZTk2LTAucG5nMICp56j7MTiyu/u5gDJCyQQKC0FBQUJMY2V2b0hBEgtBQUFCTGNldm9GVRqjAQoJdGV4dC9odG1sEpUBSSB0aGluayB0aGlzIHRlcm0gaXMgdXNlZCBmb3IgdGhlIFNwYW5pc2gtc3BlYWtpbmcgcGFydHMgb2YgdGhlIFBhbXBhIGJpb21lIChBcmdlbnRpbmEgYW5kIFVydWd1YXkpLiBJIHJlbW92ZWQgdGhpcyByZWZlcmVuY2UgdG8gJiMzOTtsYXMgY2FzYXMmIzM5Oy4inAEKCnRleHQvcGxhaW4SjQFJIHRoaW5rIHRoaXMgdGVybSBpcyB1c2VkIGZvciB0aGUgU3BhbmlzaC1zcGVha2luZyBwYXJ0cyBvZiB0aGUgUGFtcGEgYmlvbWUgKEFyZ2VudGluYSBhbmQgVXJ1Z3VheSkuIEkgcmVtb3ZlZCB0aGlzIHJlZmVyZW5jZSB0byAnbGFzIGNhc2FzJy4qGyIVMTA1NjQ4NjU1MDEzNTQ2MDU3ODk2KAA4ADCyu/u5gDI4srv7uYAyWgw5d2RwejdmbmRwemlyAiAAeACaAQYIABAAGACqAZgBEpUBSSB0aGluayB0aGlzIHRlcm0gaXMgdXNlZCBmb3IgdGhlIFNwYW5pc2gtc3BlYWtpbmcgcGFydHMgb2YgdGhlIFBhbXBhIGJpb21lIChBcmdlbnRpbmEgYW5kIFVydWd1YXkpLiBJIHJlbW92ZWQgdGhpcyByZWZlcmVuY2UgdG8gJiMzOTtsYXMgY2FzYXMmIzM5Oy6wAQC4AQBySwoQTmVpbGEgQ2F2YWxjYW50ZRo3CjUvL3NzbC5nc3RhdGljLmNvbS9kb2NzL2NvbW1vbi9ibHVlX3NpbGhvdWV0dGU5Ni0wLnBuZ3gAiAEBmgEGCAAQABgAqgExEi8/IFRoaXMgdGVybSBpcyBpbiBzcGFuaXNoLiBJbiBCUiBpdCBpcyBub3QgdXNlZLABALgBARiAqeeo+zEgsrv7uYAyMABCCGtpeC5jbXQyIpsHCgtBQUFCTGNldm9FbxLxBgoLQUFBQkxjZXZvRW8SC0FBQUJMY2V2b0VvGlIKCXRleHQvaHRtbBJFQ2hhbmdlIHRoaXMgdG8gQ29tcG9uZW50cyBhcyBJIHRoaW5rIGl0IHdhcyBkb25lIGF0IGEgQ29tcG9uZW50IGxldmVsIlMKCnRleHQvcGxhaW4SRUNoYW5nZSB0aGlzIHRvIENvbXBvbmVudHMgYXMgSSB0aGluayBpdCB3YXMgZG9uZSBhdCBhIENvbXBvbmVudCBsZXZlbCpFCgxKdWxpYW5hIFJpb3MaNS8vc3NsLmdzdGF0aWMuY29tL2RvY3MvY29tbW9uL2JsdWVfc2lsaG91ZXR0ZTk2LTAucG5nMIC9n5OAMji4sIy6gDJCrwMKC0FBQUJMY2V2b0pnEgtBQUFCTGNldm9FbxpuCgl0ZXh0L2h0bWwSYVRoYW5rcyBKdWxpYW5hLCBJIGNoYW5nZWQgdGhpcyB0byBjb21wb25lbnRzIGFzIGRpc2N1c3NlZCBkdXJpbmcgdGhlIHNlY29uZCB2YWxpZGF0aW9uwqB3b3Jrc2hvcC4ibwoKdGV4dC9wbGFpbhJhVGhhbmtzIEp1bGlhbmEsIEkgY2hhbmdlZCB0aGlzIHRvIGNvbXBvbmVudHMgYXMgZGlzY3Vzc2VkIGR1cmluZyB0aGUgc2Vjb25kIHZhbGlkYXRpb27CoHdvcmtzaG9wLiobIhUxMDU2NDg2NTUwMTM1NDYwNTc4OTYoADgAMLiwjLqAMji4sIy6gDJaDHg2OGllY3F2Yng1N3ICIAB4AJoBBggAEAAYAKoBYxJhVGhhbmtzIEp1bGlhbmEsIEkgY2hhbmdlZCB0aGlzIHRvIGNvbXBvbmVudHMgYXMgZGlzY3Vzc2VkIGR1cmluZyB0aGUgc2Vjb25kIHZhbGlkYXRpb27CoHdvcmtzaG9wLrABALgBAHJHCgxKdWxpYW5hIFJpb3MaNwo1Ly9zc2wuZ3N0YXRpYy5jb20vZG9jcy9jb21tb24vYmx1ZV9zaWxob3VldHRlOTYtMC5wbmd4AIgBAZoBBggAEAAYAKoBRxJFQ2hhbmdlIHRoaXMgdG8gQ29tcG9uZW50cyBhcyBJIHRoaW5rIGl0IHdhcyBkb25lIGF0IGEgQ29tcG9uZW50IGxldmVssAEAuAEBGIC9n5OAMiC4sIy6gDIwAEIIa2l4LmNtdDYijQoKC0FBQUJMY2V2b0ZREuMJCgtBQUFCTGNldm9GURILQUFBQkxjZXZvRlEavQEKCXRleHQvaHRtbBKvAXNpbnRvIGZhbHRhIGFxdWkgZGEgYW5hbGlzZSByYWNpYWwgLSBuZWNlc3PDoXJpbyBhdGVuw6fDo28gZXNwZWNpYWwgw6BzIG11bGhlcmVzIG5lZ3JhcyBlIGluZMOtZ2VuYXMgcXVlIGVuZnJlbnRhbSBkZXNhZmlvcyBhaW5kYSBtYWlvcmVzIHBlbGEgaW50ZXJzZcOnw6NvIGRlIHN1YXMgaWRlbnRpZGFkZXMivgEKCnRleHQvcGxhaW4SrwFzaW50byBmYWx0YSBhcXVpIGRhIGFuYWxpc2UgcmFjaWFsIC0gbmVjZXNzw6FyaW8gYXRlbsOnw6NvIGVzcGVjaWFsIMOgcyBtdWxoZXJlcyBuZWdyYXMgZSBpbmTDrWdlbmFzIHF1ZSBlbmZyZW50YW0gZGVzYWZpb3MgYWluZGEgbWFpb3JlcyBwZWxhIGludGVyc2XDp8OjbyBkZSBzdWFzIGlkZW50aWRhZGVzKkYKDUx1Y2lhbmEgQWx2ZXMaNS8vc3NsLmdzdGF0aWMuY29tL2RvY3MvY29tbW9uL2JsdWVfc2lsaG91ZXR0ZTk2LTAucG5nMKD44s77MTjdpd+7gDJC2wMKC0FBQUJMY2V2b05ZEgtBQUFCTGNldm9GURp9Cgl0ZXh0L2h0bWwScFRoYW5rcyBmb3IgcG9pbnRpbmcgdGhhdCBvdXQsIEx1Y2lhbmEuIEkgYWRkZWQgYSBwYXJhZ3JhcGggaW4gdGhpcyBzZWN0aW9uIGZvciBxdWlsb21ib2xhcyBhbmQgaW5kaWdlbm91cyB3b21lbi4ifgoKdGV4dC9wbGFpbhJwVGhhbmtzIGZvciBwb2ludGluZyB0aGF0IG91dCwgTHVjaWFuYS4gSSBhZGRlZCBhIHBhcmFncmFwaCBpbiB0aGlzIHNlY3Rpb24gZm9yIHF1aWxvbWJvbGFzIGFuZCBpbmRpZ2Vub3VzIHdvbWVuLiobIhUxMDU2NDg2NTUwMTM1NDYwNTc4OTYoADgAMN2l37uAMjjdpd+7gDJaC2s5cTlnMmV6OTl6cgIgAHgAmgEGCAAQABgAqgFyEnBUaGFua3MgZm9yIHBvaW50aW5nIHRoYXQgb3V0LCBMdWNpYW5hLiBJIGFkZGVkIGEgcGFyYWdyYXBoIGluIHRoaXMgc2VjdGlvbiBmb3IgcXVpbG9tYm9sYXMgYW5kIGluZGlnZW5vdXMgd29tZW4usAEAuAEAckgKDUx1Y2lhbmEgQWx2ZXMaNwo1Ly9zc2wuZ3N0YXRpYy5jb20vZG9jcy9jb21tb24vYmx1ZV9zaWxob3VldHRlOTYtMC5wbmd4AIgBAZoBBggAEAAYAKoBsgESrwFzaW50byBmYWx0YSBhcXVpIGRhIGFuYWxpc2UgcmFjaWFsIC0gbmVjZXNzw6FyaW8gYXRlbsOnw6NvIGVzcGVjaWFsIMOgcyBtdWxoZXJlcyBuZWdyYXMgZSBpbmTDrWdlbmFzIHF1ZSBlbmZyZW50YW0gZGVzYWZpb3MgYWluZGEgbWFpb3JlcyBwZWxhIGludGVyc2XDp8OjbyBkZSBzdWFzIGlkZW50aWRhZGVzsAEAuAEBGKD44s77MSDdpd+7gDIwAEIIa2l4LmNtdDEipQIKC0FBQUJMY2V2b0s4Eu8BCgtBQUFCTGNldm9LOBILQUFBQkxjZXZvSzgaDQoJdGV4dC9odG1sEgAiDgoKdGV4dC9wbGFpbhIAKhsiFTEwNTY0ODY1NTAxMzU0NjA1Nzg5NigAOAAwq6CtuoAyOJW2rbqAMkpPCiRhcHBsaWNhdGlvbi92bmQuZ29vZ2xlLWFwcHMuZG9jcy5tZHMaJ8LX2uQBIQofCgwKBjk3LDUwMBABGAASDQoHMTA1LDAwMBABGAAYAVoMMW1ibzBndWQ0emhhcgIgAHgAggEUc3VnZ2VzdC45d25sdGoya21qOHWaAQYIABAAGACwAQC4AQAYq6CtuoAyIJW2rbqAMjAAQhRzdWdnZXN0Ljl3bmx0ajJrbWo4dSKpAgoLQUFBQkxjZXZvSmMS8wEKC0FBQUJMY2V2b0pjEgtBQUFCTGNldm9KYxoNCgl0ZXh0L2h0bWwSACIOCgp0ZXh0L3BsYWluEgAqGyIVMTA1NjQ4NjU1MDEzNTQ2MDU3ODk2KAA4ADDX94q6gDI4kIWLuoAySlMKJGFwcGxpY2F0aW9uL3ZuZC5nb29nbGUtYXBwcy5kb2NzLm1kcxorwtfa5AElCiMKEAoKQ29tcG9uZW50cxABGAASDQoHT3V0cHV0cxABGAAYAVoMM3RlaG9xbTdtcGFqcgIgAHgAggEUc3VnZ2VzdC40aGUyMTc4dGFkanSaAQYIABAAGACwAQC4AQAY1/eKuoAyIJCFi7qAMjAAQhRzdWdnZXN0LjRoZTIxNzh0YWRqdCLRAgoLQUFBQlB6M0ZmSkkSmwIKC0FBQUJQejNGZkpJEgtBQUFCUHozRmZKSRoNCgl0ZXh0L2h0bWwSACIOCgp0ZXh0L3BsYWluEgAqGyIVMTA1NjQ4NjU1MDEzNTQ2MDU3ODk2KAA4ADCWlaCGgTI4lpWghoEySnsKJGFwcGxpY2F0aW9uL3ZuZC5nb29nbGUtYXBwcy5kb2NzLm1kcxpTwtfa5AFNCksKPAo2T25jZSBDRU8gZW5kb3JzZW1lbnQgb2YgdGhlIHByb2plY3QgaGFzIGJlZW4gYXR0YWluZWQuEAEYABIJCgNUQkQQARgAGAFaDDZwOWRyODVtYTFkOHICIAB4AIIBFHN1Z2dlc3QuZHJpdzJoa3Z1bG15mgEGCAAQABgAsAEAuAEAGJaVoIaBMiCWlaCGgTIwAEIUc3VnZ2VzdC5kcml3MmhrdnVsbXki0QIKC0FBQUJQejNGZkpFEpsCCgtBQUFCUHozRmZKRRILQUFBQlB6M0ZmSkUaDQoJdGV4dC9odG1sEgAiDgoKdGV4dC9wbGFpbhIAKhsiFTEwNTY0ODY1NTAxMzU0NjA1Nzg5NigAOAAwlYGghoEyOKCOoIaBMkp7CiRhcHBsaWNhdGlvbi92bmQuZ29vZ2xlLWFwcHMuZG9jcy5tZHMaU8LX2uQBTQpLCjwKNk9uY2UgQ0VPIGVuZG9yc2VtZW50IG9mIHRoZSBwcm9qZWN0IGhhcyBiZWVuIGF0dGFpbmVkLhABGAASCQoDVEJEEAEYABgBWgw2NHRjNjRnZzZuNHdyAiAAeACCARRzdWdnZXN0LmtnY29xcDk2cXdwMZoBBggAEAAYALABALgBABiVgaCGgTIgoI6ghoEyMABCFHN1Z2dlc3Qua2djb3FwOTZxd3AxIsgGCgtBQUFCTGNldm9NcxKSBgoLQUFBQkxjZXZvTXMSC0FBQUJMY2V2b01zGg0KCXRleHQvaHRtbBIAIg4KCnRleHQvcGxhaW4SACobIhUxMDU2NDg2NTUwMTM1NDYwNTc4OTYoADgAMNHtkbuAMjiy7cy7gDJK8QQKJGFwcGxpY2F0aW9uL3ZuZC5nb29nbGUtYXBwcy5kb2NzLm1kcxrIBMLX2uQBwQQabgpqCmRCcmF6aWxpYW4gUHVibGljIFNlY3VyaXR5IEZvcnVtICgyMDIzKS4gVmlvbGVuY2UgYWdhaW5zdCB3b21lbiBwYW5lbC4gQXZhaWxhYmxlIG9ubGluZTogaHR0cHM6Ly9mb3J1EAQYARABGm4KagpkQ09OQVEgKDIwMjMpLiBSYWNpc20gYW5kIFZpb2xlbmNlIGFnYWluc3QgUXVpbG9tYm9sYXMgaW4gQnJhemlsLCAyMDE4LTIwMjIuIEF2YWlsYWJsZSBvbmxpbmU6IGh0dHBzOhAEGAEQARoPCgsKBUliaWQuEAQYABABGm4KagpkSUdCRSAoMjAyNCkuIEdlbmRlciBzdGF0aXN0aWNzOiBzb2NpYWwgaW5kaWNhdG9ycyBvZiB3b21lbiBpbiBCcmF6aWwuIEF2YWlsYWJsZSBvbmxpbmU6IGh0dHBzOi8vd3d3LhAEGAEQARpuCmoKZENlemFyICgyMDI0KS4gUXVpbG9tYm9sYSB3b21lbiBmaWdodCBhZ2FpbnN0IGdlbmRlci1iYXNlZCB2aW9sZW5jZSBpbiB0aGVpciB0ZXJyaXRvcmllcy4gQXZhaWxhYmxlIG8QBBgBEAEabgpqCmRUaGVyZSBpcyBhIGhpZ2hlciByYXRlIG9mIGluY2lkZW5jZSBvZiBnZW5kZXItYmFzZWQgdmlvbGVuY2UgYWdhaW5zdCB3b21lbiBvZiBjb2xvciBpbiBCcmF6aWwuIDYxLjIlEAEYARABWgxlZnJ5cHFweWU2ZXByAiAAeACCARRzdWdnZXN0LjIybzMwOTM0Njk0bpoBBggAEAAYALABALgBABjR7ZG7gDIgsu3Mu4AyMABCFHN1Z2dlc3QuMjJvMzA5MzQ2OTRuIogGCgtBQUFCTGNldm9FaxLeBQoLQUFBQkxjZXZvRWsSC0FBQUJMY2V2b0VrGnEKCXRleHQvaHRtbBJkSW50ZXJuYWwgcHJvamVjdCBkb2N1bWVudHMgc2hvdWxkIG5vdCBiZSBjb3VudGVkIGluLiBJIHN1Z2dlc3QgdG8gbGVhdmUgdGhpcyBvbmUgb3V0c2lkZSB0aGUgdGFyZ2V0LiJyCgp0ZXh0L3BsYWluEmRJbnRlcm5hbCBwcm9qZWN0IGRvY3VtZW50cyBzaG91bGQgbm90IGJlIGNvdW50ZWQgaW4uIEkgc3VnZ2VzdCB0byBsZWF2ZSB0aGlzIG9uZSBvdXRzaWRlIHRoZSB0YXJnZXQuKkUKDEp1bGlhbmEgUmlvcxo1Ly9zc2wuZ3N0YXRpYy5jb20vZG9jcy9jb21tb24vYmx1ZV9zaWxob3VldHRlOTYtMC5wbmcw4OSxk4AyOLWBprqAMkK/AQoLQUFBQkxjZXZvS2cSC0FBQUJMY2V2b0VrGh4KCXRleHQvaHRtbBIRSSB3aWxsIHJlbW92ZSBpdC4iHwoKdGV4dC9wbGFpbhIRSSB3aWxsIHJlbW92ZSBpdC4qGyIVMTA1NjQ4NjU1MDEzNTQ2MDU3ODk2KAA4ADC1gaa6gDI4tYGmuoAyWgw5M3dpOTd0NzZzd2ZyAiAAeACaAQYIABAAGACqARMSEUkgd2lsbCByZW1vdmUgaXQusAEAuAEAckcKDEp1bGlhbmEgUmlvcxo3CjUvL3NzbC5nc3RhdGljLmNvbS9kb2NzL2NvbW1vbi9ibHVlX3NpbGhvdWV0dGU5Ni0wLnBuZ3gAiAEBmgEGCAAQABgAqgFmEmRJbnRlcm5hbCBwcm9qZWN0IGRvY3VtZW50cyBzaG91bGQgbm90IGJlIGNvdW50ZWQgaW4uIEkgc3VnZ2VzdCB0byBsZWF2ZSB0aGlzIG9uZSBvdXRzaWRlIHRoZSB0YXJnZXQusAEAuAEBGODksZOAMiC1gaa6gDIwAEIIa2l4LmNtdDgi5QIKC0FBQUJMY2V2b0swEq8CCgtBQUFCTGNldm9LMBILQUFBQkxjZXZvSzAaDQoJdGV4dC9odG1sEgAiDgoKdGV4dC9wbGFpbhIAKhsiFTEwNTY0ODY1NTAxMzU0NjA1Nzg5NigAOAAwgKaquoAyOLr3qrqAMkqOAQokYXBwbGljYXRpb24vdm5kLmdvb2dsZS1hcHBzLmRvY3MubWRzGmbC19rkAWAKHgoMCgY5Nyw1MDAQARgAEgwKBjEwLDUwMBABGAAYAQodCgwKBjUyLDUwMBABGAASCwoFNCw1MDAQARgAGAEKHwoNCgcxNTAsMDAwEAEYABIMCgYxNSwwMDAQARgAGAFaDHAwbzBhMHFlNjhiMHICIAB4AIIBFHN1Z2dlc3QuYWI3eDc2bDR4eTlpmgEGCAAQABgAsAEAuAEAGICmqrqAMiC696q6gDIwAEIUc3VnZ2VzdC5hYjd4NzZsNHh5OWkilQIKC0FBQUJMY2V2b0Y0Et8BCgtBQUFCTGNldm9GNBILQUFBQkxjZXZvRjQaDQoJdGV4dC9odG1sEgAiDgoKdGV4dC9wbGFpbhIAKhsiFTEwNTY0ODY1NTAxMzU0NjA1Nzg5NigAOAAw0LnsuYAyONDF7LmAMko/CiRhcHBsaWNhdGlvbi92bmQuZ29vZ2xlLWFwcHMuZG9jcy5tZHMaF8LX2uQBERoPCgsKBTExMTI0EAEYABABWgw4ZWk4M3N1NWpnODlyAiAAeACCARRzdWdnZXN0Lm1ucWRmaDNrZWYzYpoBBggAEAAYALABALgBABjQuey5gDIg0MXsuYAyMABCFHN1Z2dlc3QubW5xZGZoM2tlZjNiIp0CCgtBQUFCTGNldm9GMBLnAQoLQUFBQkxjZXZvRjASC0FBQUJMY2V2b0YwGg0KCXRleHQvaHRtbBIAIg4KCnRleHQvcGxhaW4SACobIhUxMDU2NDg2NTUwMTM1NDYwNTc4OTYoADgAMMeT7LmAMjj/mOy5gDJKRwokYXBwbGljYXRpb24vdm5kLmdvb2dsZS1hcHBzLmRvY3MubWRzGh/C19rkARkKFwoICgI2MBABGAASCQoDX19fEAEYABgBWgxvY201d2x2OHZ2cDZyAiAAeACCARRzdWdnZXN0LnB5anFjemhyMXZxeJoBBggAEAAYALABALgBABjHk+y5gDIg/5jsuYAyMABCFHN1Z2dlc3QucHlqcWN6aHIxdnF4IpkCCgtBQUFCTGNldm9JVRLkAQoLQUFBQkxjZXZvSVUSC0FBQUJMY2V2b0lVGg0KCXRleHQvaHRtbBIAIg4KCnRleHQvcGxhaW4SACobIhUxMDU2NDg2NTUwMTM1NDYwNTc4OTYoADgAMOD9hLqAMjipg4W6gDJKRQokYXBwbGljYXRpb24vdm5kLmdvb2dsZS1hcHBzLmRvY3MubWRzGh3C19rkARcSFQoRCgthbmQgNTElIG1lbhABGAAQAVoMYXdreHdmNnA5OTZrcgIgAHgAggETc3VnZ2VzdC50dWk5cHViNnd1Z5oBBggAEAAYALABALgBABjg/YS6gDIgqYOFuoAyMABCE3N1Z2dlc3QudHVpOXB1YjZ3dWciqwIKC0FBQUJQejNGZkhnEvUBCgtBQUFCUHozRmZIZxILQUFBQlB6M0ZmSGcaDQoJdGV4dC9odG1sEgAiDgoKdGV4dC9wbGFpbhIAKhsiFTEwNTY0ODY1NTAxMzU0NjA1Nzg5NigAOAAwkPLXhYEyOMeL2IWBMkpVCiRhcHBsaWNhdGlvbi92bmQuZ29vZ2xlLWFwcHMuZG9jcy5tZHMaLcLX2uQBJwolChIKDEphbnVhcnkgMjAyNRABGAASDQoHbW0veXl5eRABGAAYAVoMdGt5eTZlZ2E2NWVzcgIgAHgAggEUc3VnZ2VzdC43amt5OTI5Z25hMHeaAQYIABAAGACwAQC4AQAYkPLXhYEyIMeL2IWBMjAAQhRzdWdnZXN0Ljdqa3k5MjlnbmEwdyKcAgoLQUFBQkxjZXZvSVES5gEKC0FBQUJMY2V2b0lREgtBQUFCTGNldm9JURoNCgl0ZXh0L2h0bWwSACIOCgp0ZXh0L3BsYWluEgAqGyIVMTA1NjQ4NjU1MDEzNTQ2MDU3ODk2KAA4ADC/3YS6gDI46uKEuoAySkYKJGFwcGxpY2F0aW9uL3ZuZC5nb29nbGUtYXBwcy5kb2NzLm1kcxoewtfa5AEYChYKCAoCMzUQARgAEggKAjQ5EAEYABgBWgxrdThoaHl6YWN1NDdyAiAAeACCARRzdWdnZXN0LjN5bWhsaDJqaHNjbpoBBggAEAAYALABALgBABi/3YS6gDIg6uKEuoAyMABCFHN1Z2dlc3QuM3ltaGxoMmpoc2NuIqwCCgtBQUFCUHozRmZIaxL2AQoLQUFBQlB6M0ZmSGsSC0FBQUJQejNGZkhrGg0KCXRleHQvaHRtbBIAIg4KCnRleHQvcGxhaW4SACobIhUxMDU2NDg2NTUwMTM1NDYwNTc4OTYoADgAMPKq2IWBMjihwdiFgTJKVgokYXBwbGljYXRpb24vdm5kLmdvb2dsZS1hcHBzLmRvY3MubWRzGi7C19rkASgKJgoTCg1EZWNlbWJlciAyMDI5EAEYABINCgdtbS95eXl5EAEYABgBWgw1NzVqdm5tNXNub3pyAiAAeACCARRzdWdnZXN0LmhhOHIwemxtcWdhbJoBBggAEAAYALABALgBABjyqtiFgTIgocHYhYEyMABCFHN1Z2dlc3QuaGE4cjB6bG1xZ2FsIpcHCgtBQUFCTGNldm9FNBLtBgoLQUFBQkxjZXZvRTQSC0FBQUJMY2V2b0U0Gl8KCXRleHQvaHRtbBJSV2h5IGlzIHRoaXMgaW5kaWNhdG9yIGRpZmZlcmVudCB0byBpbmRpY2F0b3IgMSwgaWYgdGhleSBhcmUgYm90aCBvbiBiZW5lZmljaWFyaWVzPyJgCgp0ZXh0L3BsYWluElJXaHkgaXMgdGhpcyBpbmRpY2F0b3IgZGlmZmVyZW50IHRvIGluZGljYXRvciAxLCBpZiB0aGV5IGFyZSBib3RoIG9uIGJlbmVmaWNpYXJpZXM/KkUKDEp1bGlhbmEgUmlvcxo1Ly9zc2wuZ3N0YXRpYy5jb20vZG9jcy9jb21tb24vYmx1ZV9zaWxob3VldHRlOTYtMC5wbmcwoI65k4AyOIDVqbqAMkKEAwoLQUFBQkxjZXZvS3cSC0FBQUJMY2V2b0U0GmEKCXRleHQvaHRtbBJUSSYjMzk7bSBub3Qgc3VyZSB3aGVyZSB0aGVzZSBudW1iZXJzIGNhbWUgZnJvbS4gSSBjaGFuZ2VkIHRoaXMgdG8gbWF0Y2ggaW5kaWNhdG9yIDEuIl4KCnRleHQvcGxhaW4SUEknbSBub3Qgc3VyZSB3aGVyZSB0aGVzZSBudW1iZXJzIGNhbWUgZnJvbS4gSSBjaGFuZ2VkIHRoaXMgdG8gbWF0Y2ggaW5kaWNhdG9yIDEuKhsiFTEwNTY0ODY1NTAxMzU0NjA1Nzg5NigAOAAwgNWpuoAyOIDVqbqAMloMMmR6dzB6NGVmdWxhcgIgAHgAmgEGCAAQABgAqgFWElRJJiMzOTttIG5vdCBzdXJlIHdoZXJlIHRoZXNlIG51bWJlcnMgY2FtZSBmcm9tLiBJIGNoYW5nZWQgdGhpcyB0byBtYXRjaCBpbmRpY2F0b3IgMS6wAQC4AQByRwoMSnVsaWFuYSBSaW9zGjcKNS8vc3NsLmdzdGF0aWMuY29tL2RvY3MvY29tbW9uL2JsdWVfc2lsaG91ZXR0ZTk2LTAucG5neACIAQGaAQYIABAAGACqAVQSUldoeSBpcyB0aGlzIGluZGljYXRvciBkaWZmZXJlbnQgdG8gaW5kaWNhdG9yIDEsIGlmIHRoZXkgYXJlIGJvdGggb24gYmVuZWZpY2lhcmllcz+wAQC4AQEYoI65k4AyIIDVqbqAMjAAQghraXguY210OSL3AgoLQUFBQkxjZXZvTGMSwQIKC0FBQUJMY2V2b0xjEgtBQUFCTGNldm9MYxoNCgl0ZXh0L2h0bWwSACIOCgp0ZXh0L3BsYWluEgAqGyIVMTA1NjQ4NjU1MDEzNTQ2MDU3ODk2KAA4ADDh6rC6gDI4w/CwuoAySqABCiRhcHBsaWNhdGlvbi92bmQuZ29vZ2xlLWFwcHMuZG9jcy5tZHMaeMLX2uQBchJwCmwKZkRlc2NyaWJlIHRoZSBwcm9qZWN04oCZcyBjYXBhY2l0aWVzIHRvIGltcGxlbWVudCBvZiB0aGlzIEdlbmRlciBNYWluc3RyZWFtaW5nIFBsYW4uIFdobyB3aWxsIGJlIHJlc3BvbhABGAEQAVoMc3Q2NHlhNDh1c3oxcgIgAHgAggEUc3VnZ2VzdC44OGd0NmVlaHkwMmOaAQYIABAAGACwAQC4AQAY4eqwuoAyIMPwsLqAMjAAQhRzdWdnZXN0Ljg4Z3Q2ZWVoeTAyYyLEBQoLQUFBQkxjZXZvUUkSjgUKC0FBQUJMY2V2b1FJEgtBQUFCTGNldm9RSRoNCgl0ZXh0L2h0bWwSACIOCgp0ZXh0L3BsYWluEgAqGyIVMTA1NjQ4NjU1MDEzNTQ2MDU3ODk2KAA4ADDPyLi8gDI43oS6vIAyQswCCgtBQUFCTGNldm9RTRILQUFBQkxjZXZvUUkaTQoJdGV4dC9odG1sEkBXZSBkaXNjdXNzZWQgYWRkaW5nIHRoaXMgZHVyaW5nIHRoZSBzZWNvbmQgdmFsaWRhdGlvbsKgd29ya3Nob3AuIk4KCnRleHQvcGxhaW4SQFdlIGRpc2N1c3NlZCBhZGRpbmcgdGhpcyBkdXJpbmcgdGhlIHNlY29uZCB2YWxpZGF0aW9uwqB3b3Jrc2hvcC4qGyIVMTA1NjQ4NjU1MDEzNTQ2MDU3ODk2KAA4ADDehLq8gDI43oS6vIAyWgxhaTZsMXRobXd5MXdyAiAAeACaAQYIABAAGACqAUISQFdlIGRpc2N1c3NlZCBhZGRpbmcgdGhpcyBkdXJpbmcgdGhlIHNlY29uZCB2YWxpZGF0aW9uwqB3b3Jrc2hvcC6wAQC4AQBKngEKJGFwcGxpY2F0aW9uL3ZuZC5nb29nbGUtYXBwcy5kb2NzLm1kcxp2wtfa5AFwGm4KagpkV1JJLUJyYXNpbCBtdXN0IHRyYWluIGFsbCBwcm9qZWN0IG1lbWJlcnMgb24gZ2VuZGVyLXJlbGF0ZWQgaXNzdWVzLCBpbmNsdWRpbmcgdGhvc2UgaW52b2x2ZWQgaW4gcmVzbxABGAEQAVoMa2tjeWJidDJlcnM2cgIgAHgAggEUc3VnZ2VzdC50NWt4bGJ6OHFscnGaAQYIABAAGACwAQC4AQAYz8i4vIAyIN6EuryAMjAAQhRzdWdnZXN0LnQ1a3hsYno4cWxycSK/AgoLQUFBQkxjZXZvSUESiQIKC0FBQUJMY2V2b0lBEgtBQUFCTGNldm9JQRoNCgl0ZXh0L2h0bWwSACIOCgp0ZXh0L3BsYWluEgAqGyIVMTA1NjQ4NjU1MDEzNTQ2MDU3ODk2KAA4ADD6jIS6gDI4h6mEuoAySmkKJGFwcGxpY2F0aW9uL3ZuZC5nb29nbGUtYXBwcy5kb2NzLm1kcxpBwtfa5AE7CjkKGAoSYXQgbGVhc3QgMzUlIHdvbWVuEAEYABIbChU0OSUgd29tZW4gYW5kIDUxJSBtZW4QARgAGAFaDGNqMmMxNzJydm9td3ICIAB4AIIBFHN1Z2dlc3QubThsZmw4bTNsb2VmmgEGCAAQABgAsAEAuAEAGPqMhLqAMiCHqYS6gDIwAEIUc3VnZ2VzdC5tOGxmbDhtM2xvZWYi0gQKC0FBQUJOczIyd3JvEqAECgtBQUFCTnMyMndybxILQUFBQk5zMjJ3cm8akgEKCXRleHQvaHRtbBKEAUFkZCBpbmRpY2F0b3JzIGJlbG93IHRoYXQgY2FuIGJlIGdlbmRlcmVkIChhbnkgaW5kaWNhdG9ycyB0aGF0IGluY2x1ZGUgbnVtYmVyIG9mIHBlb3BsZSkgYW5kIGRpc2FnZ3JlZ2F0ZSBudW1iZXIgb2YgcGVvcGxlIGJ5IGdlbmRlciKTAQoKdGV4dC9wbGFpbhKEAUFkZCBpbmRpY2F0b3JzIGJlbG93IHRoYXQgY2FuIGJlIGdlbmRlcmVkIChhbnkgaW5kaWNhdG9ycyB0aGF0IGluY2x1ZGUgbnVtYmVyIG9mIHBlb3BsZSkgYW5kIGRpc2FnZ3JlZ2F0ZSBudW1iZXIgb2YgcGVvcGxlIGJ5IGdlbmRlciobIhUxMDU2NDg2NTUwMTM1NDYwNTc4OTYoADgAMPbN4pH4MTj3s+OR+DFaC3JkcHhubm9iaHdscgIgAHgAiAECmgEGCAAQABgAqgGHARKEAUFkZCBpbmRpY2F0b3JzIGJlbG93IHRoYXQgY2FuIGJlIGdlbmRlcmVkIChhbnkgaW5kaWNhdG9ycyB0aGF0IGluY2x1ZGUgbnVtYmVyIG9mIHBlb3BsZSkgYW5kIGRpc2FnZ3JlZ2F0ZSBudW1iZXIgb2YgcGVvcGxlIGJ5IGdlbmRlcrABALgBARj2zeKR+DEg97PjkfgxMABCEGtpeC50ZmMwbjhyZWQyd3AiqwIKC0FBQUJMY2V2b0trEvUBCgtBQUFCTGNldm9LaxILQUFBQkxjZXZvS2saDQoJdGV4dC9odG1sEgAiDgoKdGV4dC9wbGFpbhIAKhsiFTEwNTY0ODY1NTAxMzU0NjA1Nzg5NigAOAAw9qSmuoAyONSqprqAMkpVCiRhcHBsaWNhdGlvbi92bmQuZ29vZ2xlLWFwcHMuZG9jcy5tZHMaLcLX2uQBJxIlCiEKGzEgcHJvamVjdCByZXN1bHRzIGZyYW1ld29yaxABGAAQAVoMamN2cDYweG42NGZicgIgAHgAggEUc3VnZ2VzdC5pdWRhZ2k1eG91dHaaAQYIABAAGACwAQC4AQAY9qSmuoAyINSqprqAMjAAQhRzdWdnZXN0Lml1ZGFnaTV4b3V0diK4AgoLQUFBQkxjZXZvSEkSggIKC0FBQUJMY2V2b0hJEgtBQUFCTGNldm9ISRoNCgl0ZXh0L2h0bWwSACIOCgp0ZXh0L3BsYWluEgAqGyIVMTA1NjQ4NjU1MDEzNTQ2MDU3ODk2KAA4ADCtmPy5gDI46p38uYAySmIKJGFwcGxpY2F0aW9uL3ZuZC5nb29nbGUtYXBwcy5kb2NzLm1kcxo6wtfa5AE0EjIKLgoocmVmZXJyZWQgdG8gYXMg4oCYbGFzIGNhc2Fz4oCZLCB2aWxsYWdlcxABGAAQAVoMZTZheHloam9qZnUxcgIgAHgAggEUc3VnZ2VzdC5lOWFjazRlY3I5dmqaAQYIABAAGACwAQC4AQAYrZj8uYAyIOqd/LmAMjAAQhRzdWdnZXN0LmU5YWNrNGVjcjl2aiKaAgoLQUFBQkxjZXZvS28S5AEKC0FBQUJMY2V2b0tvEgtBQUFCTGNldm9LbxoNCgl0ZXh0L2h0bWwSACIOCgp0ZXh0L3BsYWluEgAqGyIVMTA1NjQ4NjU1MDEzNTQ2MDU3ODk2KAA4ADC8yaa6gDI4r8+muoAySkQKJGFwcGxpY2F0aW9uL3ZuZC5nb29nbGUtYXBwcy5kb2NzLm1kcxocwtfa5AEWChQKBwoBNhABGAASBwoBNxABGAAYAVoMb3IzeThyaG0wbmhlcgIgAHgAggEUc3VnZ2VzdC5kc2o3aGZyOWZxeTOaAQYIABAAGACwAQC4AQAYvMmmuoAyIK/PprqAMjAAQhRzdWdnZXN0LmRzajdoZnI5ZnF5MyKvAgoLQUFBQkxjZXZvSE0S+QEKC0FBQUJMY2V2b0hNEgtBQUFCTGNldm9ITRoNCgl0ZXh0L2h0bWwSACIOCgp0ZXh0L3BsYWluEgAqGyIVMTA1NjQ4NjU1MDEzNTQ2MDU3ODk2KAA4ADDLy/y5gDI4/uL8uYAySlkKJGFwcGxpY2F0aW9uL3ZuZC5nb29nbGUtYXBwcy5kb2NzLm1kcxoxwtfa5AErCikKFAoOVGhlc2UgdmlsbGFnZXMQARgAEg8KCUxhcyBjYXNhcxABGAAYAVoMZW9pNnIxcnFrYzR6cgIgAHgAggEUc3VnZ2VzdC4zZWsyZ290N3pkazeaAQYIABAAGACwAQC4AQAYy8v8uYAyIP7i/LmAMjAAQhRzdWdnZXN0LjNlazJnb3Q3emRrNzgAaicKFHN1Z2dlc3QuZ3U0aTJ1c2lnYWJjEg9MYXVyZW4gU3RlZW5zbWFqJwoUc3VnZ2VzdC50bXpoeGs0cjBkdXkSD0xhdXJlbiBTdGVlbnNtYWonChRzdWdnZXN0LnFzbWxkaGVmcmVrdBIPTGF1cmVuIFN0ZWVuc21haicKFHN1Z2dlc3Quam4wOXB0ejZpbWc4Eg9MYXVyZW4gU3RlZW5zbWFqJwoUc3VnZ2VzdC5uc2d6MHpzb3lvZHESD0xhdXJlbiBTdGVlbnNtYWonChRzdWdnZXN0LmlheHZ4N2h3em5mZxIPTGF1cmVuIFN0ZWVuc21haicKFHN1Z2dlc3QuMTMweW9mdGgwYzN4Eg9MYXVyZW4gU3RlZW5zbWFqJwoUc3VnZ2VzdC5hamZmdzFjdHE1YXISD0xhdXJlbiBTdGVlbnNtYWonChRzdWdnZXN0LnNmc3Mwcm44YWxqdBIPTGF1cmVuIFN0ZWVuc21haicKFHN1Z2dlc3QuOXdubHRqMmttajh1Eg9MYXVyZW4gU3RlZW5zbWFqJwoUc3VnZ2VzdC40aGUyMTc4dGFkanQSD0xhdXJlbiBTdGVlbnNtYWpKCjVzdWdnZXN0SWRJbXBvcnRlOGQ1NTk0Yy03YTA2LTQ5ZjktOTEwZC04NzI3OTk2NmFkYmNfMRIRTHVjaWFuYSBBbHZlcyBbMl1qJwoUc3VnZ2VzdC5kcml3MmhrdnVsbXkSD0xhdXJlbiBTdGVlbnNtYWonChRzdWdnZXN0LjkxeXg2aXJubzltYRIPTGF1cmVuIFN0ZWVuc21haicKFHN1Z2dlc3Qua2djb3FwOTZxd3AxEg9MYXVyZW4gU3RlZW5zbWFqJwoUc3VnZ2VzdC4yMm8zMDkzNDY5NG4SD0xhdXJlbiBTdGVlbnNtYWonChRzdWdnZXN0Lmh6bWtudmhtZ290dRIPTGF1cmVuIFN0ZWVuc21hakoKNXN1Z2dlc3RJZEltcG9ydGU4ZDU1OTRjLTdhMDYtNDlmOS05MTBkLTg3Mjc5OTY2YWRiY183EhFMdWNpYW5hIEFsdmVzIFsyXWonChRzdWdnZXN0LmFiN3g3Nmw0eHk5aRIPTGF1cmVuIFN0ZWVuc21haicKFHN1Z2dlc3QubW5xZGZoM2tlZjNiEg9MYXVyZW4gU3RlZW5zbWFqJwoUc3VnZ2VzdC5weWpxY3pocjF2cXgSD0xhdXJlbiBTdGVlbnNtYWomChNzdWdnZXN0LnR1aTlwdWI2d3VnEg9MYXVyZW4gU3RlZW5zbWFqJwoUc3VnZ2VzdC43amt5OTI5Z25hMHcSD0xhdXJlbiBTdGVlbnNtYWonChRzdWdnZXN0LmFjbDMzZ3M4dXhzdRIPTGF1cmVuIFN0ZWVuc21haicKFHN1Z2dlc3QuM3ltaGxoMmpoc2NuEg9MYXVyZW4gU3RlZW5zbWFqJwoUc3VnZ2VzdC5oYThyMHpsbXFnYWwSD0xhdXJlbiBTdGVlbnNtYWonChRzdWdnZXN0LjV3Y2hiNGF0cTRneRIPTGF1cmVuIFN0ZWVuc21haicKFHN1Z2dlc3QuZ2Q2OGFtc3ExNjN4Eg9MYXVyZW4gU3RlZW5zbWFqJwoUc3VnZ2VzdC44OGd0NmVlaHkwMmMSD0xhdXJlbiBTdGVlbnNtYWonChRzdWdnZXN0LnQ1a3hsYno4cWxycRIPTGF1cmVuIFN0ZWVuc21haicKFHN1Z2dlc3QubThsZmw4bTNsb2VmEg9MYXVyZW4gU3RlZW5zbWFqSgo1c3VnZ2VzdElkSW1wb3J0ZThkNTU5NGMtN2EwNi00OWY5LTkxMGQtODcyNzk5NjZhZGJjXzQSEUx1Y2lhbmEgQWx2ZXMgWzJdaicKFHN1Z2dlc3QuaXVkYWdpNXhvdXR2Eg9MYXVyZW4gU3RlZW5zbWFqJwoUc3VnZ2VzdC5lOWFjazRlY3I5dmoSD0xhdXJlbiBTdGVlbnNtYWonChRzdWdnZXN0LnVhZ3hlMGQyNWduZBIPTGF1cmVuIFN0ZWVuc21haicKFHN1Z2dlc3QudTEwcDF6ZTFoaDRrEg9MYXVyZW4gU3RlZW5zbWFqJwoUc3VnZ2VzdC5kc2o3aGZyOWZxeTMSD0xhdXJlbiBTdGVlbnNtYWonChRzdWdnZXN0Lno3bWlldWJpMzN3eRIPTGF1cmVuIFN0ZWVuc21haicKFHN1Z2dlc3QuM2VrMmdvdDd6ZGs3Eg9MYXVyZW4gU3RlZW5zbWFyITFuZHpqaENVMjcxendWRUppWjJabldmMUtCamJCS293WQ==</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DocType xmlns="fd35fde0-7421-4a34-a774-f438bb92962e" xsi:nil="true"/>
    <SubmittedtotheProgram_x003f_Yes_x002f_No xmlns="6d32a6d6-1a42-4ee3-96ac-b6b2542cab14">true</SubmittedtotheProgram_x003f_Yes_x002f_No>
    <SharedWithUsers xmlns="fd35fde0-7421-4a34-a774-f438bb92962e">
      <UserInfo>
        <DisplayName/>
        <AccountId xsi:nil="true"/>
        <AccountType/>
      </UserInfo>
    </SharedWithUsers>
    <MediaLengthInSeconds xmlns="6d32a6d6-1a42-4ee3-96ac-b6b2542cab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e21795ee418932e15c464de7656a7f73">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e77cbd7888ec5f13a516528e76be6014"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6137A3-2FBB-4C62-8925-54830BD28C74}">
  <ds:schemaRefs>
    <ds:schemaRef ds:uri="http://schemas.microsoft.com/office/2006/metadata/properties"/>
    <ds:schemaRef ds:uri="http://schemas.microsoft.com/office/infopath/2007/PartnerControls"/>
    <ds:schemaRef ds:uri="http://schemas.microsoft.com/sharepoint/v3"/>
    <ds:schemaRef ds:uri="6d32a6d6-1a42-4ee3-96ac-b6b2542cab14"/>
    <ds:schemaRef ds:uri="f57df1ab-6810-4fa8-9caa-de92a9b262c5"/>
    <ds:schemaRef ds:uri="fd35fde0-7421-4a34-a774-f438bb92962e"/>
  </ds:schemaRefs>
</ds:datastoreItem>
</file>

<file path=customXml/itemProps3.xml><?xml version="1.0" encoding="utf-8"?>
<ds:datastoreItem xmlns:ds="http://schemas.openxmlformats.org/officeDocument/2006/customXml" ds:itemID="{CF5BAD0C-726A-4D2F-920C-BF70455E8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385138-7147-4CC2-9DF4-240BDD8012CA}">
  <ds:schemaRefs>
    <ds:schemaRef ds:uri="http://schemas.microsoft.com/sharepoint/v3/contenttype/forms"/>
  </ds:schemaRefs>
</ds:datastoreItem>
</file>

<file path=docMetadata/LabelInfo.xml><?xml version="1.0" encoding="utf-8"?>
<clbl:labelList xmlns:clbl="http://schemas.microsoft.com/office/2020/mipLabelMetadata">
  <clbl:label id="{c4de61a9-99b4-4c6a-962e-bd856602e8be}" enabled="0" method="" siteId="{c4de61a9-99b4-4c6a-962e-bd856602e8be}" removed="1"/>
</clbl:labelList>
</file>

<file path=docProps/app.xml><?xml version="1.0" encoding="utf-8"?>
<Properties xmlns="http://schemas.openxmlformats.org/officeDocument/2006/extended-properties" xmlns:vt="http://schemas.openxmlformats.org/officeDocument/2006/docPropsVTypes">
  <Template>Normal</Template>
  <TotalTime>33</TotalTime>
  <Pages>33</Pages>
  <Words>13072</Words>
  <Characters>71899</Characters>
  <Application>Microsoft Office Word</Application>
  <DocSecurity>0</DocSecurity>
  <Lines>599</Lines>
  <Paragraphs>169</Paragraphs>
  <ScaleCrop>false</ScaleCrop>
  <Company/>
  <LinksUpToDate>false</LinksUpToDate>
  <CharactersWithSpaces>84802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Kissoon</dc:creator>
  <cp:keywords/>
  <cp:lastModifiedBy>Juliana Rios</cp:lastModifiedBy>
  <cp:revision>19</cp:revision>
  <dcterms:created xsi:type="dcterms:W3CDTF">2024-06-14T20:00:00Z</dcterms:created>
  <dcterms:modified xsi:type="dcterms:W3CDTF">2024-06-22T14:10:00Z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y fmtid="{D5CDD505-2E9C-101B-9397-08002B2CF9AE}" pid="3" name="MediaServiceImageTags">
    <vt:lpwstr/>
  </property>
  <property fmtid="{D5CDD505-2E9C-101B-9397-08002B2CF9AE}" pid="4" name="Order">
    <vt:r8>108000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