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CPCSS00012 Ground Disturbance Skill Set</w:t>
      </w:r>
      <w:bookmarkEnd w:id="0"/>
      <w:bookmarkEnd w:id="1"/>
    </w:p>
    <w:p w:rsidR="00D44002" w:rsidRPr="00F31CE3" w:rsidP="00F31CE3" w14:paraId="160C8F32" w14:textId="3B105B63">
      <w:pPr>
        <w:pStyle w:val="ChapterTitle"/>
      </w:pPr>
      <w:bookmarkStart w:id="2" w:name="CPCSS00012"/>
      <w:r w:rsidRPr="00F31CE3">
        <w:t>CPCSS00012 Ground Disturbance Skill Set</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skill set was first released in CPC Construction, Plumbing and Services Training Package Release 11.0.</w:t>
            </w:r>
          </w:p>
        </w:tc>
      </w:tr>
    </w:tbl>
    <w:p w:rsidR="00D44002" w:rsidRPr="00F31CE3" w:rsidP="00F31CE3">
      <w:pPr>
        <w:pStyle w:val="Heading1"/>
      </w:pPr>
      <w:r w:rsidRPr="00F31CE3">
        <w:t>Description</w:t>
      </w:r>
    </w:p>
    <w:p w:rsidR="00D44002" w:rsidRPr="00F31CE3" w:rsidP="00F31CE3">
      <w:r w:rsidRPr="00F31CE3">
        <w:t>This skill set addresses the skills and knowledge required to disturb the ground for any trade or labouring purpose. The purpose of this skill set is to enable candidates to avoid danger and protect subsurface utilities when disturbing the ground.</w:t>
      </w:r>
    </w:p>
    <w:p w:rsidR="00D44002" w:rsidRPr="00F31CE3" w:rsidP="00F31CE3">
      <w:r w:rsidRPr="00F31CE3">
        <w:rPr>
          <w:i/>
          <w:iCs/>
        </w:rPr>
        <w:t>Licensing, legislative and certification requirements that apply to this unit can vary between states, territories and utility operations users must check requirements with relevant bodies before applying this skill set.  </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skill set at the time of publication.</w:t>
      </w:r>
    </w:p>
    <w:p w:rsidR="00D44002" w:rsidRPr="00F31CE3" w:rsidP="00F31CE3">
      <w:pPr>
        <w:pStyle w:val="Heading1"/>
      </w:pPr>
      <w:r w:rsidRPr="00F31CE3">
        <w:t>Pathways Information</w:t>
      </w:r>
    </w:p>
    <w:p w:rsidR="00D44002" w:rsidRPr="00F31CE3" w:rsidP="00F31CE3">
      <w:r w:rsidRPr="00F31CE3">
        <w:t xml:space="preserve">These units of competency provide credit towards </w:t>
      </w:r>
      <w:r w:rsidRPr="00F31CE3">
        <w:rPr>
          <w:i/>
          <w:iCs/>
        </w:rPr>
        <w:t>CPC33226</w:t>
      </w:r>
      <w:r w:rsidRPr="00F31CE3">
        <w:rPr>
          <w:i/>
          <w:iCs/>
        </w:rPr>
        <w:t xml:space="preserve"> Certificate III in Utility Locating.</w:t>
      </w:r>
      <w:r w:rsidRPr="00F31CE3">
        <w:t> </w:t>
      </w:r>
    </w:p>
    <w:p w:rsidR="00D44002" w:rsidRPr="00F31CE3" w:rsidP="00F31CE3">
      <w:pPr>
        <w:pStyle w:val="Heading1"/>
      </w:pPr>
      <w:r w:rsidRPr="00F31CE3">
        <w:t>Entry Requirements</w:t>
      </w:r>
    </w:p>
    <w:p w:rsidR="00D44002" w:rsidRPr="00F31CE3" w:rsidP="00F31CE3">
      <w:r w:rsidRPr="00F31CE3">
        <w:t>There are no entry requirements for this skill set.</w:t>
      </w:r>
    </w:p>
    <w:p w:rsidR="00D44002" w:rsidRPr="00F31CE3" w:rsidP="00F31CE3">
      <w:pPr>
        <w:pStyle w:val="Heading1"/>
      </w:pPr>
      <w:r w:rsidRPr="00F31CE3">
        <w:t>Foundation Skills Outcomes</w:t>
      </w:r>
    </w:p>
    <w:p w:rsidR="00D44002" w:rsidRPr="00F31CE3" w:rsidP="00F31CE3">
      <w:r w:rsidRPr="00F31CE3">
        <w:t>The foundation skills outcomes in this skill set are outlined below.</w:t>
      </w:r>
    </w:p>
    <w:p w:rsidR="00D44002" w:rsidRPr="00F31CE3" w:rsidP="00F31CE3">
      <w:r w:rsidRPr="00F31CE3">
        <w:drawing>
          <wp:inline>
            <wp:extent cx="5759450" cy="3359679"/>
            <wp:docPr id="10000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4002" w:rsidRPr="00F31CE3" w:rsidP="00F31CE3">
      <w:pPr>
        <w:pStyle w:val="Heading1"/>
      </w:pPr>
      <w:r w:rsidRPr="00F31CE3">
        <w:t>Skill Set Requirements</w:t>
      </w:r>
    </w:p>
    <w:tbl>
      <w:tblPr>
        <w:tblStyle w:val="TableGrid"/>
        <w:tblW w:w="5000" w:type="pct"/>
        <w:jc w:val="left"/>
      </w:tblPr>
      <w:tblGrid>
        <w:gridCol w:w="4530"/>
        <w:gridCol w:w="4530"/>
      </w:tblGrid>
      <w:tr>
        <w:tblPrEx>
          <w:tblW w:w="5000" w:type="pct"/>
        </w:tblPrEx>
        <w:tc>
          <w:tcPr>
            <w:tcW w:w="4535" w:type="dxa"/>
          </w:tcPr>
          <w:p w:rsidR="00D44002" w:rsidRPr="00F31CE3" w:rsidP="00F31CE3">
            <w:r w:rsidRPr="00F31CE3">
              <w:t>Code</w:t>
            </w:r>
          </w:p>
        </w:tc>
        <w:tc>
          <w:tcPr>
            <w:tcW w:w="4535" w:type="dxa"/>
          </w:tcPr>
          <w:p w:rsidR="00D44002" w:rsidRPr="00F31CE3" w:rsidP="00F31CE3">
            <w:r w:rsidRPr="00F31CE3">
              <w:t>Title</w:t>
            </w:r>
          </w:p>
        </w:tc>
      </w:tr>
      <w:tr>
        <w:tblPrEx>
          <w:tblW w:w="5000" w:type="pct"/>
        </w:tblPrEx>
        <w:tc>
          <w:tcPr>
            <w:tcW w:w="4535" w:type="dxa"/>
          </w:tcPr>
          <w:p w:rsidR="00D44002" w:rsidRPr="00F31CE3" w:rsidP="00F31CE3">
            <w:r w:rsidRPr="00F31CE3">
              <w:t>CPCLOC3006</w:t>
            </w:r>
          </w:p>
        </w:tc>
        <w:tc>
          <w:tcPr>
            <w:tcW w:w="4535" w:type="dxa"/>
          </w:tcPr>
          <w:p w:rsidR="00D44002" w:rsidRPr="00F31CE3" w:rsidP="00F31CE3">
            <w:r w:rsidRPr="00F31CE3">
              <w:t>Prepare for ground disturbance activity</w:t>
            </w:r>
          </w:p>
        </w:tc>
      </w:tr>
      <w:tr>
        <w:tblPrEx>
          <w:tblW w:w="5000" w:type="pct"/>
        </w:tblPrEx>
        <w:tc>
          <w:tcPr>
            <w:tcW w:w="4535" w:type="dxa"/>
          </w:tcPr>
          <w:p w:rsidR="00D44002" w:rsidRPr="00F31CE3" w:rsidP="00F31CE3">
            <w:r w:rsidRPr="00F31CE3">
              <w:t>CPCLOC3007</w:t>
            </w:r>
          </w:p>
        </w:tc>
        <w:tc>
          <w:tcPr>
            <w:tcW w:w="4535" w:type="dxa"/>
          </w:tcPr>
          <w:p w:rsidR="00D44002" w:rsidRPr="00F31CE3" w:rsidP="00F31CE3">
            <w:r w:rsidRPr="00F31CE3">
              <w:t>Control excavations in the vicinity of utility assets</w:t>
            </w:r>
          </w:p>
        </w:tc>
      </w:tr>
      <w:tr>
        <w:tblPrEx>
          <w:tblW w:w="5000" w:type="pct"/>
        </w:tblPrEx>
        <w:tc>
          <w:tcPr>
            <w:tcW w:w="4535" w:type="dxa"/>
          </w:tcPr>
          <w:p w:rsidR="00D44002" w:rsidRPr="00F31CE3" w:rsidP="00F31CE3">
            <w:r w:rsidRPr="00F31CE3">
              <w:t>RIIRIS301</w:t>
            </w:r>
          </w:p>
        </w:tc>
        <w:tc>
          <w:tcPr>
            <w:tcW w:w="4535" w:type="dxa"/>
          </w:tcPr>
          <w:p w:rsidR="00D44002" w:rsidRPr="00F31CE3" w:rsidP="00F31CE3">
            <w:r w:rsidRPr="00F31CE3">
              <w:t>Apply risk management processes</w:t>
            </w:r>
          </w:p>
        </w:tc>
      </w:tr>
      <w:tr>
        <w:tblPrEx>
          <w:tblW w:w="5000" w:type="pct"/>
        </w:tblPrEx>
        <w:tc>
          <w:tcPr>
            <w:tcW w:w="4535" w:type="dxa"/>
          </w:tcPr>
          <w:p w:rsidR="00D44002" w:rsidRPr="00F31CE3" w:rsidP="00F31CE3">
            <w:r w:rsidRPr="00F31CE3">
              <w:t>RIIWHS201E</w:t>
            </w:r>
          </w:p>
        </w:tc>
        <w:tc>
          <w:tcPr>
            <w:tcW w:w="4535" w:type="dxa"/>
          </w:tcPr>
          <w:p w:rsidR="00D44002" w:rsidRPr="00F31CE3" w:rsidP="00F31CE3">
            <w:r w:rsidRPr="00F31CE3">
              <w:t>Work safely and follow WHS policies and procedures</w:t>
            </w:r>
          </w:p>
        </w:tc>
      </w:tr>
      <w:tr>
        <w:tblPrEx>
          <w:tblW w:w="5000" w:type="pct"/>
        </w:tblPrEx>
        <w:tc>
          <w:tcPr>
            <w:tcW w:w="4535" w:type="dxa"/>
          </w:tcPr>
          <w:p w:rsidR="00D44002" w:rsidRPr="00F31CE3" w:rsidP="00F31CE3">
            <w:r w:rsidRPr="00F31CE3">
              <w:t>UETDREL006</w:t>
            </w:r>
          </w:p>
        </w:tc>
        <w:tc>
          <w:tcPr>
            <w:tcW w:w="4535" w:type="dxa"/>
          </w:tcPr>
          <w:p w:rsidR="00D44002" w:rsidRPr="00F31CE3" w:rsidP="00F31CE3">
            <w:r w:rsidRPr="00F31CE3">
              <w:t>Work safely in the vicinity of live electrical apparatus as a non-electrical worker</w:t>
            </w:r>
          </w:p>
        </w:tc>
      </w:tr>
    </w:tbl>
    <w:p w:rsidR="00D44002" w:rsidRPr="00F31CE3" w:rsidP="00F31CE3">
      <w:pPr>
        <w:pStyle w:val="Heading1"/>
      </w:pPr>
      <w:r w:rsidRPr="00F31CE3">
        <w:t>Pre-requisite Requirements</w:t>
      </w:r>
    </w:p>
    <w:tbl>
      <w:tblPr>
        <w:tblStyle w:val="TableGrid"/>
        <w:tblW w:w="5000" w:type="pct"/>
        <w:jc w:val="left"/>
      </w:tblPr>
      <w:tblGrid>
        <w:gridCol w:w="4530"/>
        <w:gridCol w:w="4530"/>
      </w:tblGrid>
      <w:tr>
        <w:tblPrEx>
          <w:tblW w:w="5000" w:type="pct"/>
        </w:tblPrEx>
        <w:tc>
          <w:tcPr>
            <w:tcW w:w="4535" w:type="dxa"/>
          </w:tcPr>
          <w:p w:rsidR="00D44002" w:rsidRPr="00F31CE3" w:rsidP="00F31CE3">
            <w:r w:rsidRPr="00F31CE3">
              <w:t>Unit of competency</w:t>
            </w:r>
          </w:p>
        </w:tc>
        <w:tc>
          <w:tcPr>
            <w:tcW w:w="4535" w:type="dxa"/>
          </w:tcPr>
          <w:p w:rsidR="00D44002" w:rsidRPr="00F31CE3" w:rsidP="00F31CE3">
            <w:r w:rsidRPr="00F31CE3">
              <w:t>Pre-requisite requirement</w:t>
            </w:r>
          </w:p>
        </w:tc>
      </w:tr>
      <w:tr>
        <w:tblPrEx>
          <w:tblW w:w="5000" w:type="pct"/>
        </w:tblPrEx>
        <w:tc>
          <w:tcPr>
            <w:tcW w:w="4535" w:type="dxa"/>
          </w:tcPr>
          <w:p w:rsidR="00D44002" w:rsidRPr="00F31CE3" w:rsidP="00F31CE3">
            <w:r w:rsidRPr="00F31CE3">
              <w:t>CPCLOC3007 Control excavations in the vicinity of utility assets</w:t>
            </w:r>
          </w:p>
        </w:tc>
        <w:tc>
          <w:tcPr>
            <w:tcW w:w="4535"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CPCLOC3006</w:t>
            </w:r>
            <w:r>
              <w:rPr>
                <w:rFonts w:ascii="Times New Roman" w:eastAsia="Times New Roman" w:hAnsi="Times New Roman" w:cs="Times New Roman"/>
                <w:kern w:val="0"/>
                <w14:ligatures w14:val="none"/>
              </w:rPr>
              <w:t xml:space="preserve"> Prepare for ground disturbance activity</w:t>
            </w:r>
          </w:p>
          <w:p w:rsidR="00D44002" w:rsidRPr="00F31CE3" w:rsidP="00F31CE3"/>
        </w:tc>
      </w:tr>
    </w:tbl>
    <w:p w:rsidR="00D44002" w:rsidRPr="00F31CE3" w:rsidP="00F31CE3">
      <w:pPr>
        <w:pStyle w:val="Heading1"/>
      </w:pPr>
      <w:r w:rsidRPr="00F31CE3">
        <w:t>Skill Set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skill set has been created to address a requirement by industry.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0" w:history="1">
        <w:r w:rsidRPr="00F31CE3">
          <w:rPr>
            <w:rStyle w:val="Hyperlink"/>
          </w:rPr>
          <w:t>https://training.gov.au/training/details/CPC</w:t>
        </w:r>
      </w:hyperlink>
      <w:r w:rsidRPr="00F31CE3">
        <w:t>.</w:t>
      </w:r>
    </w:p>
    <w:p w:rsidR="00D44002" w:rsidRPr="00F31CE3" w:rsidP="00F31CE3"/>
    <w:sectPr w:rsidSect="00F31508">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4</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CPCSS00012 Ground Disturbance Skill Set</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12449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ining.gov.au/training/details/CPC"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chart" Target="charts/chart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ACSF core skill</c:v>
          </c:tx>
          <c:invertIfNegative val="0"/>
          <c:cat>
            <c:strLit>
              <c:ptCount val="5"/>
              <c:pt idx="0">
                <c:v>Learning</c:v>
              </c:pt>
              <c:pt idx="1">
                <c:v>Reading</c:v>
              </c:pt>
              <c:pt idx="2">
                <c:v>Writing</c:v>
              </c:pt>
              <c:pt idx="3">
                <c:v>Oral Communication</c:v>
              </c:pt>
              <c:pt idx="4">
                <c:v>Numeracy</c:v>
              </c:pt>
            </c:strLit>
          </c:cat>
          <c:val>
            <c:numLit>
              <c:formatCode>General</c:formatCode>
              <c:ptCount val="5"/>
              <c:pt idx="0">
                <c:v>2</c:v>
              </c:pt>
              <c:pt idx="1">
                <c:v>3</c:v>
              </c:pt>
              <c:pt idx="2">
                <c:v>2</c:v>
              </c:pt>
              <c:pt idx="3">
                <c:v>2</c:v>
              </c:pt>
              <c:pt idx="4">
                <c:v>3</c:v>
              </c:pt>
            </c:numLit>
          </c:val>
        </c:ser>
        <c:dLbls>
          <c:showLegendKey val="0"/>
          <c:showVal val="0"/>
          <c:showCatName val="0"/>
          <c:showSerName val="0"/>
          <c:showPercent val="0"/>
          <c:showBubbleSize val="0"/>
        </c:dLbls>
        <c:gapWidth val="219"/>
        <c:overlap val="-27"/>
        <c:axId val="305324448"/>
        <c:axId val="305318568"/>
      </c:barChart>
      <c:catAx>
        <c:axId val="305324448"/>
        <c:scaling>
          <c:orientation val="minMax"/>
        </c:scaling>
        <c:delete val="0"/>
        <c:axPos val="b"/>
        <c:title>
          <c:tx>
            <c:rich>
              <a:bodyPr/>
              <a:lstStyle/>
              <a:p>
                <a:pPr>
                  <a:defRPr sz="1200" b="0" i="0" u="none" strike="noStrike" kern="1200" spc="0" baseline="0">
                    <a:solidFill>
                      <a:schemeClr val="tx1">
                        <a:lumMod val="65000"/>
                        <a:lumOff val="35000"/>
                      </a:schemeClr>
                    </a:solidFill>
                  </a:defRPr>
                </a:pPr>
                <a:r>
                  <a:rPr sz="1200"/>
                  <a:t>ACSF core skill</a:t>
                </a:r>
              </a:p>
            </c:rich>
          </c:tx>
          <c:layout/>
          <c:overlay val="0"/>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18568"/>
        <c:crosses val="autoZero"/>
        <c:auto val="1"/>
        <c:lblAlgn val="ctr"/>
        <c:lblOffset val="100"/>
        <c:noMultiLvlLbl val="0"/>
      </c:catAx>
      <c:valAx>
        <c:axId val="305318568"/>
        <c:scaling>
          <c:orientation val="minMax"/>
          <c:max val="5"/>
          <c:min val="0"/>
        </c:scaling>
        <c:delete val="0"/>
        <c:axPos val="l"/>
        <c:majorGridlines>
          <c:spPr>
            <a:ln w="9525">
              <a:solidFill>
                <a:schemeClr val="tx1">
                  <a:lumMod val="15000"/>
                  <a:lumOff val="85000"/>
                </a:schemeClr>
              </a:solidFill>
              <a:round/>
            </a:ln>
            <a:effectLst/>
          </c:spPr>
        </c:majorGridlines>
        <c:title>
          <c:tx>
            <c:rich>
              <a:bodyPr/>
              <a:lstStyle/>
              <a:p>
                <a:pPr>
                  <a:defRPr sz="1200" b="0" i="0" u="none" strike="noStrike" kern="1200" spc="0" baseline="0">
                    <a:solidFill>
                      <a:schemeClr val="tx1">
                        <a:lumMod val="65000"/>
                        <a:lumOff val="35000"/>
                      </a:schemeClr>
                    </a:solidFill>
                  </a:defRPr>
                </a:pPr>
                <a:r>
                  <a:rPr sz="1200"/>
                  <a:t>ACSF level</a:t>
                </a:r>
              </a:p>
            </c:rich>
          </c:tx>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4448"/>
        <c:crosses val="autoZero"/>
        <c:crossBetween val="between"/>
        <c:majorUnit val="1"/>
        <c:minorUnit val="1"/>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CPCSS00012 Ground Disturbance Skill Set</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2026-04-28T23:31:17Z</dcterms:created>
  <dcterms:modified xsi:type="dcterms:W3CDTF">2026-04-28T23:31:17Z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