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CPC33226 Certificate III in Utility Locating</w:t>
      </w:r>
      <w:bookmarkEnd w:id="0"/>
      <w:bookmarkEnd w:id="1"/>
    </w:p>
    <w:p w:rsidR="00D44002" w:rsidRPr="00F31CE3" w:rsidP="00F31CE3" w14:paraId="160C8F32" w14:textId="3B105B63">
      <w:pPr>
        <w:pStyle w:val="ChapterTitle"/>
      </w:pPr>
      <w:bookmarkStart w:id="2" w:name="CPC33226"/>
      <w:r w:rsidRPr="00F31CE3">
        <w:t>CPC33226 Certificate III in Utility Locating</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qualification was first released in CPC Construction, Plumbing and Services Training Package Release 11.0.</w:t>
            </w:r>
          </w:p>
        </w:tc>
      </w:tr>
    </w:tbl>
    <w:p w:rsidR="00D44002" w:rsidRPr="00F31CE3" w:rsidP="00F31CE3">
      <w:pPr>
        <w:pStyle w:val="Heading1"/>
      </w:pPr>
      <w:r w:rsidRPr="00F31CE3">
        <w:t>Qualification Description</w:t>
      </w:r>
    </w:p>
    <w:p w:rsidR="00D44002" w:rsidRPr="00F31CE3" w:rsidP="00F31CE3">
      <w:r w:rsidRPr="00F31CE3">
        <w:t>This is a qualification for utility locators.</w:t>
      </w:r>
    </w:p>
    <w:p w:rsidR="00D44002" w:rsidRPr="00F31CE3" w:rsidP="00F31CE3">
      <w:r w:rsidRPr="00F31CE3">
        <w:t>This qualification focuses on utility locating and allows individuals who are working in the industry to develop skills and knowledge in order to fulfil utility locating service roles.  Utility locating service roles involve using specialised equipment to locate, mark and protect underground assets such as pipes and cables. These roles include using technology such as ground penetrating radar (GPR) and electromagnetic field (EMF) detectors, interpreting utility plans; and marking locate sites. This entails performing tasks with a broad range of skilled applications applied in a wide variety of contexts. It may also include the application of some discretion and judgement in selecting equipment to locate utility services.  </w:t>
      </w:r>
    </w:p>
    <w:p w:rsidR="00D44002" w:rsidRPr="00F31CE3" w:rsidP="00F31CE3">
      <w:r w:rsidRPr="00F31CE3">
        <w:t>The construction industry strongly affirms that training and assessment leading to recognition of skills must be undertaken in an actual workplace or very closely simulated workplace environment, and this qualification requires all units of competency to be delivered in this context.</w:t>
      </w:r>
    </w:p>
    <w:p w:rsidR="00D44002" w:rsidRPr="00F31CE3" w:rsidP="00F31CE3">
      <w:r w:rsidRPr="00F31CE3">
        <w:rPr>
          <w:i/>
          <w:iCs/>
        </w:rPr>
        <w:t>Licensing, legislative and certification requirements that apply to this qualification can vary between states, territories and utility operators. Users must check requirements with relevant body before applying this qualification.</w:t>
      </w:r>
    </w:p>
    <w:p w:rsidR="00D44002" w:rsidRPr="00F31CE3" w:rsidP="00F31CE3">
      <w:pPr>
        <w:pStyle w:val="Heading1"/>
      </w:pPr>
      <w:r w:rsidRPr="00F31CE3">
        <w:t>Licensing/Regulatory Information</w:t>
      </w:r>
    </w:p>
    <w:p w:rsidR="00D44002" w:rsidRPr="00F31CE3" w:rsidP="00F31CE3">
      <w:r w:rsidRPr="00F31CE3">
        <w:t>No licensing, legislative or certification requirements apply to this qualification at the time of publication.</w:t>
      </w:r>
    </w:p>
    <w:p w:rsidR="00D44002" w:rsidRPr="00F31CE3" w:rsidP="00F31CE3">
      <w:pPr>
        <w:pStyle w:val="Heading1"/>
      </w:pPr>
      <w:r w:rsidRPr="00F31CE3">
        <w:t>Foundation Skills Outcomes</w:t>
      </w:r>
    </w:p>
    <w:p w:rsidR="00D44002" w:rsidRPr="00F31CE3" w:rsidP="00F31CE3">
      <w:r w:rsidRPr="00F31CE3">
        <w:t>The foundation skills outcomes in this qualification are outlined below.</w:t>
      </w:r>
    </w:p>
    <w:p w:rsidR="00D44002" w:rsidRPr="00F31CE3" w:rsidP="00F31CE3">
      <w:r w:rsidRPr="00F31CE3">
        <w:drawing>
          <wp:inline>
            <wp:extent cx="5759450" cy="3359679"/>
            <wp:docPr id="10000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4002" w:rsidRPr="00F31CE3" w:rsidP="00F31CE3">
      <w:pPr>
        <w:pStyle w:val="Heading1"/>
      </w:pPr>
      <w:r w:rsidRPr="00F31CE3">
        <w:t>Entry Requirements</w:t>
      </w:r>
    </w:p>
    <w:p w:rsidR="00D44002" w:rsidRPr="00F31CE3" w:rsidP="00F31CE3">
      <w:r w:rsidRPr="00F31CE3">
        <w:t>This qualification has no entry requirements.</w:t>
      </w:r>
    </w:p>
    <w:p w:rsidR="00D44002" w:rsidRPr="00F31CE3" w:rsidP="00F31CE3">
      <w:pPr>
        <w:pStyle w:val="Heading1"/>
      </w:pPr>
      <w:r w:rsidRPr="00F31CE3">
        <w:t>Packaging Rules</w:t>
      </w:r>
    </w:p>
    <w:p w:rsidR="00D44002" w:rsidRPr="00F31CE3" w:rsidP="00F31CE3">
      <w:r w:rsidRPr="00F31CE3">
        <w:t>To achieve this qualification, competency must be demonstrated in:</w:t>
      </w:r>
    </w:p>
    <w:p w:rsidR="00D44002" w:rsidRPr="00F31CE3" w:rsidP="00F31CE3">
      <w:pPr>
        <w:numPr>
          <w:ilvl w:val="0"/>
          <w:numId w:val="2"/>
        </w:numPr>
        <w:ind w:left="720" w:hanging="360"/>
        <w:jc w:val="left"/>
      </w:pPr>
      <w:r w:rsidRPr="00F31CE3">
        <w:t>14 units of competency:</w:t>
      </w:r>
    </w:p>
    <w:p w:rsidR="00D44002" w:rsidRPr="00F31CE3" w:rsidP="00F31CE3">
      <w:pPr>
        <w:numPr>
          <w:ilvl w:val="1"/>
          <w:numId w:val="2"/>
        </w:numPr>
        <w:ind w:left="1440" w:hanging="360"/>
        <w:jc w:val="left"/>
      </w:pPr>
      <w:r w:rsidRPr="00F31CE3">
        <w:t>9 core units</w:t>
      </w:r>
    </w:p>
    <w:p w:rsidR="00D44002" w:rsidRPr="00F31CE3" w:rsidP="00F31CE3">
      <w:pPr>
        <w:numPr>
          <w:ilvl w:val="1"/>
          <w:numId w:val="2"/>
        </w:numPr>
        <w:ind w:left="1440" w:hanging="360"/>
        <w:jc w:val="left"/>
      </w:pPr>
      <w:r w:rsidRPr="00F31CE3">
        <w:t>5 elective units.</w:t>
      </w:r>
    </w:p>
    <w:p w:rsidR="00D44002" w:rsidRPr="00F31CE3" w:rsidP="00F31CE3">
      <w:r w:rsidRPr="00F31CE3">
        <w:t>Elective units must ensure the integrity of the qualification’s Australian Qualifications Framework (AQF) alignment and contribute to a valid, industry-supported vocational outcome. The electives are to be chosen as follows:</w:t>
      </w:r>
    </w:p>
    <w:p w:rsidR="00D44002" w:rsidRPr="00F31CE3" w:rsidP="00F31CE3">
      <w:pPr>
        <w:numPr>
          <w:ilvl w:val="0"/>
          <w:numId w:val="3"/>
        </w:numPr>
        <w:ind w:left="720" w:hanging="360"/>
        <w:jc w:val="left"/>
      </w:pPr>
      <w:r w:rsidRPr="00F31CE3">
        <w:t>at least 4 units from the electives listed below</w:t>
      </w:r>
    </w:p>
    <w:p w:rsidR="00D44002" w:rsidRPr="00F31CE3" w:rsidP="00F31CE3">
      <w:pPr>
        <w:numPr>
          <w:ilvl w:val="0"/>
          <w:numId w:val="3"/>
        </w:numPr>
        <w:ind w:left="720" w:hanging="360"/>
        <w:jc w:val="left"/>
      </w:pPr>
      <w:r w:rsidRPr="00F31CE3">
        <w:t>up to 1 unit from any currently endorsed Training Package or accredited course.</w:t>
      </w:r>
    </w:p>
    <w:p w:rsidR="00D44002" w:rsidRPr="00F31CE3" w:rsidP="00F31CE3">
      <w:r w:rsidRPr="00F31CE3">
        <w:t>Prerequisite units</w:t>
      </w:r>
    </w:p>
    <w:p w:rsidR="00D44002" w:rsidRPr="00F31CE3" w:rsidP="00F31CE3">
      <w:r w:rsidRPr="00F31CE3">
        <w:t>An asterisk (*) against a unit code below indicates that there is a prerequisite requirement that must be met. Prerequisite unit(s) must be assessed before assessment of any unit of competency with an asterisk. Check the unit of competency for information on specific prerequisite requirements. All prerequisite requirements are packaged in the qualification.</w:t>
      </w:r>
    </w:p>
    <w:p w:rsidR="00D44002" w:rsidRPr="00F31CE3" w:rsidP="00F31CE3">
      <w:r w:rsidRPr="00F31CE3">
        <w:rPr>
          <w:rStyle w:val="Strong"/>
        </w:rPr>
        <w:t>Units with Prerequisites</w:t>
      </w:r>
    </w:p>
    <w:tbl>
      <w:tblPr>
        <w:tblStyle w:val="TableGrid"/>
        <w:tblW w:w="5000" w:type="pct"/>
        <w:jc w:val="left"/>
      </w:tblPr>
      <w:tblGrid>
        <w:gridCol w:w="3891"/>
        <w:gridCol w:w="5169"/>
      </w:tblGrid>
      <w:tr>
        <w:tblPrEx>
          <w:tblW w:w="5000" w:type="pct"/>
        </w:tblPrEx>
        <w:tc>
          <w:tcPr>
            <w:tcW w:w="0" w:type="auto"/>
          </w:tcPr>
          <w:p w:rsidR="00D44002" w:rsidRPr="00F31CE3" w:rsidP="00F31CE3">
            <w:pPr>
              <w:jc w:val="left"/>
            </w:pPr>
            <w:r w:rsidRPr="00F31CE3">
              <w:t>Unit</w:t>
            </w:r>
          </w:p>
        </w:tc>
        <w:tc>
          <w:tcPr>
            <w:tcW w:w="0" w:type="auto"/>
          </w:tcPr>
          <w:p w:rsidR="00D44002" w:rsidRPr="00F31CE3" w:rsidP="00F31CE3">
            <w:pPr>
              <w:jc w:val="left"/>
            </w:pPr>
            <w:r w:rsidRPr="00F31CE3">
              <w:t>Prerequisite requirements</w:t>
            </w:r>
          </w:p>
        </w:tc>
      </w:tr>
      <w:tr>
        <w:tblPrEx>
          <w:tblW w:w="5000" w:type="pct"/>
        </w:tblPrEx>
        <w:tc>
          <w:tcPr>
            <w:tcW w:w="0" w:type="auto"/>
          </w:tcPr>
          <w:p w:rsidR="00D44002" w:rsidRPr="00F31CE3" w:rsidP="00F31CE3">
            <w:r w:rsidRPr="00F31CE3">
              <w:t>CPCLOC3007</w:t>
            </w:r>
            <w:r w:rsidRPr="00F31CE3">
              <w:t xml:space="preserve"> Control excavations in the vicinity of utility assets</w:t>
            </w:r>
          </w:p>
        </w:tc>
        <w:tc>
          <w:tcPr>
            <w:tcW w:w="0" w:type="auto"/>
          </w:tcPr>
          <w:p w:rsidR="00D44002" w:rsidRPr="00F31CE3" w:rsidP="00F31CE3">
            <w:r w:rsidRPr="00F31CE3">
              <w:t>CPCLOC3006</w:t>
            </w:r>
            <w:r w:rsidRPr="00F31CE3">
              <w:t xml:space="preserve"> Prepare for ground disturbance activity</w:t>
            </w:r>
          </w:p>
          <w:p w:rsidR="00D44002" w:rsidRPr="00F31CE3" w:rsidP="00F31CE3">
            <w:r w:rsidRPr="00F31CE3">
              <w:t> </w:t>
            </w:r>
          </w:p>
        </w:tc>
      </w:tr>
      <w:tr>
        <w:tblPrEx>
          <w:tblW w:w="5000" w:type="pct"/>
        </w:tblPrEx>
        <w:tc>
          <w:tcPr>
            <w:tcW w:w="0" w:type="auto"/>
          </w:tcPr>
          <w:p w:rsidR="00D44002" w:rsidRPr="00F31CE3" w:rsidP="00F31CE3">
            <w:r w:rsidRPr="00F31CE3">
              <w:t>CPCCCM2012</w:t>
            </w:r>
            <w:r w:rsidRPr="00F31CE3">
              <w:t xml:space="preserve"> Work safely at heights</w:t>
            </w:r>
          </w:p>
        </w:tc>
        <w:tc>
          <w:tcPr>
            <w:tcW w:w="0" w:type="auto"/>
          </w:tcPr>
          <w:p w:rsidR="00D44002" w:rsidRPr="00F31CE3" w:rsidP="00F31CE3">
            <w:r w:rsidRPr="00F31CE3">
              <w:t>CPCWHS2001 Apply WHS requirements, policies and procedures in the construction industry</w:t>
            </w:r>
          </w:p>
        </w:tc>
      </w:tr>
    </w:tbl>
    <w:p w:rsidR="00D44002" w:rsidRPr="00F31CE3" w:rsidP="00F31CE3">
      <w:r w:rsidRPr="00F31CE3">
        <w:rPr>
          <w:rStyle w:val="Strong"/>
        </w:rPr>
        <w:t>Core units</w:t>
      </w:r>
    </w:p>
    <w:tbl>
      <w:tblPr>
        <w:tblStyle w:val="TableGrid"/>
        <w:tblW w:w="5000" w:type="pct"/>
        <w:jc w:val="left"/>
      </w:tblPr>
      <w:tblGrid>
        <w:gridCol w:w="1844"/>
        <w:gridCol w:w="7216"/>
      </w:tblGrid>
      <w:tr>
        <w:tblPrEx>
          <w:tblW w:w="5000" w:type="pct"/>
        </w:tblPrEx>
        <w:tc>
          <w:tcPr>
            <w:tcW w:w="0" w:type="auto"/>
          </w:tcPr>
          <w:p w:rsidR="00D44002" w:rsidRPr="00F31CE3" w:rsidP="00F31CE3">
            <w:pPr>
              <w:jc w:val="left"/>
            </w:pPr>
            <w:r w:rsidRPr="00F31CE3">
              <w:t>CPCLOC3001</w:t>
            </w:r>
          </w:p>
        </w:tc>
        <w:tc>
          <w:tcPr>
            <w:tcW w:w="0" w:type="auto"/>
          </w:tcPr>
          <w:p w:rsidR="00D44002" w:rsidRPr="00F31CE3" w:rsidP="00F31CE3">
            <w:pPr>
              <w:jc w:val="left"/>
            </w:pPr>
            <w:r w:rsidRPr="00F31CE3">
              <w:t>Apply safety practices when utility locating</w:t>
            </w:r>
          </w:p>
        </w:tc>
      </w:tr>
      <w:tr>
        <w:tblPrEx>
          <w:tblW w:w="5000" w:type="pct"/>
        </w:tblPrEx>
        <w:tc>
          <w:tcPr>
            <w:tcW w:w="0" w:type="auto"/>
          </w:tcPr>
          <w:p w:rsidR="00D44002" w:rsidRPr="00F31CE3" w:rsidP="00F31CE3">
            <w:r w:rsidRPr="00F31CE3">
              <w:t>CPCLOC3002</w:t>
            </w:r>
          </w:p>
        </w:tc>
        <w:tc>
          <w:tcPr>
            <w:tcW w:w="0" w:type="auto"/>
          </w:tcPr>
          <w:p w:rsidR="00D44002" w:rsidRPr="00F31CE3" w:rsidP="00F31CE3">
            <w:r w:rsidRPr="00F31CE3">
              <w:t>Interpret plans and apply markings for underground services on a locate site</w:t>
            </w:r>
          </w:p>
        </w:tc>
      </w:tr>
      <w:tr>
        <w:tblPrEx>
          <w:tblW w:w="5000" w:type="pct"/>
        </w:tblPrEx>
        <w:tc>
          <w:tcPr>
            <w:tcW w:w="0" w:type="auto"/>
          </w:tcPr>
          <w:p w:rsidR="00D44002" w:rsidRPr="00F31CE3" w:rsidP="00F31CE3">
            <w:r w:rsidRPr="00F31CE3">
              <w:t>CPCLOC3003</w:t>
            </w:r>
          </w:p>
        </w:tc>
        <w:tc>
          <w:tcPr>
            <w:tcW w:w="0" w:type="auto"/>
          </w:tcPr>
          <w:p w:rsidR="00D44002" w:rsidRPr="00F31CE3" w:rsidP="00F31CE3">
            <w:r w:rsidRPr="00F31CE3">
              <w:t>Locate using ground penetrating radar (GPR)</w:t>
            </w:r>
          </w:p>
        </w:tc>
      </w:tr>
      <w:tr>
        <w:tblPrEx>
          <w:tblW w:w="5000" w:type="pct"/>
        </w:tblPrEx>
        <w:tc>
          <w:tcPr>
            <w:tcW w:w="0" w:type="auto"/>
          </w:tcPr>
          <w:p w:rsidR="00D44002" w:rsidRPr="00F31CE3" w:rsidP="00F31CE3">
            <w:r w:rsidRPr="00F31CE3">
              <w:t>CPCLOC3004</w:t>
            </w:r>
          </w:p>
        </w:tc>
        <w:tc>
          <w:tcPr>
            <w:tcW w:w="0" w:type="auto"/>
          </w:tcPr>
          <w:p w:rsidR="00D44002" w:rsidRPr="00F31CE3" w:rsidP="00F31CE3">
            <w:r w:rsidRPr="00F31CE3">
              <w:t>Locate using electromagnetic field (EMF) locator and auxiliary locating equipment</w:t>
            </w:r>
          </w:p>
        </w:tc>
      </w:tr>
      <w:tr>
        <w:tblPrEx>
          <w:tblW w:w="5000" w:type="pct"/>
        </w:tblPrEx>
        <w:trPr>
          <w:trHeight w:val="660"/>
        </w:trPr>
        <w:tc>
          <w:tcPr>
            <w:tcW w:w="0" w:type="auto"/>
          </w:tcPr>
          <w:p w:rsidR="00D44002" w:rsidRPr="00F31CE3" w:rsidP="00F31CE3">
            <w:r w:rsidRPr="00F31CE3">
              <w:t>CPCLOC3006</w:t>
            </w:r>
          </w:p>
        </w:tc>
        <w:tc>
          <w:tcPr>
            <w:tcW w:w="0" w:type="auto"/>
          </w:tcPr>
          <w:p w:rsidR="00D44002" w:rsidRPr="00F31CE3" w:rsidP="00F31CE3">
            <w:r w:rsidRPr="00F31CE3">
              <w:t>Prepare for ground disturbance activity</w:t>
            </w:r>
          </w:p>
        </w:tc>
      </w:tr>
      <w:tr>
        <w:tblPrEx>
          <w:tblW w:w="5000" w:type="pct"/>
        </w:tblPrEx>
        <w:tc>
          <w:tcPr>
            <w:tcW w:w="0" w:type="auto"/>
          </w:tcPr>
          <w:p w:rsidR="00D44002" w:rsidRPr="00F31CE3" w:rsidP="00F31CE3">
            <w:r w:rsidRPr="00F31CE3">
              <w:t>CPCCWHS2001</w:t>
            </w:r>
          </w:p>
        </w:tc>
        <w:tc>
          <w:tcPr>
            <w:tcW w:w="0" w:type="auto"/>
          </w:tcPr>
          <w:p w:rsidR="00D44002" w:rsidRPr="00F31CE3" w:rsidP="00F31CE3">
            <w:r w:rsidRPr="00F31CE3">
              <w:t>Apply WHS requirements, policies and procedures in the construction industry</w:t>
            </w:r>
          </w:p>
        </w:tc>
      </w:tr>
      <w:tr>
        <w:tblPrEx>
          <w:tblW w:w="5000" w:type="pct"/>
        </w:tblPrEx>
        <w:tc>
          <w:tcPr>
            <w:tcW w:w="0" w:type="auto"/>
          </w:tcPr>
          <w:p w:rsidR="00D44002" w:rsidRPr="00F31CE3" w:rsidP="00F31CE3">
            <w:r w:rsidRPr="00F31CE3">
              <w:t>MSMWHS217</w:t>
            </w:r>
          </w:p>
        </w:tc>
        <w:tc>
          <w:tcPr>
            <w:tcW w:w="0" w:type="auto"/>
          </w:tcPr>
          <w:p w:rsidR="00D44002" w:rsidRPr="00F31CE3" w:rsidP="00F31CE3">
            <w:r w:rsidRPr="00F31CE3">
              <w:t>Gas test atmospheres</w:t>
            </w:r>
          </w:p>
        </w:tc>
      </w:tr>
      <w:tr>
        <w:tblPrEx>
          <w:tblW w:w="5000" w:type="pct"/>
        </w:tblPrEx>
        <w:tc>
          <w:tcPr>
            <w:tcW w:w="0" w:type="auto"/>
          </w:tcPr>
          <w:p w:rsidR="00D44002" w:rsidRPr="00F31CE3" w:rsidP="00F31CE3">
            <w:r w:rsidRPr="00F31CE3">
              <w:t>RIIRIS301E</w:t>
            </w:r>
          </w:p>
        </w:tc>
        <w:tc>
          <w:tcPr>
            <w:tcW w:w="0" w:type="auto"/>
          </w:tcPr>
          <w:p w:rsidR="00D44002" w:rsidRPr="00F31CE3" w:rsidP="00F31CE3">
            <w:r w:rsidRPr="00F31CE3">
              <w:t>Apply risk management processes</w:t>
            </w:r>
          </w:p>
        </w:tc>
      </w:tr>
      <w:tr>
        <w:tblPrEx>
          <w:tblW w:w="5000" w:type="pct"/>
        </w:tblPrEx>
        <w:tc>
          <w:tcPr>
            <w:tcW w:w="0" w:type="auto"/>
          </w:tcPr>
          <w:p w:rsidR="00D44002" w:rsidRPr="00F31CE3" w:rsidP="00F31CE3">
            <w:r w:rsidRPr="00F31CE3">
              <w:t>RIIWHS202E</w:t>
            </w:r>
          </w:p>
        </w:tc>
        <w:tc>
          <w:tcPr>
            <w:tcW w:w="0" w:type="auto"/>
          </w:tcPr>
          <w:p w:rsidR="00D44002" w:rsidRPr="00F31CE3" w:rsidP="00F31CE3">
            <w:r w:rsidRPr="00F31CE3">
              <w:t>Enter and work in confined spaces</w:t>
            </w:r>
          </w:p>
        </w:tc>
      </w:tr>
    </w:tbl>
    <w:p w:rsidR="00D44002" w:rsidRPr="00F31CE3" w:rsidP="00F31CE3">
      <w:r w:rsidRPr="00F31CE3">
        <w:t> </w:t>
      </w:r>
      <w:r w:rsidRPr="00F31CE3">
        <w:rPr>
          <w:rStyle w:val="Strong"/>
        </w:rPr>
        <w:t>Elective units</w:t>
      </w:r>
    </w:p>
    <w:tbl>
      <w:tblPr>
        <w:tblStyle w:val="TableGrid"/>
        <w:tblW w:w="5000" w:type="pct"/>
        <w:jc w:val="left"/>
      </w:tblPr>
      <w:tblGrid>
        <w:gridCol w:w="1804"/>
        <w:gridCol w:w="7256"/>
      </w:tblGrid>
      <w:tr>
        <w:tblPrEx>
          <w:tblW w:w="5000" w:type="pct"/>
        </w:tblPrEx>
        <w:trPr>
          <w:trHeight w:val="539"/>
        </w:trPr>
        <w:tc>
          <w:tcPr>
            <w:tcW w:w="0" w:type="auto"/>
          </w:tcPr>
          <w:p w:rsidR="00D44002" w:rsidRPr="00F31CE3" w:rsidP="00F31CE3">
            <w:pPr>
              <w:jc w:val="left"/>
            </w:pPr>
            <w:r w:rsidRPr="00F31CE3">
              <w:t>CPCLOC3005</w:t>
            </w:r>
          </w:p>
        </w:tc>
        <w:tc>
          <w:tcPr>
            <w:tcW w:w="0" w:type="auto"/>
          </w:tcPr>
          <w:p w:rsidR="00D44002" w:rsidRPr="00F31CE3" w:rsidP="00F31CE3">
            <w:pPr>
              <w:jc w:val="left"/>
            </w:pPr>
            <w:r w:rsidRPr="00F31CE3">
              <w:t>Locate and manage the utility locating worksite</w:t>
            </w:r>
          </w:p>
        </w:tc>
      </w:tr>
      <w:tr>
        <w:tblPrEx>
          <w:tblW w:w="5000" w:type="pct"/>
        </w:tblPrEx>
        <w:trPr>
          <w:trHeight w:val="660"/>
        </w:trPr>
        <w:tc>
          <w:tcPr>
            <w:tcW w:w="0" w:type="auto"/>
          </w:tcPr>
          <w:p w:rsidR="00D44002" w:rsidRPr="00F31CE3" w:rsidP="00F31CE3">
            <w:r w:rsidRPr="00F31CE3">
              <w:t>CPCLOC3007</w:t>
            </w:r>
            <w:r w:rsidRPr="00F31CE3">
              <w:t>*</w:t>
            </w:r>
          </w:p>
        </w:tc>
        <w:tc>
          <w:tcPr>
            <w:tcW w:w="0" w:type="auto"/>
          </w:tcPr>
          <w:p w:rsidR="00D44002" w:rsidRPr="00F31CE3" w:rsidP="00F31CE3">
            <w:r w:rsidRPr="00F31CE3">
              <w:t>Control excavations in the vicinity of utility assets</w:t>
            </w:r>
          </w:p>
        </w:tc>
      </w:tr>
      <w:tr>
        <w:tblPrEx>
          <w:tblW w:w="5000" w:type="pct"/>
        </w:tblPrEx>
        <w:trPr>
          <w:trHeight w:val="660"/>
        </w:trPr>
        <w:tc>
          <w:tcPr>
            <w:tcW w:w="0" w:type="auto"/>
          </w:tcPr>
          <w:p w:rsidR="00D44002" w:rsidRPr="00F31CE3" w:rsidP="00F31CE3">
            <w:r w:rsidRPr="00F31CE3">
              <w:t>CPCCCM2012</w:t>
            </w:r>
            <w:r w:rsidRPr="00F31CE3">
              <w:t>*</w:t>
            </w:r>
          </w:p>
        </w:tc>
        <w:tc>
          <w:tcPr>
            <w:tcW w:w="0" w:type="auto"/>
          </w:tcPr>
          <w:p w:rsidR="00D44002" w:rsidRPr="00F31CE3" w:rsidP="00F31CE3">
            <w:r w:rsidRPr="00F31CE3">
              <w:t>Work safely at heights</w:t>
            </w:r>
          </w:p>
        </w:tc>
      </w:tr>
      <w:tr>
        <w:tblPrEx>
          <w:tblW w:w="5000" w:type="pct"/>
        </w:tblPrEx>
        <w:tc>
          <w:tcPr>
            <w:tcW w:w="0" w:type="auto"/>
          </w:tcPr>
          <w:p w:rsidR="00D44002" w:rsidRPr="00F31CE3" w:rsidP="00F31CE3">
            <w:r w:rsidRPr="00F31CE3">
              <w:t>CPPSSI3015</w:t>
            </w:r>
          </w:p>
        </w:tc>
        <w:tc>
          <w:tcPr>
            <w:tcW w:w="0" w:type="auto"/>
          </w:tcPr>
          <w:p w:rsidR="00D44002" w:rsidRPr="00F31CE3" w:rsidP="00F31CE3">
            <w:r w:rsidRPr="00F31CE3">
              <w:t>Collect basic surveying data</w:t>
            </w:r>
          </w:p>
        </w:tc>
      </w:tr>
      <w:tr>
        <w:tblPrEx>
          <w:tblW w:w="5000" w:type="pct"/>
        </w:tblPrEx>
        <w:tc>
          <w:tcPr>
            <w:tcW w:w="0" w:type="auto"/>
          </w:tcPr>
          <w:p w:rsidR="00D44002" w:rsidRPr="00F31CE3" w:rsidP="00F31CE3">
            <w:r w:rsidRPr="00F31CE3">
              <w:t>CPPSSI3020</w:t>
            </w:r>
          </w:p>
        </w:tc>
        <w:tc>
          <w:tcPr>
            <w:tcW w:w="0" w:type="auto"/>
          </w:tcPr>
          <w:p w:rsidR="00D44002" w:rsidRPr="00F31CE3" w:rsidP="00F31CE3">
            <w:r w:rsidRPr="00F31CE3">
              <w:t>Perform simple surveying and spatial computations</w:t>
            </w:r>
          </w:p>
        </w:tc>
      </w:tr>
      <w:tr>
        <w:tblPrEx>
          <w:tblW w:w="5000" w:type="pct"/>
        </w:tblPrEx>
        <w:tc>
          <w:tcPr>
            <w:tcW w:w="0" w:type="auto"/>
          </w:tcPr>
          <w:p w:rsidR="00D44002" w:rsidRPr="00F31CE3" w:rsidP="00F31CE3">
            <w:r w:rsidRPr="00F31CE3">
              <w:t>CPPSSI4030</w:t>
            </w:r>
          </w:p>
        </w:tc>
        <w:tc>
          <w:tcPr>
            <w:tcW w:w="0" w:type="auto"/>
          </w:tcPr>
          <w:p w:rsidR="00D44002" w:rsidRPr="00F31CE3" w:rsidP="00F31CE3">
            <w:r w:rsidRPr="00F31CE3">
              <w:t>Operate surveying equipment</w:t>
            </w:r>
          </w:p>
        </w:tc>
      </w:tr>
      <w:tr>
        <w:tblPrEx>
          <w:tblW w:w="5000" w:type="pct"/>
        </w:tblPrEx>
        <w:trPr>
          <w:trHeight w:val="617"/>
        </w:trPr>
        <w:tc>
          <w:tcPr>
            <w:tcW w:w="0" w:type="auto"/>
          </w:tcPr>
          <w:p w:rsidR="00D44002" w:rsidRPr="00F31CE3" w:rsidP="00F31CE3">
            <w:r w:rsidRPr="00F31CE3">
              <w:t>CPPSSI5061</w:t>
            </w:r>
          </w:p>
        </w:tc>
        <w:tc>
          <w:tcPr>
            <w:tcW w:w="0" w:type="auto"/>
          </w:tcPr>
          <w:p w:rsidR="00D44002" w:rsidRPr="00F31CE3" w:rsidP="00F31CE3">
            <w:r w:rsidRPr="00F31CE3">
              <w:t>Survey subsurface utility information</w:t>
            </w:r>
          </w:p>
        </w:tc>
      </w:tr>
      <w:tr>
        <w:tblPrEx>
          <w:tblW w:w="5000" w:type="pct"/>
        </w:tblPrEx>
        <w:tc>
          <w:tcPr>
            <w:tcW w:w="0" w:type="auto"/>
          </w:tcPr>
          <w:p w:rsidR="00D44002" w:rsidRPr="00F31CE3" w:rsidP="00F31CE3">
            <w:r w:rsidRPr="00F31CE3">
              <w:t>MEM30031</w:t>
            </w:r>
          </w:p>
        </w:tc>
        <w:tc>
          <w:tcPr>
            <w:tcW w:w="0" w:type="auto"/>
          </w:tcPr>
          <w:p w:rsidR="00D44002" w:rsidRPr="00F31CE3" w:rsidP="00F31CE3">
            <w:r w:rsidRPr="00F31CE3">
              <w:t>Operate computer-aided design (CAD) system to produce basic drawing elements</w:t>
            </w:r>
          </w:p>
        </w:tc>
      </w:tr>
      <w:tr>
        <w:tblPrEx>
          <w:tblW w:w="5000" w:type="pct"/>
        </w:tblPrEx>
        <w:trPr>
          <w:trHeight w:val="581"/>
        </w:trPr>
        <w:tc>
          <w:tcPr>
            <w:tcW w:w="0" w:type="auto"/>
          </w:tcPr>
          <w:p w:rsidR="00D44002" w:rsidRPr="00F31CE3" w:rsidP="00F31CE3">
            <w:r w:rsidRPr="00F31CE3">
              <w:t>RIICCM202E</w:t>
            </w:r>
          </w:p>
        </w:tc>
        <w:tc>
          <w:tcPr>
            <w:tcW w:w="0" w:type="auto"/>
          </w:tcPr>
          <w:p w:rsidR="00D44002" w:rsidRPr="00F31CE3" w:rsidP="00F31CE3">
            <w:r w:rsidRPr="00F31CE3">
              <w:t>Identify, locate and protect underground services</w:t>
            </w:r>
          </w:p>
        </w:tc>
      </w:tr>
      <w:tr>
        <w:tblPrEx>
          <w:tblW w:w="5000" w:type="pct"/>
        </w:tblPrEx>
        <w:trPr>
          <w:trHeight w:val="625"/>
        </w:trPr>
        <w:tc>
          <w:tcPr>
            <w:tcW w:w="0" w:type="auto"/>
          </w:tcPr>
          <w:p w:rsidR="00D44002" w:rsidRPr="00F31CE3" w:rsidP="00F31CE3">
            <w:r w:rsidRPr="00F31CE3">
              <w:t>RIICCM205F</w:t>
            </w:r>
          </w:p>
        </w:tc>
        <w:tc>
          <w:tcPr>
            <w:tcW w:w="0" w:type="auto"/>
          </w:tcPr>
          <w:p w:rsidR="00D44002" w:rsidRPr="00F31CE3" w:rsidP="00F31CE3">
            <w:r w:rsidRPr="00F31CE3">
              <w:t>Carry out manual excavation</w:t>
            </w:r>
          </w:p>
        </w:tc>
      </w:tr>
      <w:tr>
        <w:tblPrEx>
          <w:tblW w:w="5000" w:type="pct"/>
        </w:tblPrEx>
        <w:trPr>
          <w:trHeight w:val="625"/>
        </w:trPr>
        <w:tc>
          <w:tcPr>
            <w:tcW w:w="0" w:type="auto"/>
          </w:tcPr>
          <w:p w:rsidR="00D44002" w:rsidRPr="00F31CE3" w:rsidP="00F31CE3">
            <w:r w:rsidRPr="00F31CE3">
              <w:t>RIICCM303</w:t>
            </w:r>
          </w:p>
        </w:tc>
        <w:tc>
          <w:tcPr>
            <w:tcW w:w="0" w:type="auto"/>
          </w:tcPr>
          <w:p w:rsidR="00D44002" w:rsidRPr="00F31CE3" w:rsidP="00F31CE3">
            <w:r w:rsidRPr="00F31CE3">
              <w:t>Conduct vacuum excavations</w:t>
            </w:r>
          </w:p>
        </w:tc>
      </w:tr>
      <w:tr>
        <w:tblPrEx>
          <w:tblW w:w="5000" w:type="pct"/>
        </w:tblPrEx>
        <w:trPr>
          <w:trHeight w:val="677"/>
        </w:trPr>
        <w:tc>
          <w:tcPr>
            <w:tcW w:w="0" w:type="auto"/>
          </w:tcPr>
          <w:p w:rsidR="00D44002" w:rsidRPr="00F31CE3" w:rsidP="00F31CE3">
            <w:r w:rsidRPr="00F31CE3">
              <w:t>RIISAM204E</w:t>
            </w:r>
          </w:p>
        </w:tc>
        <w:tc>
          <w:tcPr>
            <w:tcW w:w="0" w:type="auto"/>
          </w:tcPr>
          <w:p w:rsidR="00D44002" w:rsidRPr="00F31CE3" w:rsidP="00F31CE3">
            <w:r w:rsidRPr="00F31CE3">
              <w:t>Operate small plant and equipment</w:t>
            </w:r>
          </w:p>
        </w:tc>
      </w:tr>
      <w:tr>
        <w:tblPrEx>
          <w:tblW w:w="5000" w:type="pct"/>
        </w:tblPrEx>
        <w:tc>
          <w:tcPr>
            <w:tcW w:w="0" w:type="auto"/>
          </w:tcPr>
          <w:p w:rsidR="00D44002" w:rsidRPr="00F31CE3" w:rsidP="00F31CE3">
            <w:r w:rsidRPr="00F31CE3">
              <w:t>UETDREL006</w:t>
            </w:r>
          </w:p>
        </w:tc>
        <w:tc>
          <w:tcPr>
            <w:tcW w:w="0" w:type="auto"/>
          </w:tcPr>
          <w:p w:rsidR="00D44002" w:rsidRPr="00F31CE3" w:rsidP="00F31CE3">
            <w:r w:rsidRPr="00F31CE3">
              <w:t>Work safely in the vicinity of live electrical apparatus as a non-electrical worker</w:t>
            </w:r>
          </w:p>
        </w:tc>
      </w:tr>
      <w:tr>
        <w:tblPrEx>
          <w:tblW w:w="5000" w:type="pct"/>
        </w:tblPrEx>
        <w:tc>
          <w:tcPr>
            <w:tcW w:w="0" w:type="auto"/>
          </w:tcPr>
          <w:p w:rsidR="00D44002" w:rsidRPr="00F31CE3" w:rsidP="00F31CE3">
            <w:r w:rsidRPr="00F31CE3">
              <w:t>UETDRDU017</w:t>
            </w:r>
          </w:p>
        </w:tc>
        <w:tc>
          <w:tcPr>
            <w:tcW w:w="0" w:type="auto"/>
          </w:tcPr>
          <w:p w:rsidR="00D44002" w:rsidRPr="00F31CE3" w:rsidP="00F31CE3">
            <w:r w:rsidRPr="00F31CE3">
              <w:t>Locate faults in underground power cables</w:t>
            </w:r>
          </w:p>
        </w:tc>
      </w:tr>
    </w:tbl>
    <w:p w:rsidR="00D44002" w:rsidRPr="00F31CE3" w:rsidP="00F31CE3">
      <w:pPr>
        <w:pStyle w:val="Heading1"/>
      </w:pPr>
      <w:r w:rsidRPr="00F31CE3">
        <w:t>Pre-requisite Requirements</w:t>
      </w:r>
    </w:p>
    <w:tbl>
      <w:tblPr>
        <w:tblStyle w:val="TableGrid"/>
        <w:tblW w:w="5000" w:type="pct"/>
        <w:jc w:val="left"/>
      </w:tblPr>
      <w:tblGrid>
        <w:gridCol w:w="4530"/>
        <w:gridCol w:w="4530"/>
      </w:tblGrid>
      <w:tr>
        <w:tblPrEx>
          <w:tblW w:w="5000" w:type="pct"/>
        </w:tblPrEx>
        <w:tc>
          <w:tcPr>
            <w:tcW w:w="4535" w:type="dxa"/>
            <w:noWrap w:val="0"/>
            <w:tcMar>
              <w:top w:w="0" w:type="dxa"/>
              <w:left w:w="62" w:type="dxa"/>
              <w:bottom w:w="0" w:type="dxa"/>
              <w:right w:w="62" w:type="dxa"/>
            </w:tcMar>
            <w:hideMark/>
          </w:tcPr>
          <w:p w:rsidR="00D44002" w:rsidRPr="00F31CE3" w:rsidP="00F31CE3">
            <w:r w:rsidRPr="00F31CE3">
              <w:t>Unit of competency</w:t>
            </w:r>
          </w:p>
        </w:tc>
        <w:tc>
          <w:tcPr>
            <w:tcW w:w="4535" w:type="dxa"/>
            <w:noWrap w:val="0"/>
            <w:tcMar>
              <w:top w:w="0" w:type="dxa"/>
              <w:left w:w="62" w:type="dxa"/>
              <w:bottom w:w="0" w:type="dxa"/>
              <w:right w:w="62" w:type="dxa"/>
            </w:tcMar>
            <w:hideMark/>
          </w:tcPr>
          <w:p w:rsidR="00D44002" w:rsidRPr="00F31CE3" w:rsidP="00F31CE3">
            <w:r w:rsidRPr="00F31CE3">
              <w:t>Pre-requisite requirement</w:t>
            </w:r>
          </w:p>
        </w:tc>
      </w:tr>
      <w:tr>
        <w:tblPrEx>
          <w:tblW w:w="5000" w:type="pct"/>
        </w:tblPrEx>
        <w:tc>
          <w:tcPr>
            <w:tcW w:w="4535" w:type="dxa"/>
            <w:noWrap w:val="0"/>
            <w:tcMar>
              <w:top w:w="0" w:type="dxa"/>
              <w:left w:w="62" w:type="dxa"/>
              <w:bottom w:w="0" w:type="dxa"/>
              <w:right w:w="62" w:type="dxa"/>
            </w:tcMar>
            <w:hideMark/>
          </w:tcPr>
          <w:p w:rsidR="00D44002" w:rsidRPr="00F31CE3" w:rsidP="00F31CE3">
            <w:r w:rsidRPr="00F31CE3">
              <w:t>CPCCCM2012 Work safely at heights</w:t>
            </w:r>
          </w:p>
        </w:tc>
        <w:tc>
          <w:tcPr>
            <w:tcW w:w="4535" w:type="dxa"/>
            <w:noWrap w:val="0"/>
            <w:tcMar>
              <w:top w:w="0" w:type="dxa"/>
              <w:left w:w="62" w:type="dxa"/>
              <w:bottom w:w="0" w:type="dxa"/>
              <w:right w:w="62"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62" w:type="dxa"/>
              <w:bottom w:w="0" w:type="dxa"/>
              <w:right w:w="62" w:type="dxa"/>
            </w:tcMar>
            <w:hideMark/>
          </w:tcPr>
          <w:p w:rsidR="00D44002" w:rsidRPr="00F31CE3" w:rsidP="00F31CE3">
            <w:r w:rsidRPr="00F31CE3">
              <w:t>CPCLOC3007 Control excavations in the vicinity of utility assets</w:t>
            </w:r>
          </w:p>
        </w:tc>
        <w:tc>
          <w:tcPr>
            <w:tcW w:w="4535" w:type="dxa"/>
            <w:noWrap w:val="0"/>
            <w:tcMar>
              <w:top w:w="0" w:type="dxa"/>
              <w:left w:w="62" w:type="dxa"/>
              <w:bottom w:w="0" w:type="dxa"/>
              <w:right w:w="62"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CPCLOC3006</w:t>
            </w:r>
            <w:r>
              <w:rPr>
                <w:rFonts w:ascii="Times New Roman" w:eastAsia="Times New Roman" w:hAnsi="Times New Roman" w:cs="Times New Roman"/>
                <w:kern w:val="0"/>
                <w14:ligatures w14:val="none"/>
              </w:rPr>
              <w:t xml:space="preserve"> Prepare for ground disturbance activity</w:t>
            </w:r>
          </w:p>
          <w:p w:rsidR="00D44002" w:rsidRPr="00F31CE3" w:rsidP="00F31CE3"/>
        </w:tc>
      </w:tr>
      <w:tr>
        <w:tblPrEx>
          <w:tblW w:w="5000" w:type="pct"/>
        </w:tblPrEx>
        <w:tc>
          <w:tcPr>
            <w:tcW w:w="4535" w:type="dxa"/>
            <w:noWrap w:val="0"/>
            <w:tcMar>
              <w:top w:w="0" w:type="dxa"/>
              <w:left w:w="62" w:type="dxa"/>
              <w:bottom w:w="0" w:type="dxa"/>
              <w:right w:w="62" w:type="dxa"/>
            </w:tcMar>
            <w:hideMark/>
          </w:tcPr>
          <w:p w:rsidR="00D44002" w:rsidRPr="00F31CE3" w:rsidP="00F31CE3">
            <w:r w:rsidRPr="00F31CE3">
              <w:t>UETDRDU017 Locate faults in underground power cables</w:t>
            </w:r>
          </w:p>
        </w:tc>
        <w:tc>
          <w:tcPr>
            <w:tcW w:w="4535" w:type="dxa"/>
            <w:noWrap w:val="0"/>
            <w:tcMar>
              <w:top w:w="0" w:type="dxa"/>
              <w:left w:w="62" w:type="dxa"/>
              <w:bottom w:w="0" w:type="dxa"/>
              <w:right w:w="62"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UEECD0007</w:t>
            </w:r>
            <w:r>
              <w:rPr>
                <w:rFonts w:ascii="Times New Roman" w:eastAsia="Times New Roman" w:hAnsi="Times New Roman" w:cs="Times New Roman"/>
                <w:kern w:val="0"/>
                <w14:ligatures w14:val="none"/>
              </w:rPr>
              <w:t xml:space="preserve"> Apply work health and safety regulations, codes and practices in the workplace</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UEECD0044</w:t>
            </w:r>
            <w:r>
              <w:rPr>
                <w:rFonts w:ascii="Times New Roman" w:eastAsia="Times New Roman" w:hAnsi="Times New Roman" w:cs="Times New Roman"/>
                <w:kern w:val="0"/>
                <w14:ligatures w14:val="none"/>
              </w:rPr>
              <w:t xml:space="preserve"> Solve problems in multiple path circuits</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UEECD0046</w:t>
            </w:r>
            <w:r>
              <w:rPr>
                <w:rFonts w:ascii="Times New Roman" w:eastAsia="Times New Roman" w:hAnsi="Times New Roman" w:cs="Times New Roman"/>
                <w:kern w:val="0"/>
                <w14:ligatures w14:val="none"/>
              </w:rPr>
              <w:t xml:space="preserve"> Solve problems in single path circuits </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UEECD0051</w:t>
            </w:r>
            <w:r>
              <w:rPr>
                <w:rFonts w:ascii="Times New Roman" w:eastAsia="Times New Roman" w:hAnsi="Times New Roman" w:cs="Times New Roman"/>
                <w:kern w:val="0"/>
                <w14:ligatures w14:val="none"/>
              </w:rPr>
              <w:t xml:space="preserve"> Use drawings, diagrams, schedules, standards, codes and specifications</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UEEEL0020</w:t>
            </w:r>
            <w:r>
              <w:rPr>
                <w:rFonts w:ascii="Times New Roman" w:eastAsia="Times New Roman" w:hAnsi="Times New Roman" w:cs="Times New Roman"/>
                <w:kern w:val="0"/>
                <w14:ligatures w14:val="none"/>
              </w:rPr>
              <w:t xml:space="preserve"> Solve problems in low voltage a.c. circuits</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UEEEL0021</w:t>
            </w:r>
            <w:r>
              <w:rPr>
                <w:rFonts w:ascii="Times New Roman" w:eastAsia="Times New Roman" w:hAnsi="Times New Roman" w:cs="Times New Roman"/>
                <w:kern w:val="0"/>
                <w14:ligatures w14:val="none"/>
              </w:rPr>
              <w:t xml:space="preserve"> Solve problems in magnetic and electromagnetic devices</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UETDREL005</w:t>
            </w:r>
            <w:r>
              <w:rPr>
                <w:rFonts w:ascii="Times New Roman" w:eastAsia="Times New Roman" w:hAnsi="Times New Roman" w:cs="Times New Roman"/>
                <w:kern w:val="0"/>
                <w14:ligatures w14:val="none"/>
              </w:rPr>
              <w:t xml:space="preserve"> Work safely in the vicinity of live electrical apparatus</w:t>
            </w:r>
          </w:p>
          <w:p w:rsidR="00D44002" w:rsidRPr="00F31CE3" w:rsidP="00F31CE3"/>
        </w:tc>
      </w:tr>
    </w:tbl>
    <w:p w:rsidR="00D44002" w:rsidRPr="00F31CE3" w:rsidP="00F31CE3">
      <w:pPr>
        <w:pStyle w:val="Heading1"/>
      </w:pPr>
      <w:r w:rsidRPr="00F31CE3">
        <w:t>Mandatory Workplace Requirements</w:t>
      </w:r>
    </w:p>
    <w:p w:rsidR="00D44002" w:rsidRPr="00F31CE3" w:rsidP="00F31CE3">
      <w:r w:rsidRPr="00F31CE3">
        <w:t>There are no mandatory workplace requirements associated with units packaged in this qualification.</w:t>
      </w:r>
    </w:p>
    <w:p w:rsidR="00D44002" w:rsidRPr="00F31CE3" w:rsidP="00F31CE3">
      <w:pPr>
        <w:pStyle w:val="Heading1"/>
      </w:pPr>
      <w:r w:rsidRPr="00F31CE3">
        <w:t>Qualification Mapping Information</w:t>
      </w:r>
    </w:p>
    <w:tbl>
      <w:tblPr>
        <w:tblStyle w:val="TableGrid"/>
        <w:tblW w:w="5000" w:type="pct"/>
        <w:jc w:val="left"/>
      </w:tblPr>
      <w:tblGrid>
        <w:gridCol w:w="3020"/>
        <w:gridCol w:w="3020"/>
        <w:gridCol w:w="3020"/>
      </w:tblGrid>
      <w:tr>
        <w:tblPrEx>
          <w:tblW w:w="5000" w:type="pct"/>
        </w:tblPrEx>
        <w:tc>
          <w:tcPr>
            <w:tcW w:w="3023" w:type="dxa"/>
            <w:noWrap w:val="0"/>
            <w:tcMar>
              <w:top w:w="0" w:type="dxa"/>
              <w:left w:w="62" w:type="dxa"/>
              <w:bottom w:w="0" w:type="dxa"/>
              <w:right w:w="62" w:type="dxa"/>
            </w:tcMar>
            <w:hideMark/>
          </w:tcPr>
          <w:p w:rsidR="00D44002" w:rsidRPr="00F31CE3" w:rsidP="00F31CE3">
            <w:r w:rsidRPr="00F31CE3">
              <w:t>Previous Code and Title</w:t>
            </w:r>
          </w:p>
        </w:tc>
        <w:tc>
          <w:tcPr>
            <w:tcW w:w="3023" w:type="dxa"/>
            <w:noWrap w:val="0"/>
            <w:tcMar>
              <w:top w:w="0" w:type="dxa"/>
              <w:left w:w="62" w:type="dxa"/>
              <w:bottom w:w="0" w:type="dxa"/>
              <w:right w:w="62" w:type="dxa"/>
            </w:tcMar>
            <w:hideMark/>
          </w:tcPr>
          <w:p w:rsidR="00D44002" w:rsidRPr="00F31CE3" w:rsidP="00F31CE3">
            <w:r w:rsidRPr="00F31CE3">
              <w:t>Equivalence</w:t>
            </w:r>
          </w:p>
        </w:tc>
        <w:tc>
          <w:tcPr>
            <w:tcW w:w="3023" w:type="dxa"/>
            <w:noWrap w:val="0"/>
            <w:tcMar>
              <w:top w:w="0" w:type="dxa"/>
              <w:left w:w="62" w:type="dxa"/>
              <w:bottom w:w="0" w:type="dxa"/>
              <w:right w:w="62" w:type="dxa"/>
            </w:tcMar>
            <w:hideMark/>
          </w:tcPr>
          <w:p w:rsidR="00D44002" w:rsidRPr="00F31CE3" w:rsidP="00F31CE3">
            <w:r w:rsidRPr="00F31CE3">
              <w:t>Comments</w:t>
            </w:r>
          </w:p>
        </w:tc>
      </w:tr>
      <w:tr>
        <w:tblPrEx>
          <w:tblW w:w="5000" w:type="pct"/>
        </w:tblPrEx>
        <w:tc>
          <w:tcPr>
            <w:tcW w:w="3023" w:type="dxa"/>
            <w:noWrap w:val="0"/>
            <w:tcMar>
              <w:top w:w="0" w:type="dxa"/>
              <w:left w:w="62" w:type="dxa"/>
              <w:bottom w:w="0" w:type="dxa"/>
              <w:right w:w="62" w:type="dxa"/>
            </w:tcMar>
            <w:hideMark/>
          </w:tcPr>
          <w:p w:rsidR="00D44002" w:rsidRPr="00F31CE3" w:rsidP="00F31CE3">
            <w:r w:rsidRPr="00F31CE3">
              <w:t xml:space="preserve"> </w:t>
            </w:r>
          </w:p>
        </w:tc>
        <w:tc>
          <w:tcPr>
            <w:tcW w:w="3023" w:type="dxa"/>
            <w:noWrap w:val="0"/>
            <w:tcMar>
              <w:top w:w="0" w:type="dxa"/>
              <w:left w:w="62" w:type="dxa"/>
              <w:bottom w:w="0" w:type="dxa"/>
              <w:right w:w="62" w:type="dxa"/>
            </w:tcMar>
            <w:hideMark/>
          </w:tcPr>
          <w:p w:rsidR="00D44002" w:rsidRPr="00F31CE3" w:rsidP="00F31CE3">
            <w:r w:rsidRPr="00F31CE3">
              <w:t>Newly created</w:t>
            </w:r>
          </w:p>
        </w:tc>
        <w:tc>
          <w:tcPr>
            <w:tcW w:w="3023" w:type="dxa"/>
            <w:noWrap w:val="0"/>
            <w:tcMar>
              <w:top w:w="0" w:type="dxa"/>
              <w:left w:w="62" w:type="dxa"/>
              <w:bottom w:w="0" w:type="dxa"/>
              <w:right w:w="62" w:type="dxa"/>
            </w:tcMar>
            <w:hideMark/>
          </w:tcPr>
          <w:p w:rsidR="00D44002" w:rsidRPr="00F31CE3" w:rsidP="00F31CE3">
            <w:r>
              <w:rPr>
                <w:rFonts w:ascii="Times New Roman" w:eastAsia="Times New Roman" w:hAnsi="Times New Roman" w:cs="Times New Roman"/>
                <w:kern w:val="0"/>
                <w14:ligatures w14:val="none"/>
              </w:rPr>
              <w:t>This qualification has been created to address a requirement by industry.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0" w:history="1">
        <w:r w:rsidRPr="00F31CE3">
          <w:rPr>
            <w:rStyle w:val="Hyperlink"/>
          </w:rPr>
          <w:t>https://training.gov.au/training/details/CPC</w:t>
        </w:r>
      </w:hyperlink>
      <w:r w:rsidRPr="00F31CE3">
        <w:t>.</w:t>
      </w:r>
    </w:p>
    <w:p w:rsidR="00D44002" w:rsidRPr="00F31CE3" w:rsidP="00F31CE3"/>
    <w:sectPr w:rsidSect="00F31508">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6</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6</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CPC33226 Certificate III in Utility Locating</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ining.gov.au/training/details/CPC"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chart" Target="charts/chart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ACSF core skill</c:v>
          </c:tx>
          <c:invertIfNegative val="0"/>
          <c:cat>
            <c:strLit>
              <c:ptCount val="5"/>
              <c:pt idx="0">
                <c:v>Learning</c:v>
              </c:pt>
              <c:pt idx="1">
                <c:v>Reading</c:v>
              </c:pt>
              <c:pt idx="2">
                <c:v>Writing</c:v>
              </c:pt>
              <c:pt idx="3">
                <c:v>Oral Communication</c:v>
              </c:pt>
              <c:pt idx="4">
                <c:v>Numeracy</c:v>
              </c:pt>
            </c:strLit>
          </c:cat>
          <c:val>
            <c:numLit>
              <c:formatCode>General</c:formatCode>
              <c:ptCount val="5"/>
              <c:pt idx="0">
                <c:v>3</c:v>
              </c:pt>
              <c:pt idx="1">
                <c:v>3</c:v>
              </c:pt>
              <c:pt idx="2">
                <c:v>3</c:v>
              </c:pt>
              <c:pt idx="3">
                <c:v>3</c:v>
              </c:pt>
              <c:pt idx="4">
                <c:v>4</c:v>
              </c:pt>
            </c:numLit>
          </c:val>
        </c:ser>
        <c:dLbls>
          <c:showLegendKey val="0"/>
          <c:showVal val="0"/>
          <c:showCatName val="0"/>
          <c:showSerName val="0"/>
          <c:showPercent val="0"/>
          <c:showBubbleSize val="0"/>
        </c:dLbls>
        <c:gapWidth val="219"/>
        <c:overlap val="-27"/>
        <c:axId val="305324448"/>
        <c:axId val="305318568"/>
      </c:barChart>
      <c:catAx>
        <c:axId val="305324448"/>
        <c:scaling>
          <c:orientation val="minMax"/>
        </c:scaling>
        <c:delete val="0"/>
        <c:axPos val="b"/>
        <c:title>
          <c:tx>
            <c:rich>
              <a:bodyPr/>
              <a:lstStyle/>
              <a:p>
                <a:pPr>
                  <a:defRPr sz="1200" b="0" i="0" u="none" strike="noStrike" kern="1200" spc="0" baseline="0">
                    <a:solidFill>
                      <a:schemeClr val="tx1">
                        <a:lumMod val="65000"/>
                        <a:lumOff val="35000"/>
                      </a:schemeClr>
                    </a:solidFill>
                  </a:defRPr>
                </a:pPr>
                <a:r>
                  <a:rPr sz="1200"/>
                  <a:t>ACSF core skill</a:t>
                </a:r>
              </a:p>
            </c:rich>
          </c:tx>
          <c:layout/>
          <c:overlay val="0"/>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18568"/>
        <c:crosses val="autoZero"/>
        <c:auto val="1"/>
        <c:lblAlgn val="ctr"/>
        <c:lblOffset val="100"/>
        <c:noMultiLvlLbl val="0"/>
      </c:catAx>
      <c:valAx>
        <c:axId val="305318568"/>
        <c:scaling>
          <c:orientation val="minMax"/>
          <c:max val="5"/>
          <c:min val="0"/>
        </c:scaling>
        <c:delete val="0"/>
        <c:axPos val="l"/>
        <c:majorGridlines>
          <c:spPr>
            <a:ln w="9525">
              <a:solidFill>
                <a:schemeClr val="tx1">
                  <a:lumMod val="15000"/>
                  <a:lumOff val="85000"/>
                </a:schemeClr>
              </a:solidFill>
              <a:round/>
            </a:ln>
            <a:effectLst/>
          </c:spPr>
        </c:majorGridlines>
        <c:title>
          <c:tx>
            <c:rich>
              <a:bodyPr/>
              <a:lstStyle/>
              <a:p>
                <a:pPr>
                  <a:defRPr sz="1200" b="0" i="0" u="none" strike="noStrike" kern="1200" spc="0" baseline="0">
                    <a:solidFill>
                      <a:schemeClr val="tx1">
                        <a:lumMod val="65000"/>
                        <a:lumOff val="35000"/>
                      </a:schemeClr>
                    </a:solidFill>
                  </a:defRPr>
                </a:pPr>
                <a:r>
                  <a:rPr sz="1200"/>
                  <a:t>ACSF level</a:t>
                </a:r>
              </a:p>
            </c:rich>
          </c:tx>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4448"/>
        <c:crosses val="autoZero"/>
        <c:crossBetween val="between"/>
        <c:majorUnit val="1"/>
        <c:minorUnit val="1"/>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CPC33226 Certificate III in Utility Locating</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2026-04-28T23:49:06Z</dcterms:created>
  <dcterms:modified xsi:type="dcterms:W3CDTF">2026-04-28T23:49:06Z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