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00113C48" w:rsidRPr="00113C48" w:rsidP="00FA4076" w14:paraId="2979BD29" w14:textId="082047C8">
      <w:pPr>
        <w:pStyle w:val="Title-TOCExcluded"/>
        <w:spacing w:before="5200" w:after="120"/>
        <w:sectPr w:rsidSect="00F31508">
          <w:headerReference w:type="even" r:id="rId5"/>
          <w:headerReference w:type="default" r:id="rId6"/>
          <w:footerReference w:type="default" r:id="rId7"/>
          <w:headerReference w:type="first" r:id="rId8"/>
          <w:pgSz w:w="11906" w:h="16838"/>
          <w:pgMar w:top="1701" w:right="1418" w:bottom="1701" w:left="1418" w:header="709" w:footer="709" w:gutter="0"/>
          <w:cols w:space="708"/>
          <w:docGrid w:linePitch="360"/>
        </w:sectPr>
      </w:pPr>
      <w:bookmarkStart w:id="0" w:name="_Toc184217249"/>
      <w:bookmarkStart w:id="1" w:name="_Toc184220964"/>
      <w:r w:rsidRPr="00262572">
        <w:t>CPC33126 Certificate III in Insulation Installation</w:t>
      </w:r>
      <w:bookmarkEnd w:id="0"/>
      <w:bookmarkEnd w:id="1"/>
    </w:p>
    <w:p w:rsidR="00D44002" w:rsidRPr="00F31CE3" w:rsidP="00F31CE3" w14:paraId="160C8F32" w14:textId="3B105B63">
      <w:pPr>
        <w:pStyle w:val="ChapterTitle"/>
      </w:pPr>
      <w:bookmarkStart w:id="2" w:name="CPC33126"/>
      <w:r w:rsidRPr="00F31CE3">
        <w:t>CPC33126 Certificate III in Insulation Installation</w:t>
      </w:r>
    </w:p>
    <w:p w:rsidR="00D44002" w:rsidRPr="00F31CE3" w:rsidP="00F31CE3">
      <w:pPr>
        <w:pStyle w:val="Heading1"/>
      </w:pPr>
      <w:bookmarkEnd w:id="2"/>
      <w:r w:rsidRPr="00F31CE3">
        <w:t>Modification History</w:t>
      </w:r>
    </w:p>
    <w:tbl>
      <w:tblPr>
        <w:tblStyle w:val="TableGrid"/>
        <w:tblW w:w="5000" w:type="pct"/>
        <w:jc w:val="left"/>
      </w:tblPr>
      <w:tblGrid>
        <w:gridCol w:w="1599"/>
        <w:gridCol w:w="7461"/>
      </w:tblGrid>
      <w:tr>
        <w:tblPrEx>
          <w:tblW w:w="5000" w:type="pct"/>
        </w:tblPrEx>
        <w:tc>
          <w:tcPr>
            <w:tcW w:w="1600" w:type="dxa"/>
          </w:tcPr>
          <w:p w:rsidR="00D44002" w:rsidRPr="00F31CE3" w:rsidP="00F31CE3">
            <w:r w:rsidRPr="00F31CE3">
              <w:t>Release</w:t>
            </w:r>
          </w:p>
        </w:tc>
        <w:tc>
          <w:tcPr>
            <w:tcW w:w="7470" w:type="dxa"/>
          </w:tcPr>
          <w:p w:rsidR="00D44002" w:rsidRPr="00F31CE3" w:rsidP="00F31CE3">
            <w:r w:rsidRPr="00F31CE3">
              <w:t>Comments</w:t>
            </w:r>
          </w:p>
        </w:tc>
      </w:tr>
      <w:tr>
        <w:tblPrEx>
          <w:tblW w:w="5000" w:type="pct"/>
        </w:tblPrEx>
        <w:tc>
          <w:tcPr>
            <w:tcW w:w="1600" w:type="dxa"/>
          </w:tcPr>
          <w:p w:rsidR="00D44002" w:rsidRPr="00F31CE3" w:rsidP="00F31CE3">
            <w:r w:rsidRPr="00F31CE3">
              <w:t>1</w:t>
            </w:r>
          </w:p>
        </w:tc>
        <w:tc>
          <w:tcPr>
            <w:tcW w:w="7470" w:type="dxa"/>
          </w:tcPr>
          <w:p w:rsidR="00D44002" w:rsidRPr="00F31CE3" w:rsidP="00F31CE3">
            <w:r>
              <w:rPr>
                <w:rFonts w:ascii="Times New Roman" w:eastAsia="Times New Roman" w:hAnsi="Times New Roman" w:cs="Times New Roman"/>
                <w:kern w:val="0"/>
                <w14:ligatures w14:val="none"/>
              </w:rPr>
              <w:t>This qualification was first released in CPC Construction, Plumbing and Services Training Package Release 11.0.</w:t>
            </w:r>
          </w:p>
        </w:tc>
      </w:tr>
    </w:tbl>
    <w:p w:rsidR="00D44002" w:rsidRPr="00F31CE3" w:rsidP="00F31CE3">
      <w:pPr>
        <w:pStyle w:val="Heading1"/>
      </w:pPr>
      <w:r w:rsidRPr="00F31CE3">
        <w:t>Qualification Description</w:t>
      </w:r>
    </w:p>
    <w:p w:rsidR="00D44002" w:rsidRPr="00F31CE3" w:rsidP="00F31CE3">
      <w:r w:rsidRPr="00F31CE3">
        <w:t>This qualification reflects the role of individuals working in the area of insulation installation in the residential construction industry.</w:t>
      </w:r>
    </w:p>
    <w:p w:rsidR="00D44002" w:rsidRPr="00F31CE3" w:rsidP="00F31CE3">
      <w:r w:rsidRPr="00F31CE3">
        <w:t>Occupational titles include Insulation Installer.</w:t>
      </w:r>
    </w:p>
    <w:p w:rsidR="00D44002" w:rsidRPr="00F31CE3" w:rsidP="00F31CE3">
      <w:r w:rsidRPr="00F31CE3">
        <w:t>The qualification includes units of competency that cover common skills and knowledge for the building and construction industry, as well as those that are specific to insulation installation work.</w:t>
      </w:r>
    </w:p>
    <w:p w:rsidR="00D44002" w:rsidRPr="00F31CE3" w:rsidP="00F31CE3">
      <w:r w:rsidRPr="00F31CE3">
        <w:t>Completion of the general construction induction training program, specified in the Safe Work Australia model Code of Practice: Construction work, is required by anyone carrying out construction work. </w:t>
      </w:r>
    </w:p>
    <w:p w:rsidR="00D44002" w:rsidRPr="00F31CE3" w:rsidP="00F31CE3">
      <w:pPr>
        <w:pStyle w:val="Heading1"/>
      </w:pPr>
      <w:r w:rsidRPr="00F31CE3">
        <w:t>Licensing/Regulatory Information</w:t>
      </w:r>
    </w:p>
    <w:p w:rsidR="00D44002" w:rsidRPr="00F31CE3" w:rsidP="00F31CE3">
      <w:r w:rsidRPr="00F31CE3">
        <w:t>State and territory jurisdictions may have different licensing, legislative, regulatory or certification requirements. Relevant state and territory regulatory authorities should be consulted to confirm those requirements.</w:t>
      </w:r>
    </w:p>
    <w:p w:rsidR="00D44002" w:rsidRPr="00F31CE3" w:rsidP="00F31CE3">
      <w:pPr>
        <w:pStyle w:val="Heading1"/>
      </w:pPr>
      <w:r w:rsidRPr="00F31CE3">
        <w:t>Foundation Skills Outcomes</w:t>
      </w:r>
    </w:p>
    <w:p w:rsidR="00D44002" w:rsidRPr="00F31CE3" w:rsidP="00F31CE3">
      <w:r w:rsidRPr="00F31CE3">
        <w:t>The foundation skills outcomes in this qualification are outlined below.</w:t>
      </w:r>
    </w:p>
    <w:p w:rsidR="00D44002" w:rsidRPr="00F31CE3" w:rsidP="00F31CE3">
      <w:r w:rsidRPr="00F31CE3">
        <w:drawing>
          <wp:inline>
            <wp:extent cx="5759450" cy="3359679"/>
            <wp:docPr id="10000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44002" w:rsidRPr="00F31CE3" w:rsidP="00F31CE3">
      <w:pPr>
        <w:pStyle w:val="Heading1"/>
      </w:pPr>
      <w:r w:rsidRPr="00F31CE3">
        <w:t>Entry Requirements</w:t>
      </w:r>
    </w:p>
    <w:p w:rsidR="00D44002" w:rsidRPr="00F31CE3" w:rsidP="00F31CE3">
      <w:r w:rsidRPr="00F31CE3">
        <w:t>There are no entry requirements for this qualification.</w:t>
      </w:r>
    </w:p>
    <w:p w:rsidR="00D44002" w:rsidRPr="00F31CE3" w:rsidP="00F31CE3">
      <w:pPr>
        <w:pStyle w:val="Heading1"/>
      </w:pPr>
      <w:r w:rsidRPr="00F31CE3">
        <w:t>Packaging Rules</w:t>
      </w:r>
    </w:p>
    <w:p w:rsidR="00D44002" w:rsidRPr="00F31CE3" w:rsidP="00F31CE3">
      <w:r w:rsidRPr="00F31CE3">
        <w:t>To achieve this qualification, competency must be demonstrated in:</w:t>
      </w:r>
    </w:p>
    <w:p w:rsidR="00D44002" w:rsidRPr="00F31CE3" w:rsidP="00F31CE3">
      <w:pPr>
        <w:numPr>
          <w:ilvl w:val="0"/>
          <w:numId w:val="2"/>
        </w:numPr>
        <w:ind w:left="720" w:hanging="360"/>
        <w:jc w:val="left"/>
      </w:pPr>
      <w:r w:rsidRPr="00F31CE3">
        <w:t>14 units of competency</w:t>
      </w:r>
    </w:p>
    <w:p w:rsidR="00D44002" w:rsidRPr="00F31CE3" w:rsidP="00F31CE3">
      <w:pPr>
        <w:numPr>
          <w:ilvl w:val="1"/>
          <w:numId w:val="2"/>
        </w:numPr>
        <w:ind w:left="1440" w:hanging="360"/>
        <w:jc w:val="left"/>
      </w:pPr>
      <w:r w:rsidRPr="00F31CE3">
        <w:t>8 core units</w:t>
      </w:r>
    </w:p>
    <w:p w:rsidR="00D44002" w:rsidRPr="00F31CE3" w:rsidP="00F31CE3">
      <w:pPr>
        <w:numPr>
          <w:ilvl w:val="1"/>
          <w:numId w:val="2"/>
        </w:numPr>
        <w:ind w:left="1440" w:hanging="360"/>
        <w:jc w:val="left"/>
      </w:pPr>
      <w:r w:rsidRPr="00F31CE3">
        <w:t>6 elective units</w:t>
      </w:r>
    </w:p>
    <w:p w:rsidR="00D44002" w:rsidRPr="00F31CE3" w:rsidP="00F31CE3">
      <w:r w:rsidRPr="00F31CE3">
        <w:t>Elective units must ensure the integrity of the qualification’s Australian Qualification Framework (AQF) alignment and contribute to a valid, industry-supported vocational outcome. Any combination of electives that meets the packaging rules can be selected for the award of the Certificate III in Insulation Installation.</w:t>
      </w:r>
    </w:p>
    <w:p w:rsidR="00D44002" w:rsidRPr="00F31CE3" w:rsidP="00F31CE3">
      <w:r w:rsidRPr="00F31CE3">
        <w:t>Elective units must be packaged to provide a qualification with a specialisation area as follows:</w:t>
      </w:r>
    </w:p>
    <w:p w:rsidR="00D44002" w:rsidRPr="00F31CE3" w:rsidP="00F31CE3">
      <w:pPr>
        <w:numPr>
          <w:ilvl w:val="0"/>
          <w:numId w:val="3"/>
        </w:numPr>
        <w:ind w:left="720" w:hanging="360"/>
        <w:jc w:val="left"/>
      </w:pPr>
      <w:r w:rsidRPr="00F31CE3">
        <w:t>At least 2 electives must be selected from Group A for the award of the Certificate III in Insulation Installation (New Construction)</w:t>
      </w:r>
    </w:p>
    <w:p w:rsidR="00D44002" w:rsidRPr="00F31CE3" w:rsidP="00F31CE3">
      <w:pPr>
        <w:numPr>
          <w:ilvl w:val="0"/>
          <w:numId w:val="3"/>
        </w:numPr>
        <w:ind w:left="720" w:hanging="360"/>
        <w:jc w:val="left"/>
      </w:pPr>
      <w:r w:rsidRPr="00F31CE3">
        <w:t>At least 2 electives must be selected from Group B for the award of the Certificate III in Insulation Installation (Retrofit)</w:t>
      </w:r>
    </w:p>
    <w:p w:rsidR="00D44002" w:rsidRPr="00F31CE3" w:rsidP="00F31CE3">
      <w:pPr>
        <w:numPr>
          <w:ilvl w:val="0"/>
          <w:numId w:val="3"/>
        </w:numPr>
        <w:ind w:left="720" w:hanging="360"/>
        <w:jc w:val="left"/>
      </w:pPr>
      <w:r w:rsidRPr="00F31CE3">
        <w:t>Plus 2 units from the remaining units listed in groups A, B or C</w:t>
      </w:r>
    </w:p>
    <w:p w:rsidR="00D44002" w:rsidRPr="00F31CE3" w:rsidP="00F31CE3">
      <w:pPr>
        <w:numPr>
          <w:ilvl w:val="0"/>
          <w:numId w:val="3"/>
        </w:numPr>
        <w:ind w:left="720" w:hanging="360"/>
        <w:jc w:val="left"/>
      </w:pPr>
      <w:r w:rsidRPr="00F31CE3">
        <w:t>Plus 2 units from the remaining units listed in groups A, B or C, or any currently endorsed Training Package or accredited course as long as they contribute to a valid, industry-supported vocational outcome, maintain the integrity of the AQF level of this qualification and do not duplicate the outcome of another unit used to achieve this qualification.</w:t>
      </w:r>
    </w:p>
    <w:p w:rsidR="00D44002" w:rsidRPr="00F31CE3" w:rsidP="00F31CE3">
      <w:r w:rsidRPr="00F31CE3">
        <w:t>"Prerequisite units</w:t>
      </w:r>
    </w:p>
    <w:p w:rsidR="00D44002" w:rsidRPr="00F31CE3" w:rsidP="00F31CE3">
      <w:r w:rsidRPr="00F31CE3">
        <w:t>An asterisk (*) against a unit code below indicates that there is a prerequisite requirement that must be met. Prerequisite unit(s) must be assessed before assessment of any unit of competency with an asterisk. Check the unit of competency for information on specific prerequisite requirements. All prerequisite requirements are packaged in the qualification.".</w:t>
      </w:r>
    </w:p>
    <w:p w:rsidR="00D44002" w:rsidRPr="00F31CE3" w:rsidP="00F31CE3">
      <w:r w:rsidRPr="00F31CE3">
        <w:rPr>
          <w:rStyle w:val="Strong"/>
        </w:rPr>
        <w:t>Core units</w:t>
      </w:r>
    </w:p>
    <w:tbl>
      <w:tblPr>
        <w:tblStyle w:val="TableGrid"/>
        <w:tblW w:w="5000" w:type="pct"/>
        <w:jc w:val="left"/>
      </w:tblPr>
      <w:tblGrid>
        <w:gridCol w:w="1844"/>
        <w:gridCol w:w="7216"/>
      </w:tblGrid>
      <w:tr>
        <w:tblPrEx>
          <w:tblW w:w="5000" w:type="pct"/>
        </w:tblPrEx>
        <w:trPr>
          <w:trHeight w:val="300"/>
        </w:trPr>
        <w:tc>
          <w:tcPr>
            <w:tcW w:w="0" w:type="auto"/>
          </w:tcPr>
          <w:p w:rsidR="00D44002" w:rsidRPr="00F31CE3" w:rsidP="00F31CE3">
            <w:pPr>
              <w:jc w:val="left"/>
            </w:pPr>
            <w:r w:rsidRPr="00F31CE3">
              <w:t>CPCCCM2012*</w:t>
            </w:r>
          </w:p>
        </w:tc>
        <w:tc>
          <w:tcPr>
            <w:tcW w:w="0" w:type="auto"/>
          </w:tcPr>
          <w:p w:rsidR="00D44002" w:rsidRPr="00F31CE3" w:rsidP="00F31CE3">
            <w:pPr>
              <w:jc w:val="left"/>
            </w:pPr>
            <w:r w:rsidRPr="00F31CE3">
              <w:t>Work safely at heights</w:t>
            </w:r>
          </w:p>
        </w:tc>
      </w:tr>
      <w:tr>
        <w:tblPrEx>
          <w:tblW w:w="5000" w:type="pct"/>
        </w:tblPrEx>
        <w:trPr>
          <w:trHeight w:val="300"/>
        </w:trPr>
        <w:tc>
          <w:tcPr>
            <w:tcW w:w="0" w:type="auto"/>
          </w:tcPr>
          <w:p w:rsidR="00D44002" w:rsidRPr="00F31CE3" w:rsidP="00F31CE3">
            <w:r w:rsidRPr="00F31CE3">
              <w:t>CPCCOM1012</w:t>
            </w:r>
          </w:p>
        </w:tc>
        <w:tc>
          <w:tcPr>
            <w:tcW w:w="0" w:type="auto"/>
          </w:tcPr>
          <w:p w:rsidR="00D44002" w:rsidRPr="00F31CE3" w:rsidP="00F31CE3">
            <w:r w:rsidRPr="00F31CE3">
              <w:t>Work effectively and sustainably in the construction industry</w:t>
            </w:r>
          </w:p>
        </w:tc>
      </w:tr>
      <w:tr>
        <w:tblPrEx>
          <w:tblW w:w="5000" w:type="pct"/>
        </w:tblPrEx>
        <w:trPr>
          <w:trHeight w:val="300"/>
        </w:trPr>
        <w:tc>
          <w:tcPr>
            <w:tcW w:w="0" w:type="auto"/>
          </w:tcPr>
          <w:p w:rsidR="00D44002" w:rsidRPr="00F31CE3" w:rsidP="00F31CE3">
            <w:r w:rsidRPr="00F31CE3">
              <w:t>CPCCOM1013</w:t>
            </w:r>
          </w:p>
        </w:tc>
        <w:tc>
          <w:tcPr>
            <w:tcW w:w="0" w:type="auto"/>
          </w:tcPr>
          <w:p w:rsidR="00D44002" w:rsidRPr="00F31CE3" w:rsidP="00F31CE3">
            <w:r w:rsidRPr="00F31CE3">
              <w:t>Plan and organise work</w:t>
            </w:r>
          </w:p>
        </w:tc>
      </w:tr>
      <w:tr>
        <w:tblPrEx>
          <w:tblW w:w="5000" w:type="pct"/>
        </w:tblPrEx>
        <w:trPr>
          <w:trHeight w:val="300"/>
        </w:trPr>
        <w:tc>
          <w:tcPr>
            <w:tcW w:w="0" w:type="auto"/>
          </w:tcPr>
          <w:p w:rsidR="00D44002" w:rsidRPr="00F31CE3" w:rsidP="00F31CE3">
            <w:r w:rsidRPr="00F31CE3">
              <w:t>CPCCOM1014</w:t>
            </w:r>
          </w:p>
        </w:tc>
        <w:tc>
          <w:tcPr>
            <w:tcW w:w="0" w:type="auto"/>
          </w:tcPr>
          <w:p w:rsidR="00D44002" w:rsidRPr="00F31CE3" w:rsidP="00F31CE3">
            <w:r w:rsidRPr="00F31CE3">
              <w:t>Conduct workplace communication</w:t>
            </w:r>
          </w:p>
        </w:tc>
      </w:tr>
      <w:tr>
        <w:tblPrEx>
          <w:tblW w:w="5000" w:type="pct"/>
        </w:tblPrEx>
        <w:trPr>
          <w:trHeight w:val="300"/>
        </w:trPr>
        <w:tc>
          <w:tcPr>
            <w:tcW w:w="0" w:type="auto"/>
          </w:tcPr>
          <w:p w:rsidR="00D44002" w:rsidRPr="00F31CE3" w:rsidP="00F31CE3">
            <w:r w:rsidRPr="00F31CE3">
              <w:t>CPCCOM1015</w:t>
            </w:r>
          </w:p>
        </w:tc>
        <w:tc>
          <w:tcPr>
            <w:tcW w:w="0" w:type="auto"/>
          </w:tcPr>
          <w:p w:rsidR="00D44002" w:rsidRPr="00F31CE3" w:rsidP="00F31CE3">
            <w:r w:rsidRPr="00F31CE3">
              <w:t>Carry out measurements and calculations</w:t>
            </w:r>
          </w:p>
        </w:tc>
      </w:tr>
      <w:tr>
        <w:tblPrEx>
          <w:tblW w:w="5000" w:type="pct"/>
        </w:tblPrEx>
        <w:trPr>
          <w:trHeight w:val="300"/>
        </w:trPr>
        <w:tc>
          <w:tcPr>
            <w:tcW w:w="0" w:type="auto"/>
          </w:tcPr>
          <w:p w:rsidR="00D44002" w:rsidRPr="00F31CE3" w:rsidP="00F31CE3">
            <w:r w:rsidRPr="00F31CE3">
              <w:t>CPCCOM2001*</w:t>
            </w:r>
          </w:p>
        </w:tc>
        <w:tc>
          <w:tcPr>
            <w:tcW w:w="0" w:type="auto"/>
          </w:tcPr>
          <w:p w:rsidR="00D44002" w:rsidRPr="00F31CE3" w:rsidP="00F31CE3">
            <w:r w:rsidRPr="00F31CE3">
              <w:t>Read and interpret plans and specifications</w:t>
            </w:r>
          </w:p>
        </w:tc>
      </w:tr>
      <w:tr>
        <w:tblPrEx>
          <w:tblW w:w="5000" w:type="pct"/>
        </w:tblPrEx>
        <w:trPr>
          <w:trHeight w:val="300"/>
        </w:trPr>
        <w:tc>
          <w:tcPr>
            <w:tcW w:w="0" w:type="auto"/>
          </w:tcPr>
          <w:p w:rsidR="00D44002" w:rsidRPr="00F31CE3" w:rsidP="00F31CE3">
            <w:r w:rsidRPr="00F31CE3">
              <w:t>CPCCWHS2001</w:t>
            </w:r>
          </w:p>
        </w:tc>
        <w:tc>
          <w:tcPr>
            <w:tcW w:w="0" w:type="auto"/>
          </w:tcPr>
          <w:p w:rsidR="00D44002" w:rsidRPr="00F31CE3" w:rsidP="00F31CE3">
            <w:r w:rsidRPr="00F31CE3">
              <w:t>Apply WHS requirements, policies and procedures in the construction industry</w:t>
            </w:r>
          </w:p>
        </w:tc>
      </w:tr>
      <w:tr>
        <w:tblPrEx>
          <w:tblW w:w="5000" w:type="pct"/>
        </w:tblPrEx>
        <w:trPr>
          <w:trHeight w:val="300"/>
        </w:trPr>
        <w:tc>
          <w:tcPr>
            <w:tcW w:w="0" w:type="auto"/>
          </w:tcPr>
          <w:p w:rsidR="00D44002" w:rsidRPr="00F31CE3" w:rsidP="00F31CE3">
            <w:r w:rsidRPr="00F31CE3">
              <w:t>TLID0020</w:t>
            </w:r>
          </w:p>
        </w:tc>
        <w:tc>
          <w:tcPr>
            <w:tcW w:w="0" w:type="auto"/>
          </w:tcPr>
          <w:p w:rsidR="00D44002" w:rsidRPr="00F31CE3" w:rsidP="00F31CE3">
            <w:r w:rsidRPr="00F31CE3">
              <w:t>Shift materials safely using manual handling methods</w:t>
            </w:r>
          </w:p>
        </w:tc>
      </w:tr>
    </w:tbl>
    <w:p w:rsidR="00D44002" w:rsidRPr="00F31CE3" w:rsidP="00F31CE3">
      <w:r w:rsidRPr="00F31CE3">
        <w:rPr>
          <w:rStyle w:val="Strong"/>
        </w:rPr>
        <w:t>Elective units</w:t>
      </w:r>
    </w:p>
    <w:p w:rsidR="00D44002" w:rsidRPr="00F31CE3" w:rsidP="00F31CE3">
      <w:r w:rsidRPr="00F31CE3">
        <w:rPr>
          <w:rStyle w:val="Strong"/>
        </w:rPr>
        <w:t>Group A New Construction</w:t>
      </w:r>
    </w:p>
    <w:tbl>
      <w:tblPr>
        <w:tblStyle w:val="TableGrid"/>
        <w:tblW w:w="5000" w:type="pct"/>
        <w:jc w:val="left"/>
      </w:tblPr>
      <w:tblGrid>
        <w:gridCol w:w="1537"/>
        <w:gridCol w:w="7523"/>
      </w:tblGrid>
      <w:tr>
        <w:tblPrEx>
          <w:tblW w:w="5000" w:type="pct"/>
        </w:tblPrEx>
        <w:trPr>
          <w:trHeight w:val="300"/>
        </w:trPr>
        <w:tc>
          <w:tcPr>
            <w:tcW w:w="0" w:type="auto"/>
          </w:tcPr>
          <w:p w:rsidR="00D44002" w:rsidRPr="00F31CE3" w:rsidP="00F31CE3">
            <w:pPr>
              <w:jc w:val="left"/>
            </w:pPr>
            <w:r w:rsidRPr="00F31CE3">
              <w:t>CPCINS3001</w:t>
            </w:r>
          </w:p>
        </w:tc>
        <w:tc>
          <w:tcPr>
            <w:tcW w:w="0" w:type="auto"/>
          </w:tcPr>
          <w:p w:rsidR="00D44002" w:rsidRPr="00F31CE3" w:rsidP="00F31CE3">
            <w:pPr>
              <w:jc w:val="left"/>
            </w:pPr>
            <w:r w:rsidRPr="00F31CE3">
              <w:t>Install preformed bulk insulation to walls, ceilings and floors of new construction</w:t>
            </w:r>
          </w:p>
        </w:tc>
      </w:tr>
      <w:tr>
        <w:tblPrEx>
          <w:tblW w:w="5000" w:type="pct"/>
        </w:tblPrEx>
        <w:trPr>
          <w:trHeight w:val="300"/>
        </w:trPr>
        <w:tc>
          <w:tcPr>
            <w:tcW w:w="0" w:type="auto"/>
          </w:tcPr>
          <w:p w:rsidR="00D44002" w:rsidRPr="00F31CE3" w:rsidP="00F31CE3">
            <w:r w:rsidRPr="00F31CE3">
              <w:t>CPCINS3002</w:t>
            </w:r>
          </w:p>
        </w:tc>
        <w:tc>
          <w:tcPr>
            <w:tcW w:w="0" w:type="auto"/>
          </w:tcPr>
          <w:p w:rsidR="00D44002" w:rsidRPr="00F31CE3" w:rsidP="00F31CE3">
            <w:r w:rsidRPr="00F31CE3">
              <w:t>Install pliable membrane products</w:t>
            </w:r>
          </w:p>
        </w:tc>
      </w:tr>
      <w:tr>
        <w:tblPrEx>
          <w:tblW w:w="5000" w:type="pct"/>
        </w:tblPrEx>
        <w:trPr>
          <w:trHeight w:val="300"/>
        </w:trPr>
        <w:tc>
          <w:tcPr>
            <w:tcW w:w="0" w:type="auto"/>
          </w:tcPr>
          <w:p w:rsidR="00D44002" w:rsidRPr="00F31CE3" w:rsidP="00F31CE3">
            <w:r w:rsidRPr="00F31CE3">
              <w:t>CPCINS3004</w:t>
            </w:r>
          </w:p>
        </w:tc>
        <w:tc>
          <w:tcPr>
            <w:tcW w:w="0" w:type="auto"/>
          </w:tcPr>
          <w:p w:rsidR="00D44002" w:rsidRPr="00F31CE3" w:rsidP="00F31CE3">
            <w:r w:rsidRPr="00F31CE3">
              <w:t>Install rigid board insulation products</w:t>
            </w:r>
          </w:p>
        </w:tc>
      </w:tr>
    </w:tbl>
    <w:p w:rsidR="00D44002" w:rsidRPr="00F31CE3" w:rsidP="00F31CE3">
      <w:r w:rsidRPr="00F31CE3">
        <w:t> </w:t>
      </w:r>
      <w:r w:rsidRPr="00F31CE3">
        <w:rPr>
          <w:rStyle w:val="Strong"/>
        </w:rPr>
        <w:t>Group B Retrofit</w:t>
      </w:r>
    </w:p>
    <w:tbl>
      <w:tblPr>
        <w:tblStyle w:val="TableGrid"/>
        <w:tblW w:w="5000" w:type="pct"/>
        <w:jc w:val="left"/>
      </w:tblPr>
      <w:tblGrid>
        <w:gridCol w:w="1644"/>
        <w:gridCol w:w="7416"/>
      </w:tblGrid>
      <w:tr>
        <w:tblPrEx>
          <w:tblW w:w="5000" w:type="pct"/>
        </w:tblPrEx>
        <w:trPr>
          <w:trHeight w:val="300"/>
        </w:trPr>
        <w:tc>
          <w:tcPr>
            <w:tcW w:w="0" w:type="auto"/>
          </w:tcPr>
          <w:p w:rsidR="00D44002" w:rsidRPr="00F31CE3" w:rsidP="00F31CE3">
            <w:pPr>
              <w:jc w:val="left"/>
            </w:pPr>
            <w:r w:rsidRPr="00F31CE3">
              <w:t>CPCINS3005</w:t>
            </w:r>
          </w:p>
        </w:tc>
        <w:tc>
          <w:tcPr>
            <w:tcW w:w="0" w:type="auto"/>
          </w:tcPr>
          <w:p w:rsidR="00D44002" w:rsidRPr="00F31CE3" w:rsidP="00F31CE3">
            <w:pPr>
              <w:jc w:val="left"/>
            </w:pPr>
            <w:r w:rsidRPr="00F31CE3">
              <w:t>Retrofit install preformed bulk ceiling insulation in existing dwellings</w:t>
            </w:r>
          </w:p>
        </w:tc>
      </w:tr>
      <w:tr>
        <w:tblPrEx>
          <w:tblW w:w="5000" w:type="pct"/>
        </w:tblPrEx>
        <w:trPr>
          <w:trHeight w:val="300"/>
        </w:trPr>
        <w:tc>
          <w:tcPr>
            <w:tcW w:w="0" w:type="auto"/>
          </w:tcPr>
          <w:p w:rsidR="00D44002" w:rsidRPr="00F31CE3" w:rsidP="00F31CE3">
            <w:r w:rsidRPr="00F31CE3">
              <w:t>CPCINS3007</w:t>
            </w:r>
          </w:p>
        </w:tc>
        <w:tc>
          <w:tcPr>
            <w:tcW w:w="0" w:type="auto"/>
          </w:tcPr>
          <w:p w:rsidR="00D44002" w:rsidRPr="00F31CE3" w:rsidP="00F31CE3">
            <w:r w:rsidRPr="00F31CE3">
              <w:t>Retrofit install subfloor insulation in existing dwellings</w:t>
            </w:r>
          </w:p>
        </w:tc>
      </w:tr>
    </w:tbl>
    <w:p w:rsidR="00D44002" w:rsidRPr="00F31CE3" w:rsidP="00F31CE3">
      <w:r w:rsidRPr="00F31CE3">
        <w:t> </w:t>
      </w:r>
      <w:r w:rsidRPr="00F31CE3">
        <w:rPr>
          <w:rStyle w:val="Strong"/>
        </w:rPr>
        <w:t>Group C Electives</w:t>
      </w:r>
    </w:p>
    <w:tbl>
      <w:tblPr>
        <w:tblStyle w:val="TableGrid"/>
        <w:tblW w:w="5000" w:type="pct"/>
        <w:jc w:val="left"/>
      </w:tblPr>
      <w:tblGrid>
        <w:gridCol w:w="1724"/>
        <w:gridCol w:w="7336"/>
      </w:tblGrid>
      <w:tr>
        <w:tblPrEx>
          <w:tblW w:w="5000" w:type="pct"/>
        </w:tblPrEx>
        <w:trPr>
          <w:trHeight w:val="300"/>
        </w:trPr>
        <w:tc>
          <w:tcPr>
            <w:tcW w:w="0" w:type="auto"/>
          </w:tcPr>
          <w:p w:rsidR="00D44002" w:rsidRPr="00F31CE3" w:rsidP="00F31CE3">
            <w:pPr>
              <w:jc w:val="left"/>
            </w:pPr>
            <w:r w:rsidRPr="00F31CE3">
              <w:t>BSBESB301</w:t>
            </w:r>
          </w:p>
        </w:tc>
        <w:tc>
          <w:tcPr>
            <w:tcW w:w="0" w:type="auto"/>
          </w:tcPr>
          <w:p w:rsidR="00D44002" w:rsidRPr="00F31CE3" w:rsidP="00F31CE3">
            <w:pPr>
              <w:jc w:val="left"/>
            </w:pPr>
            <w:r w:rsidRPr="00F31CE3">
              <w:t>Investigate business opportunities</w:t>
            </w:r>
          </w:p>
        </w:tc>
      </w:tr>
      <w:tr>
        <w:tblPrEx>
          <w:tblW w:w="5000" w:type="pct"/>
        </w:tblPrEx>
        <w:trPr>
          <w:trHeight w:val="300"/>
        </w:trPr>
        <w:tc>
          <w:tcPr>
            <w:tcW w:w="0" w:type="auto"/>
          </w:tcPr>
          <w:p w:rsidR="00D44002" w:rsidRPr="00F31CE3" w:rsidP="00F31CE3">
            <w:r w:rsidRPr="00F31CE3">
              <w:t>CPCCPB3015*</w:t>
            </w:r>
          </w:p>
        </w:tc>
        <w:tc>
          <w:tcPr>
            <w:tcW w:w="0" w:type="auto"/>
          </w:tcPr>
          <w:p w:rsidR="00D44002" w:rsidRPr="00F31CE3" w:rsidP="00F31CE3">
            <w:r w:rsidRPr="00F31CE3">
              <w:t>Install acoustic and thermal environmental protection systems</w:t>
            </w:r>
          </w:p>
        </w:tc>
      </w:tr>
      <w:tr>
        <w:tblPrEx>
          <w:tblW w:w="5000" w:type="pct"/>
        </w:tblPrEx>
        <w:trPr>
          <w:trHeight w:val="300"/>
        </w:trPr>
        <w:tc>
          <w:tcPr>
            <w:tcW w:w="0" w:type="auto"/>
          </w:tcPr>
          <w:p w:rsidR="00D44002" w:rsidRPr="00F31CE3" w:rsidP="00F31CE3">
            <w:r w:rsidRPr="00F31CE3">
              <w:t>CPCINS3003</w:t>
            </w:r>
          </w:p>
        </w:tc>
        <w:tc>
          <w:tcPr>
            <w:tcW w:w="0" w:type="auto"/>
          </w:tcPr>
          <w:p w:rsidR="00D44002" w:rsidRPr="00F31CE3" w:rsidP="00F31CE3">
            <w:r w:rsidRPr="00F31CE3">
              <w:t>Install loose fill insulation products</w:t>
            </w:r>
          </w:p>
        </w:tc>
      </w:tr>
      <w:tr>
        <w:tblPrEx>
          <w:tblW w:w="5000" w:type="pct"/>
        </w:tblPrEx>
        <w:trPr>
          <w:trHeight w:val="300"/>
        </w:trPr>
        <w:tc>
          <w:tcPr>
            <w:tcW w:w="0" w:type="auto"/>
          </w:tcPr>
          <w:p w:rsidR="00D44002" w:rsidRPr="00F31CE3" w:rsidP="00F31CE3">
            <w:r w:rsidRPr="00F31CE3">
              <w:t>CPCINS3006</w:t>
            </w:r>
          </w:p>
        </w:tc>
        <w:tc>
          <w:tcPr>
            <w:tcW w:w="0" w:type="auto"/>
          </w:tcPr>
          <w:p w:rsidR="00D44002" w:rsidRPr="00F31CE3" w:rsidP="00F31CE3">
            <w:r w:rsidRPr="00F31CE3">
              <w:t>Install foamed in-situ insulation products</w:t>
            </w:r>
          </w:p>
        </w:tc>
      </w:tr>
      <w:tr>
        <w:tblPrEx>
          <w:tblW w:w="5000" w:type="pct"/>
        </w:tblPrEx>
        <w:trPr>
          <w:trHeight w:val="300"/>
        </w:trPr>
        <w:tc>
          <w:tcPr>
            <w:tcW w:w="0" w:type="auto"/>
          </w:tcPr>
          <w:p w:rsidR="00D44002" w:rsidRPr="00F31CE3" w:rsidP="00F31CE3">
            <w:r w:rsidRPr="00F31CE3">
              <w:t>CPCWHS3001</w:t>
            </w:r>
          </w:p>
        </w:tc>
        <w:tc>
          <w:tcPr>
            <w:tcW w:w="0" w:type="auto"/>
          </w:tcPr>
          <w:p w:rsidR="00D44002" w:rsidRPr="00F31CE3" w:rsidP="00F31CE3">
            <w:r w:rsidRPr="00F31CE3">
              <w:t>Identify construction work hazards and select risk control strategies</w:t>
            </w:r>
          </w:p>
        </w:tc>
      </w:tr>
      <w:tr>
        <w:tblPrEx>
          <w:tblW w:w="5000" w:type="pct"/>
        </w:tblPrEx>
        <w:trPr>
          <w:trHeight w:val="300"/>
        </w:trPr>
        <w:tc>
          <w:tcPr>
            <w:tcW w:w="0" w:type="auto"/>
          </w:tcPr>
          <w:p w:rsidR="00D44002" w:rsidRPr="00F31CE3" w:rsidP="00F31CE3">
            <w:r w:rsidRPr="00F31CE3">
              <w:t>MSMPER205*</w:t>
            </w:r>
          </w:p>
        </w:tc>
        <w:tc>
          <w:tcPr>
            <w:tcW w:w="0" w:type="auto"/>
          </w:tcPr>
          <w:p w:rsidR="00D44002" w:rsidRPr="00F31CE3" w:rsidP="00F31CE3">
            <w:r w:rsidRPr="00F31CE3">
              <w:t>Enter confined space</w:t>
            </w:r>
          </w:p>
        </w:tc>
      </w:tr>
      <w:tr>
        <w:tblPrEx>
          <w:tblW w:w="5000" w:type="pct"/>
        </w:tblPrEx>
        <w:trPr>
          <w:trHeight w:val="300"/>
        </w:trPr>
        <w:tc>
          <w:tcPr>
            <w:tcW w:w="0" w:type="auto"/>
          </w:tcPr>
          <w:p w:rsidR="00D44002" w:rsidRPr="00F31CE3" w:rsidP="00F31CE3">
            <w:r w:rsidRPr="00F31CE3">
              <w:t>RIIHAN211D</w:t>
            </w:r>
          </w:p>
        </w:tc>
        <w:tc>
          <w:tcPr>
            <w:tcW w:w="0" w:type="auto"/>
          </w:tcPr>
          <w:p w:rsidR="00D44002" w:rsidRPr="00F31CE3" w:rsidP="00F31CE3">
            <w:r w:rsidRPr="00F31CE3">
              <w:t>Conduct basic scaffolding</w:t>
            </w:r>
          </w:p>
        </w:tc>
      </w:tr>
      <w:tr>
        <w:tblPrEx>
          <w:tblW w:w="5000" w:type="pct"/>
        </w:tblPrEx>
        <w:trPr>
          <w:trHeight w:val="300"/>
        </w:trPr>
        <w:tc>
          <w:tcPr>
            <w:tcW w:w="0" w:type="auto"/>
          </w:tcPr>
          <w:p w:rsidR="00D44002" w:rsidRPr="00F31CE3" w:rsidP="00F31CE3">
            <w:r w:rsidRPr="00F31CE3">
              <w:t>SIRXPDK001</w:t>
            </w:r>
          </w:p>
        </w:tc>
        <w:tc>
          <w:tcPr>
            <w:tcW w:w="0" w:type="auto"/>
          </w:tcPr>
          <w:p w:rsidR="00D44002" w:rsidRPr="00F31CE3" w:rsidP="00F31CE3">
            <w:r w:rsidRPr="00F31CE3">
              <w:t>Advise on products and services</w:t>
            </w:r>
          </w:p>
        </w:tc>
      </w:tr>
      <w:tr>
        <w:tblPrEx>
          <w:tblW w:w="5000" w:type="pct"/>
        </w:tblPrEx>
        <w:trPr>
          <w:trHeight w:val="300"/>
        </w:trPr>
        <w:tc>
          <w:tcPr>
            <w:tcW w:w="0" w:type="auto"/>
          </w:tcPr>
          <w:p w:rsidR="00D44002" w:rsidRPr="00F31CE3" w:rsidP="00F31CE3">
            <w:r w:rsidRPr="00F31CE3">
              <w:t>UETDREL006</w:t>
            </w:r>
          </w:p>
        </w:tc>
        <w:tc>
          <w:tcPr>
            <w:tcW w:w="0" w:type="auto"/>
          </w:tcPr>
          <w:p w:rsidR="00D44002" w:rsidRPr="00F31CE3" w:rsidP="00F31CE3">
            <w:r w:rsidRPr="00F31CE3">
              <w:t>Work safely in the vicinity of live electrical apparatus as a non-electrical worker</w:t>
            </w:r>
          </w:p>
        </w:tc>
      </w:tr>
    </w:tbl>
    <w:p w:rsidR="00D44002" w:rsidRPr="00F31CE3" w:rsidP="00F31CE3">
      <w:pPr>
        <w:pStyle w:val="Heading1"/>
      </w:pPr>
      <w:r w:rsidRPr="00F31CE3">
        <w:t>Pre-requisite Requirements</w:t>
      </w:r>
    </w:p>
    <w:tbl>
      <w:tblPr>
        <w:tblStyle w:val="TableGrid"/>
        <w:tblW w:w="5000" w:type="pct"/>
        <w:jc w:val="left"/>
      </w:tblPr>
      <w:tblGrid>
        <w:gridCol w:w="4529"/>
        <w:gridCol w:w="4531"/>
      </w:tblGrid>
      <w:tr>
        <w:tblPrEx>
          <w:tblW w:w="5000" w:type="pct"/>
        </w:tblPrEx>
        <w:tc>
          <w:tcPr>
            <w:tcW w:w="4535" w:type="dxa"/>
            <w:noWrap w:val="0"/>
            <w:tcMar>
              <w:top w:w="0" w:type="dxa"/>
              <w:left w:w="0" w:type="dxa"/>
              <w:bottom w:w="0" w:type="dxa"/>
              <w:right w:w="0" w:type="dxa"/>
            </w:tcMar>
            <w:hideMark/>
          </w:tcPr>
          <w:p w:rsidR="00D44002" w:rsidRPr="00F31CE3" w:rsidP="00F31CE3">
            <w:r w:rsidRPr="00F31CE3">
              <w:t>Unit of competency</w:t>
            </w:r>
          </w:p>
        </w:tc>
        <w:tc>
          <w:tcPr>
            <w:tcW w:w="4535" w:type="dxa"/>
            <w:noWrap w:val="0"/>
            <w:tcMar>
              <w:top w:w="0" w:type="dxa"/>
              <w:left w:w="0" w:type="dxa"/>
              <w:bottom w:w="0" w:type="dxa"/>
              <w:right w:w="0" w:type="dxa"/>
            </w:tcMar>
            <w:hideMark/>
          </w:tcPr>
          <w:p w:rsidR="00D44002" w:rsidRPr="00F31CE3" w:rsidP="00F31CE3">
            <w:r w:rsidRPr="00F31CE3">
              <w:t>Pre-requisite requirement</w:t>
            </w:r>
          </w:p>
        </w:tc>
      </w:tr>
      <w:tr>
        <w:tblPrEx>
          <w:tblW w:w="5000" w:type="pct"/>
        </w:tblPrEx>
        <w:tc>
          <w:tcPr>
            <w:tcW w:w="4535" w:type="dxa"/>
            <w:noWrap w:val="0"/>
            <w:tcMar>
              <w:top w:w="0" w:type="dxa"/>
              <w:left w:w="0" w:type="dxa"/>
              <w:bottom w:w="0" w:type="dxa"/>
              <w:right w:w="0" w:type="dxa"/>
            </w:tcMar>
            <w:hideMark/>
          </w:tcPr>
          <w:p w:rsidR="00D44002" w:rsidRPr="00F31CE3" w:rsidP="00F31CE3">
            <w:r w:rsidRPr="00F31CE3">
              <w:t>CPCCCM2012 Work safely at heights</w:t>
            </w:r>
          </w:p>
        </w:tc>
        <w:tc>
          <w:tcPr>
            <w:tcW w:w="4535" w:type="dxa"/>
            <w:noWrap w:val="0"/>
            <w:tcMar>
              <w:top w:w="0" w:type="dxa"/>
              <w:left w:w="0" w:type="dxa"/>
              <w:bottom w:w="0" w:type="dxa"/>
              <w:right w:w="0"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0" w:type="dxa"/>
              <w:bottom w:w="0" w:type="dxa"/>
              <w:right w:w="0" w:type="dxa"/>
            </w:tcMar>
            <w:hideMark/>
          </w:tcPr>
          <w:p w:rsidR="00D44002" w:rsidRPr="00F31CE3" w:rsidP="00F31CE3">
            <w:r w:rsidRPr="00F31CE3">
              <w:t>CPCCOM2001 Read and interpret plans and specifications</w:t>
            </w:r>
          </w:p>
        </w:tc>
        <w:tc>
          <w:tcPr>
            <w:tcW w:w="4535" w:type="dxa"/>
            <w:noWrap w:val="0"/>
            <w:tcMar>
              <w:top w:w="0" w:type="dxa"/>
              <w:left w:w="0" w:type="dxa"/>
              <w:bottom w:w="0" w:type="dxa"/>
              <w:right w:w="0"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 </w:t>
            </w:r>
          </w:p>
          <w:p w:rsidR="00D44002" w:rsidRPr="00F31CE3" w:rsidP="00F31CE3"/>
        </w:tc>
      </w:tr>
      <w:tr>
        <w:tblPrEx>
          <w:tblW w:w="5000" w:type="pct"/>
        </w:tblPrEx>
        <w:tc>
          <w:tcPr>
            <w:tcW w:w="4535" w:type="dxa"/>
            <w:noWrap w:val="0"/>
            <w:tcMar>
              <w:top w:w="0" w:type="dxa"/>
              <w:left w:w="0" w:type="dxa"/>
              <w:bottom w:w="0" w:type="dxa"/>
              <w:right w:w="0" w:type="dxa"/>
            </w:tcMar>
            <w:hideMark/>
          </w:tcPr>
          <w:p w:rsidR="00D44002" w:rsidRPr="00F31CE3" w:rsidP="00F31CE3">
            <w:r w:rsidRPr="00F31CE3">
              <w:t>CPCCPB3015 Install acoustic and thermal environmental protection systems</w:t>
            </w:r>
          </w:p>
        </w:tc>
        <w:tc>
          <w:tcPr>
            <w:tcW w:w="4535" w:type="dxa"/>
            <w:noWrap w:val="0"/>
            <w:tcMar>
              <w:top w:w="0" w:type="dxa"/>
              <w:left w:w="0" w:type="dxa"/>
              <w:bottom w:w="0" w:type="dxa"/>
              <w:right w:w="0" w:type="dxa"/>
            </w:tcMar>
            <w:hideMark/>
          </w:tcPr>
          <w:p>
            <w:pPr>
              <w:spacing w:before="0" w:after="240" w:line="240" w:lineRule="auto"/>
              <w:rPr>
                <w:rFonts w:eastAsia="Times New Roman"/>
                <w:kern w:val="0"/>
                <w14:ligatures w14:val="none"/>
              </w:rPr>
            </w:pPr>
            <w:r>
              <w:rPr>
                <w:rFonts w:ascii="Times New Roman" w:eastAsia="Times New Roman" w:hAnsi="Times New Roman" w:cs="Times New Roman"/>
                <w:kern w:val="0"/>
                <w14:ligatures w14:val="none"/>
              </w:rPr>
              <w:t>CPCCWHS2001</w:t>
            </w:r>
            <w:r>
              <w:rPr>
                <w:rFonts w:ascii="Times New Roman" w:eastAsia="Times New Roman" w:hAnsi="Times New Roman" w:cs="Times New Roman"/>
                <w:kern w:val="0"/>
                <w14:ligatures w14:val="none"/>
              </w:rPr>
              <w:t xml:space="preserve"> Apply WHS requirements, policies and procedures in the construction industry.</w:t>
            </w:r>
          </w:p>
          <w:p w:rsidR="00D44002" w:rsidRPr="00F31CE3" w:rsidP="00F31CE3"/>
        </w:tc>
      </w:tr>
      <w:tr>
        <w:tblPrEx>
          <w:tblW w:w="5000" w:type="pct"/>
        </w:tblPrEx>
        <w:tc>
          <w:tcPr>
            <w:tcW w:w="4535" w:type="dxa"/>
            <w:noWrap w:val="0"/>
            <w:tcMar>
              <w:top w:w="0" w:type="dxa"/>
              <w:left w:w="0" w:type="dxa"/>
              <w:bottom w:w="0" w:type="dxa"/>
              <w:right w:w="0" w:type="dxa"/>
            </w:tcMar>
            <w:hideMark/>
          </w:tcPr>
          <w:p w:rsidR="00D44002" w:rsidRPr="00F31CE3" w:rsidP="00F31CE3">
            <w:r w:rsidRPr="00F31CE3">
              <w:t>MSMPER205 Enter confined space</w:t>
            </w:r>
          </w:p>
        </w:tc>
        <w:tc>
          <w:tcPr>
            <w:tcW w:w="4535" w:type="dxa"/>
            <w:noWrap w:val="0"/>
            <w:tcMar>
              <w:top w:w="0" w:type="dxa"/>
              <w:left w:w="0" w:type="dxa"/>
              <w:bottom w:w="0" w:type="dxa"/>
              <w:right w:w="0" w:type="dxa"/>
            </w:tcMar>
            <w:hideMark/>
          </w:tcPr>
          <w:tbl>
            <w:tblPr>
              <w:tblStyle w:val="TableGrid"/>
              <w:tblW w:w="5000" w:type="pct"/>
              <w:jc w:val="left"/>
            </w:tblPr>
            <w:tblGrid>
              <w:gridCol w:w="1577"/>
              <w:gridCol w:w="2934"/>
            </w:tblGrid>
            <w:tr>
              <w:tblPrEx>
                <w:tblW w:w="5000" w:type="pct"/>
              </w:tblPrEx>
              <w:tc>
                <w:tcPr>
                  <w:tcW w:w="0" w:type="auto"/>
                </w:tcPr>
                <w:p>
                  <w:pPr>
                    <w:spacing w:before="0" w:after="0" w:line="240" w:lineRule="auto"/>
                    <w:jc w:val="left"/>
                    <w:rPr>
                      <w:rFonts w:eastAsia="Times New Roman"/>
                      <w:b w:val="0"/>
                      <w:bCs w:val="0"/>
                      <w:i w:val="0"/>
                      <w:iCs w:val="0"/>
                      <w:smallCaps w:val="0"/>
                      <w:color w:val="000000"/>
                      <w:kern w:val="0"/>
                      <w14:ligatures w14:val="none"/>
                    </w:rPr>
                  </w:pPr>
                  <w:r>
                    <w:rPr>
                      <w:rFonts w:ascii="Times New Roman" w:eastAsia="Times New Roman" w:hAnsi="Times New Roman" w:cs="Times New Roman"/>
                      <w:b w:val="0"/>
                      <w:bCs w:val="0"/>
                      <w:i w:val="0"/>
                      <w:iCs w:val="0"/>
                      <w:smallCaps w:val="0"/>
                      <w:color w:val="000000"/>
                      <w:kern w:val="0"/>
                      <w14:ligatures w14:val="none"/>
                    </w:rPr>
                    <w:t>MSMPER200</w:t>
                  </w:r>
                </w:p>
              </w:tc>
              <w:tc>
                <w:tcPr>
                  <w:tcW w:w="0" w:type="auto"/>
                </w:tcPr>
                <w:p>
                  <w:pPr>
                    <w:spacing w:before="0" w:after="0" w:line="240" w:lineRule="auto"/>
                    <w:jc w:val="left"/>
                    <w:rPr>
                      <w:rFonts w:eastAsia="Times New Roman"/>
                      <w:b w:val="0"/>
                      <w:bCs w:val="0"/>
                      <w:i w:val="0"/>
                      <w:iCs w:val="0"/>
                      <w:smallCaps w:val="0"/>
                      <w:color w:val="000000"/>
                      <w:kern w:val="0"/>
                      <w14:ligatures w14:val="none"/>
                    </w:rPr>
                  </w:pPr>
                  <w:r>
                    <w:rPr>
                      <w:rFonts w:ascii="Times New Roman" w:eastAsia="Times New Roman" w:hAnsi="Times New Roman" w:cs="Times New Roman"/>
                      <w:b w:val="0"/>
                      <w:bCs w:val="0"/>
                      <w:i w:val="0"/>
                      <w:iCs w:val="0"/>
                      <w:smallCaps w:val="0"/>
                      <w:color w:val="000000"/>
                      <w:kern w:val="0"/>
                      <w14:ligatures w14:val="none"/>
                    </w:rPr>
                    <w:t>Work in accordance with an issued permit</w:t>
                  </w:r>
                </w:p>
              </w:tc>
            </w:tr>
          </w:tbl>
          <w:p w:rsidR="00D44002" w:rsidRPr="00F31CE3" w:rsidP="00F31CE3"/>
        </w:tc>
      </w:tr>
    </w:tbl>
    <w:p w:rsidR="00D44002" w:rsidRPr="00F31CE3" w:rsidP="00F31CE3">
      <w:pPr>
        <w:pStyle w:val="Heading1"/>
      </w:pPr>
      <w:r w:rsidRPr="00F31CE3">
        <w:t>Mandatory Workplace Requirements</w:t>
      </w:r>
    </w:p>
    <w:p w:rsidR="00D44002" w:rsidRPr="00F31CE3" w:rsidP="00F31CE3">
      <w:r w:rsidRPr="00F31CE3">
        <w:t>There are no mandatory workplace requirements associated with units packaged in this qualification.</w:t>
      </w:r>
    </w:p>
    <w:p w:rsidR="00D44002" w:rsidRPr="00F31CE3" w:rsidP="00F31CE3">
      <w:pPr>
        <w:pStyle w:val="Heading1"/>
      </w:pPr>
      <w:r w:rsidRPr="00F31CE3">
        <w:t>Qualification Mapping Information</w:t>
      </w:r>
    </w:p>
    <w:tbl>
      <w:tblPr>
        <w:tblStyle w:val="TableGrid"/>
        <w:tblW w:w="5000" w:type="pct"/>
        <w:jc w:val="left"/>
      </w:tblPr>
      <w:tblGrid>
        <w:gridCol w:w="3020"/>
        <w:gridCol w:w="3020"/>
        <w:gridCol w:w="3020"/>
      </w:tblGrid>
      <w:tr>
        <w:tblPrEx>
          <w:tblW w:w="5000" w:type="pct"/>
        </w:tblPrEx>
        <w:tc>
          <w:tcPr>
            <w:tcW w:w="3023" w:type="dxa"/>
            <w:noWrap w:val="0"/>
            <w:tcMar>
              <w:top w:w="0" w:type="dxa"/>
              <w:left w:w="0" w:type="dxa"/>
              <w:bottom w:w="0" w:type="dxa"/>
              <w:right w:w="0" w:type="dxa"/>
            </w:tcMar>
            <w:hideMark/>
          </w:tcPr>
          <w:p w:rsidR="00D44002" w:rsidRPr="00F31CE3" w:rsidP="00F31CE3">
            <w:r w:rsidRPr="00F31CE3">
              <w:t>Previous Code and Title</w:t>
            </w:r>
          </w:p>
        </w:tc>
        <w:tc>
          <w:tcPr>
            <w:tcW w:w="3023" w:type="dxa"/>
            <w:noWrap w:val="0"/>
            <w:tcMar>
              <w:top w:w="0" w:type="dxa"/>
              <w:left w:w="0" w:type="dxa"/>
              <w:bottom w:w="0" w:type="dxa"/>
              <w:right w:w="0" w:type="dxa"/>
            </w:tcMar>
            <w:hideMark/>
          </w:tcPr>
          <w:p w:rsidR="00D44002" w:rsidRPr="00F31CE3" w:rsidP="00F31CE3">
            <w:r w:rsidRPr="00F31CE3">
              <w:t>Equivalence</w:t>
            </w:r>
          </w:p>
        </w:tc>
        <w:tc>
          <w:tcPr>
            <w:tcW w:w="3023" w:type="dxa"/>
            <w:noWrap w:val="0"/>
            <w:tcMar>
              <w:top w:w="0" w:type="dxa"/>
              <w:left w:w="0" w:type="dxa"/>
              <w:bottom w:w="0" w:type="dxa"/>
              <w:right w:w="0" w:type="dxa"/>
            </w:tcMar>
            <w:hideMark/>
          </w:tcPr>
          <w:p w:rsidR="00D44002" w:rsidRPr="00F31CE3" w:rsidP="00F31CE3">
            <w:r w:rsidRPr="00F31CE3">
              <w:t>Comments</w:t>
            </w:r>
          </w:p>
        </w:tc>
      </w:tr>
      <w:tr>
        <w:tblPrEx>
          <w:tblW w:w="5000" w:type="pct"/>
        </w:tblPrEx>
        <w:tc>
          <w:tcPr>
            <w:tcW w:w="3023" w:type="dxa"/>
            <w:noWrap w:val="0"/>
            <w:tcMar>
              <w:top w:w="0" w:type="dxa"/>
              <w:left w:w="0" w:type="dxa"/>
              <w:bottom w:w="0" w:type="dxa"/>
              <w:right w:w="0" w:type="dxa"/>
            </w:tcMar>
            <w:hideMark/>
          </w:tcPr>
          <w:p w:rsidR="00D44002" w:rsidRPr="00F31CE3" w:rsidP="00F31CE3">
            <w:r w:rsidRPr="00F31CE3">
              <w:t xml:space="preserve"> </w:t>
            </w:r>
          </w:p>
        </w:tc>
        <w:tc>
          <w:tcPr>
            <w:tcW w:w="3023" w:type="dxa"/>
            <w:noWrap w:val="0"/>
            <w:tcMar>
              <w:top w:w="0" w:type="dxa"/>
              <w:left w:w="0" w:type="dxa"/>
              <w:bottom w:w="0" w:type="dxa"/>
              <w:right w:w="0" w:type="dxa"/>
            </w:tcMar>
            <w:hideMark/>
          </w:tcPr>
          <w:p w:rsidR="00D44002" w:rsidRPr="00F31CE3" w:rsidP="00F31CE3">
            <w:r w:rsidRPr="00F31CE3">
              <w:t>Newly created</w:t>
            </w:r>
          </w:p>
        </w:tc>
        <w:tc>
          <w:tcPr>
            <w:tcW w:w="3023" w:type="dxa"/>
            <w:noWrap w:val="0"/>
            <w:tcMar>
              <w:top w:w="0" w:type="dxa"/>
              <w:left w:w="0" w:type="dxa"/>
              <w:bottom w:w="0" w:type="dxa"/>
              <w:right w:w="0" w:type="dxa"/>
            </w:tcMar>
            <w:hideMark/>
          </w:tcPr>
          <w:p w:rsidR="00D44002" w:rsidRPr="00F31CE3" w:rsidP="00F31CE3">
            <w:r>
              <w:rPr>
                <w:rFonts w:ascii="Times New Roman" w:eastAsia="Times New Roman" w:hAnsi="Times New Roman" w:cs="Times New Roman"/>
                <w:kern w:val="0"/>
                <w14:ligatures w14:val="none"/>
              </w:rPr>
              <w:t>This qualification has been created to address a requirement by industry.</w:t>
            </w:r>
          </w:p>
        </w:tc>
      </w:tr>
    </w:tbl>
    <w:p w:rsidR="00D44002" w:rsidRPr="00F31CE3" w:rsidP="00F31CE3">
      <w:pPr>
        <w:pStyle w:val="Heading1"/>
      </w:pPr>
      <w:r w:rsidRPr="00F31CE3">
        <w:t>Links</w:t>
      </w:r>
    </w:p>
    <w:p w:rsidR="00D44002" w:rsidRPr="00F31CE3" w:rsidP="00F31CE3">
      <w:r w:rsidRPr="00F31CE3">
        <w:t xml:space="preserve">Companion volumes, including implementation guides, are found on the national training register - </w:t>
      </w:r>
      <w:hyperlink r:id="rId10" w:history="1">
        <w:r w:rsidRPr="00F31CE3">
          <w:rPr>
            <w:rStyle w:val="Hyperlink"/>
          </w:rPr>
          <w:t>https://training.gov.au/training/details/CPC</w:t>
        </w:r>
      </w:hyperlink>
      <w:r w:rsidRPr="00F31CE3">
        <w:t>.</w:t>
      </w:r>
    </w:p>
    <w:p w:rsidR="00D44002" w:rsidRPr="00F31CE3" w:rsidP="00F31CE3"/>
    <w:sectPr w:rsidSect="00F31508">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RPr="00FA4076" w:rsidP="00FA4076" w14:paraId="4A580142" w14:textId="77777777">
    <w:pPr>
      <w:pStyle w:val="Footer"/>
    </w:pPr>
    <w:r w:rsidRPr="00E53E67">
      <w:rPr>
        <w:b/>
        <w:bCs/>
        <w:sz w:val="20"/>
        <w:szCs w:val="20"/>
      </w:rPr>
      <w:t xml:space="preserve">Release: </w:t>
    </w:r>
    <w:r w:rsidRPr="00E53E67">
      <w:rPr>
        <w:b/>
        <w:bCs/>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42B978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paraId="095EFEC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6</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6</w:t>
    </w:r>
    <w:r>
      <w:rPr>
        <w:sz w:val="16"/>
        <w:szCs w:val="16"/>
      </w:rPr>
      <w:fldChar w:fldCharType="end"/>
    </w:r>
  </w:p>
  <w:p w:rsidR="00F27B0A" w:rsidP="00F27B0A" w14:paraId="2EC2BA9B"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0937DF4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4" o:spid="_x0000_s2051" type="#_x0000_t136" style="width:429.38pt;height:195.31pt;margin-top:0;margin-left:0;mso-position-horizontal:center;mso-position-horizontal-relative:margin;mso-position-vertical:center;mso-position-vertical-relative:margin;position:absolute;rotation:315;z-index:-251656192" fillcolor="#d3d3d3" strokecolor="#d3d3d3">
          <v:fill opacity="0.5"/>
          <v:textpath style="font-family:Calibri"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P="00FA4076" w14:paraId="2756F965" w14:textId="1F82DF94">
    <w:pPr>
      <w:pStyle w:val="Header"/>
      <w:jc w:val="center"/>
    </w:pPr>
    <w:r>
      <w:rPr>
        <w:noProof/>
      </w:rPr>
      <w:drawing>
        <wp:inline distT="0" distB="0" distL="0" distR="0">
          <wp:extent cx="2066667" cy="1076190"/>
          <wp:effectExtent l="0" t="0" r="0" b="0"/>
          <wp:docPr id="1572583867"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83867" name="Picture 1" descr="Australian Government Crest"/>
                  <pic:cNvPicPr/>
                </pic:nvPicPr>
                <pic:blipFill>
                  <a:blip xmlns:r="http://schemas.openxmlformats.org/officeDocument/2006/relationships" r:embed="rId1"/>
                  <a:stretch>
                    <a:fillRect/>
                  </a:stretch>
                </pic:blipFill>
                <pic:spPr>
                  <a:xfrm>
                    <a:off x="0" y="0"/>
                    <a:ext cx="2066667" cy="1076190"/>
                  </a:xfrm>
                  <a:prstGeom prst="rect">
                    <a:avLst/>
                  </a:prstGeom>
                </pic:spPr>
              </pic:pic>
            </a:graphicData>
          </a:graphic>
        </wp:inline>
      </w:drawing>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5" o:spid="_x0000_s2049" type="#_x0000_t136" style="width:429.38pt;height:195.31pt;margin-top:0;margin-left:0;mso-position-horizontal:center;mso-position-horizontal-relative:margin;mso-position-vertical:center;mso-position-vertical-relative:margin;position:absolute;rotation:315;z-index:-251658240" fillcolor="#d3d3d3" strokecolor="#d3d3d3">
          <v:fill opacity="0.5"/>
          <v:textpath style="font-family:Calibri"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3" o:spid="_x0000_s2050" type="#_x0000_t136" style="width:429.38pt;height:195.31pt;margin-top:0;margin-left:0;mso-position-horizontal:center;mso-position-horizontal-relative:margin;mso-position-vertical:center;mso-position-vertical-relative:margin;position:absolute;rotation:315;z-index:-251657216" fillcolor="#d3d3d3" strokecolor="#d3d3d3">
          <v:fill opacity="0.5"/>
          <v:textpath style="font-family:Calibri"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60696BB4"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52" type="#_x0000_t136" style="width:429.38pt;height:195.31pt;margin-top:0;margin-left:0;mso-position-horizontal:center;mso-position-horizontal-relative:margin;mso-position-vertical:center;mso-position-vertical-relative:margin;position:absolute;rotation:315;z-index:-251655168" fillcolor="#d3d3d3" strokecolor="#d3d3d3">
          <v:fill opacity="0.5"/>
          <v:textpath style="font-family:Calibri"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paraId="05DA8F9E" w14:textId="6D38A07F">
    <w:pPr>
      <w:pStyle w:val="Header"/>
      <w:pBdr>
        <w:bottom w:val="single" w:sz="4" w:space="1" w:color="auto"/>
      </w:pBdr>
      <w:tabs>
        <w:tab w:val="clear" w:pos="4513"/>
      </w:tabs>
      <w:rPr>
        <w:sz w:val="16"/>
        <w:szCs w:val="16"/>
      </w:rPr>
    </w:pPr>
    <w:r w:rsidRPr="003E4545">
      <w:rPr>
        <w:sz w:val="16"/>
        <w:szCs w:val="16"/>
      </w:rPr>
      <w:t>CPC33126 Certificate III in Insulation Installation</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8" o:spid="_x0000_s2053" type="#_x0000_t136" style="width:429.38pt;height:195.31pt;margin-top:0;margin-left:0;mso-position-horizontal:center;mso-position-horizontal-relative:margin;mso-position-vertical:center;mso-position-vertical-relative:margin;position:absolute;rotation:315;z-index:-251654144" fillcolor="#d3d3d3" strokecolor="#d3d3d3">
          <v:fill opacity="0.5"/>
          <v:textpath style="font-family:Calibri"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12A3AE3F"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6" o:spid="_x0000_s2054" type="#_x0000_t136" style="width:429.38pt;height:195.31pt;margin-top:0;margin-left:0;mso-position-horizontal:center;mso-position-horizontal-relative:margin;mso-position-vertical:center;mso-position-vertical-relative:margin;position:absolute;rotation:315;z-index:-251653120" fillcolor="#d3d3d3" strokecolor="#d3d3d3">
          <v:fill opacity="0.5"/>
          <v:textpath style="font-family:Calibri"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 w15:restartNumberingAfterBreak="0">
    <w:nsid w:val="665D409A"/>
    <w:multiLevelType w:val="hybridMultilevel"/>
    <w:tmpl w:val="665D409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665D409B"/>
    <w:multiLevelType w:val="hybridMultilevel"/>
    <w:tmpl w:val="665D409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124492594">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716"/>
    <w:rsid w:val="00003DB6"/>
    <w:rsid w:val="00011C84"/>
    <w:rsid w:val="0002276B"/>
    <w:rsid w:val="00032672"/>
    <w:rsid w:val="00032758"/>
    <w:rsid w:val="00036205"/>
    <w:rsid w:val="00041A6A"/>
    <w:rsid w:val="0004324C"/>
    <w:rsid w:val="00043658"/>
    <w:rsid w:val="00043FE6"/>
    <w:rsid w:val="00044734"/>
    <w:rsid w:val="0006329A"/>
    <w:rsid w:val="00063382"/>
    <w:rsid w:val="000670DA"/>
    <w:rsid w:val="000761A0"/>
    <w:rsid w:val="000934AA"/>
    <w:rsid w:val="0009533A"/>
    <w:rsid w:val="000A3C26"/>
    <w:rsid w:val="000A4105"/>
    <w:rsid w:val="000A6888"/>
    <w:rsid w:val="000B3C8F"/>
    <w:rsid w:val="000B5D56"/>
    <w:rsid w:val="000D392F"/>
    <w:rsid w:val="000D4918"/>
    <w:rsid w:val="000D52E6"/>
    <w:rsid w:val="000E134A"/>
    <w:rsid w:val="000F7257"/>
    <w:rsid w:val="00100960"/>
    <w:rsid w:val="001025D1"/>
    <w:rsid w:val="00102854"/>
    <w:rsid w:val="00104464"/>
    <w:rsid w:val="0010497C"/>
    <w:rsid w:val="00112439"/>
    <w:rsid w:val="001139F8"/>
    <w:rsid w:val="00113C48"/>
    <w:rsid w:val="001279EF"/>
    <w:rsid w:val="00155E51"/>
    <w:rsid w:val="001639BB"/>
    <w:rsid w:val="00164298"/>
    <w:rsid w:val="0017445A"/>
    <w:rsid w:val="00174B3C"/>
    <w:rsid w:val="00187F7F"/>
    <w:rsid w:val="00190EA1"/>
    <w:rsid w:val="00197ABF"/>
    <w:rsid w:val="001A3FC6"/>
    <w:rsid w:val="001B0586"/>
    <w:rsid w:val="001B2903"/>
    <w:rsid w:val="001B3FB2"/>
    <w:rsid w:val="001B64A1"/>
    <w:rsid w:val="001B76F4"/>
    <w:rsid w:val="001C11F8"/>
    <w:rsid w:val="001C6F51"/>
    <w:rsid w:val="001C71B5"/>
    <w:rsid w:val="001D7B20"/>
    <w:rsid w:val="001E36D4"/>
    <w:rsid w:val="001F08C6"/>
    <w:rsid w:val="001F65FC"/>
    <w:rsid w:val="002103C0"/>
    <w:rsid w:val="00211A8C"/>
    <w:rsid w:val="00213466"/>
    <w:rsid w:val="00222E93"/>
    <w:rsid w:val="00226877"/>
    <w:rsid w:val="00227BD4"/>
    <w:rsid w:val="00246CE0"/>
    <w:rsid w:val="00262572"/>
    <w:rsid w:val="0026375B"/>
    <w:rsid w:val="002644C1"/>
    <w:rsid w:val="00266B3B"/>
    <w:rsid w:val="00266C4D"/>
    <w:rsid w:val="002807FD"/>
    <w:rsid w:val="00282869"/>
    <w:rsid w:val="002869A9"/>
    <w:rsid w:val="002A002E"/>
    <w:rsid w:val="002A5613"/>
    <w:rsid w:val="002B6140"/>
    <w:rsid w:val="002C1A16"/>
    <w:rsid w:val="002C2B22"/>
    <w:rsid w:val="002D4A04"/>
    <w:rsid w:val="002E425A"/>
    <w:rsid w:val="002E6BE1"/>
    <w:rsid w:val="002E6E27"/>
    <w:rsid w:val="002F4DCD"/>
    <w:rsid w:val="002F6500"/>
    <w:rsid w:val="003030C4"/>
    <w:rsid w:val="0030690A"/>
    <w:rsid w:val="003069B6"/>
    <w:rsid w:val="00330352"/>
    <w:rsid w:val="00346FFB"/>
    <w:rsid w:val="00351D9D"/>
    <w:rsid w:val="003571B9"/>
    <w:rsid w:val="00370B77"/>
    <w:rsid w:val="00380794"/>
    <w:rsid w:val="00381B18"/>
    <w:rsid w:val="003820E9"/>
    <w:rsid w:val="00382DF4"/>
    <w:rsid w:val="0038530E"/>
    <w:rsid w:val="00385C31"/>
    <w:rsid w:val="003B286B"/>
    <w:rsid w:val="003B39E2"/>
    <w:rsid w:val="003D175E"/>
    <w:rsid w:val="003E4545"/>
    <w:rsid w:val="003F26B2"/>
    <w:rsid w:val="003F3D1F"/>
    <w:rsid w:val="003F615F"/>
    <w:rsid w:val="00403B2B"/>
    <w:rsid w:val="00404AE8"/>
    <w:rsid w:val="004235DB"/>
    <w:rsid w:val="0042688C"/>
    <w:rsid w:val="00431CBB"/>
    <w:rsid w:val="00432B22"/>
    <w:rsid w:val="004368AF"/>
    <w:rsid w:val="00441958"/>
    <w:rsid w:val="00454D3D"/>
    <w:rsid w:val="00457698"/>
    <w:rsid w:val="004726B8"/>
    <w:rsid w:val="0047638B"/>
    <w:rsid w:val="004832B7"/>
    <w:rsid w:val="00490D5E"/>
    <w:rsid w:val="00492374"/>
    <w:rsid w:val="00497944"/>
    <w:rsid w:val="004B00D0"/>
    <w:rsid w:val="004B18E5"/>
    <w:rsid w:val="004B20E2"/>
    <w:rsid w:val="004B23A7"/>
    <w:rsid w:val="004C2B1A"/>
    <w:rsid w:val="004D10E5"/>
    <w:rsid w:val="004D1A81"/>
    <w:rsid w:val="004E290E"/>
    <w:rsid w:val="004F165C"/>
    <w:rsid w:val="004F1795"/>
    <w:rsid w:val="00500FFC"/>
    <w:rsid w:val="00501C36"/>
    <w:rsid w:val="005067E8"/>
    <w:rsid w:val="00512FF0"/>
    <w:rsid w:val="00513126"/>
    <w:rsid w:val="00516904"/>
    <w:rsid w:val="005219D8"/>
    <w:rsid w:val="00522E1A"/>
    <w:rsid w:val="00524DAA"/>
    <w:rsid w:val="005355BA"/>
    <w:rsid w:val="00542D25"/>
    <w:rsid w:val="0054353E"/>
    <w:rsid w:val="005503CB"/>
    <w:rsid w:val="00560137"/>
    <w:rsid w:val="00564561"/>
    <w:rsid w:val="005663F8"/>
    <w:rsid w:val="0056754A"/>
    <w:rsid w:val="00572299"/>
    <w:rsid w:val="005743C4"/>
    <w:rsid w:val="005871AF"/>
    <w:rsid w:val="00593918"/>
    <w:rsid w:val="005A2B1D"/>
    <w:rsid w:val="005B33BC"/>
    <w:rsid w:val="005B543F"/>
    <w:rsid w:val="005B7A74"/>
    <w:rsid w:val="005C16AE"/>
    <w:rsid w:val="005C4CC6"/>
    <w:rsid w:val="005D2B3F"/>
    <w:rsid w:val="005E3CC2"/>
    <w:rsid w:val="005E7A34"/>
    <w:rsid w:val="005F118A"/>
    <w:rsid w:val="005F40E1"/>
    <w:rsid w:val="005F489F"/>
    <w:rsid w:val="005F6F5B"/>
    <w:rsid w:val="00614E9C"/>
    <w:rsid w:val="006161E3"/>
    <w:rsid w:val="006170D3"/>
    <w:rsid w:val="00621CBC"/>
    <w:rsid w:val="0062273A"/>
    <w:rsid w:val="006301FF"/>
    <w:rsid w:val="00630517"/>
    <w:rsid w:val="00635D48"/>
    <w:rsid w:val="00637A3D"/>
    <w:rsid w:val="006600D1"/>
    <w:rsid w:val="0066407A"/>
    <w:rsid w:val="006705FA"/>
    <w:rsid w:val="00674A8A"/>
    <w:rsid w:val="0067722C"/>
    <w:rsid w:val="00677884"/>
    <w:rsid w:val="00682E9B"/>
    <w:rsid w:val="00684D0F"/>
    <w:rsid w:val="006A43BF"/>
    <w:rsid w:val="006A5202"/>
    <w:rsid w:val="006B5BAE"/>
    <w:rsid w:val="006C1244"/>
    <w:rsid w:val="006D323C"/>
    <w:rsid w:val="006D3EB7"/>
    <w:rsid w:val="006E472E"/>
    <w:rsid w:val="006F06EC"/>
    <w:rsid w:val="006F1DFD"/>
    <w:rsid w:val="006F231B"/>
    <w:rsid w:val="006F3A9E"/>
    <w:rsid w:val="00704250"/>
    <w:rsid w:val="007103AD"/>
    <w:rsid w:val="00712B8A"/>
    <w:rsid w:val="0071575F"/>
    <w:rsid w:val="00726497"/>
    <w:rsid w:val="007351F1"/>
    <w:rsid w:val="00735D94"/>
    <w:rsid w:val="00736341"/>
    <w:rsid w:val="0074423E"/>
    <w:rsid w:val="00751158"/>
    <w:rsid w:val="007519C1"/>
    <w:rsid w:val="00752378"/>
    <w:rsid w:val="00757A0E"/>
    <w:rsid w:val="00761FC7"/>
    <w:rsid w:val="007628C3"/>
    <w:rsid w:val="00773269"/>
    <w:rsid w:val="00774FEA"/>
    <w:rsid w:val="00775E24"/>
    <w:rsid w:val="0078256D"/>
    <w:rsid w:val="00787507"/>
    <w:rsid w:val="00793E01"/>
    <w:rsid w:val="00794E49"/>
    <w:rsid w:val="00794FA5"/>
    <w:rsid w:val="007A1A24"/>
    <w:rsid w:val="007C1BA3"/>
    <w:rsid w:val="007D1B11"/>
    <w:rsid w:val="007D59B6"/>
    <w:rsid w:val="007F18D6"/>
    <w:rsid w:val="007F520C"/>
    <w:rsid w:val="007F6285"/>
    <w:rsid w:val="008108B8"/>
    <w:rsid w:val="00812B70"/>
    <w:rsid w:val="0081463A"/>
    <w:rsid w:val="00814E85"/>
    <w:rsid w:val="00823A11"/>
    <w:rsid w:val="00824604"/>
    <w:rsid w:val="00825426"/>
    <w:rsid w:val="00836A00"/>
    <w:rsid w:val="00847844"/>
    <w:rsid w:val="00862744"/>
    <w:rsid w:val="008649CB"/>
    <w:rsid w:val="00872EBC"/>
    <w:rsid w:val="00874FF7"/>
    <w:rsid w:val="008805C8"/>
    <w:rsid w:val="00882287"/>
    <w:rsid w:val="00883F83"/>
    <w:rsid w:val="008845E8"/>
    <w:rsid w:val="00884D2C"/>
    <w:rsid w:val="00887EFD"/>
    <w:rsid w:val="00894669"/>
    <w:rsid w:val="0089616F"/>
    <w:rsid w:val="00897001"/>
    <w:rsid w:val="00897CB4"/>
    <w:rsid w:val="008A5287"/>
    <w:rsid w:val="008B51CD"/>
    <w:rsid w:val="008B6DCB"/>
    <w:rsid w:val="008C6C7B"/>
    <w:rsid w:val="008F3E52"/>
    <w:rsid w:val="00910A1D"/>
    <w:rsid w:val="009121B0"/>
    <w:rsid w:val="009125CA"/>
    <w:rsid w:val="0091477C"/>
    <w:rsid w:val="009264EB"/>
    <w:rsid w:val="009345F5"/>
    <w:rsid w:val="00936235"/>
    <w:rsid w:val="00950F79"/>
    <w:rsid w:val="00961188"/>
    <w:rsid w:val="00961A5C"/>
    <w:rsid w:val="00964EBF"/>
    <w:rsid w:val="00967B77"/>
    <w:rsid w:val="00970070"/>
    <w:rsid w:val="00971518"/>
    <w:rsid w:val="0097697A"/>
    <w:rsid w:val="00986284"/>
    <w:rsid w:val="00991A5B"/>
    <w:rsid w:val="009926F6"/>
    <w:rsid w:val="00992FD5"/>
    <w:rsid w:val="00996622"/>
    <w:rsid w:val="009A5BA7"/>
    <w:rsid w:val="009A6430"/>
    <w:rsid w:val="009B0979"/>
    <w:rsid w:val="009B7E04"/>
    <w:rsid w:val="009C0105"/>
    <w:rsid w:val="009D0860"/>
    <w:rsid w:val="009E40FF"/>
    <w:rsid w:val="009E6DC5"/>
    <w:rsid w:val="009F22CE"/>
    <w:rsid w:val="00A06DAE"/>
    <w:rsid w:val="00A11C08"/>
    <w:rsid w:val="00A1681D"/>
    <w:rsid w:val="00A20013"/>
    <w:rsid w:val="00A26181"/>
    <w:rsid w:val="00A32B80"/>
    <w:rsid w:val="00A32F83"/>
    <w:rsid w:val="00A43A63"/>
    <w:rsid w:val="00A574ED"/>
    <w:rsid w:val="00A73A18"/>
    <w:rsid w:val="00A74143"/>
    <w:rsid w:val="00A90BFD"/>
    <w:rsid w:val="00A91052"/>
    <w:rsid w:val="00AA0300"/>
    <w:rsid w:val="00AA168D"/>
    <w:rsid w:val="00AA3131"/>
    <w:rsid w:val="00AB352E"/>
    <w:rsid w:val="00AB36F5"/>
    <w:rsid w:val="00AB3ACF"/>
    <w:rsid w:val="00AD4375"/>
    <w:rsid w:val="00AD5023"/>
    <w:rsid w:val="00AD752D"/>
    <w:rsid w:val="00AD7694"/>
    <w:rsid w:val="00AE5A77"/>
    <w:rsid w:val="00AF08AC"/>
    <w:rsid w:val="00AF21BF"/>
    <w:rsid w:val="00AF38BF"/>
    <w:rsid w:val="00B118FB"/>
    <w:rsid w:val="00B136BC"/>
    <w:rsid w:val="00B1796F"/>
    <w:rsid w:val="00B209D8"/>
    <w:rsid w:val="00B249EE"/>
    <w:rsid w:val="00B31BAE"/>
    <w:rsid w:val="00B329CB"/>
    <w:rsid w:val="00B4103E"/>
    <w:rsid w:val="00B47210"/>
    <w:rsid w:val="00B5364D"/>
    <w:rsid w:val="00B53F2D"/>
    <w:rsid w:val="00B544EB"/>
    <w:rsid w:val="00B62662"/>
    <w:rsid w:val="00B72256"/>
    <w:rsid w:val="00B74DD7"/>
    <w:rsid w:val="00B76710"/>
    <w:rsid w:val="00B818B5"/>
    <w:rsid w:val="00B8457C"/>
    <w:rsid w:val="00B911E4"/>
    <w:rsid w:val="00B950C0"/>
    <w:rsid w:val="00B9610D"/>
    <w:rsid w:val="00BA7986"/>
    <w:rsid w:val="00BB4157"/>
    <w:rsid w:val="00BB4203"/>
    <w:rsid w:val="00BB5487"/>
    <w:rsid w:val="00BC0299"/>
    <w:rsid w:val="00BC0C2F"/>
    <w:rsid w:val="00BC739F"/>
    <w:rsid w:val="00BD6B5A"/>
    <w:rsid w:val="00BE3983"/>
    <w:rsid w:val="00BE44A9"/>
    <w:rsid w:val="00BE4637"/>
    <w:rsid w:val="00BF0323"/>
    <w:rsid w:val="00BF3F89"/>
    <w:rsid w:val="00C002D5"/>
    <w:rsid w:val="00C0142E"/>
    <w:rsid w:val="00C01EDA"/>
    <w:rsid w:val="00C02768"/>
    <w:rsid w:val="00C04A97"/>
    <w:rsid w:val="00C12C67"/>
    <w:rsid w:val="00C14C5E"/>
    <w:rsid w:val="00C24235"/>
    <w:rsid w:val="00C2423E"/>
    <w:rsid w:val="00C25A99"/>
    <w:rsid w:val="00C32154"/>
    <w:rsid w:val="00C538BF"/>
    <w:rsid w:val="00C60C23"/>
    <w:rsid w:val="00C646F2"/>
    <w:rsid w:val="00C660CF"/>
    <w:rsid w:val="00C73758"/>
    <w:rsid w:val="00C83175"/>
    <w:rsid w:val="00C87216"/>
    <w:rsid w:val="00C9219C"/>
    <w:rsid w:val="00C9530A"/>
    <w:rsid w:val="00CA6667"/>
    <w:rsid w:val="00CB3533"/>
    <w:rsid w:val="00CB4607"/>
    <w:rsid w:val="00CC67A9"/>
    <w:rsid w:val="00CD5F00"/>
    <w:rsid w:val="00CE70D8"/>
    <w:rsid w:val="00CE75EB"/>
    <w:rsid w:val="00CF261C"/>
    <w:rsid w:val="00CF42BF"/>
    <w:rsid w:val="00D14D06"/>
    <w:rsid w:val="00D15825"/>
    <w:rsid w:val="00D1773F"/>
    <w:rsid w:val="00D2347B"/>
    <w:rsid w:val="00D339C2"/>
    <w:rsid w:val="00D33E57"/>
    <w:rsid w:val="00D33FBB"/>
    <w:rsid w:val="00D35252"/>
    <w:rsid w:val="00D44002"/>
    <w:rsid w:val="00D55866"/>
    <w:rsid w:val="00D57635"/>
    <w:rsid w:val="00D57872"/>
    <w:rsid w:val="00D76614"/>
    <w:rsid w:val="00D85E80"/>
    <w:rsid w:val="00D9069F"/>
    <w:rsid w:val="00D90BA3"/>
    <w:rsid w:val="00D916A4"/>
    <w:rsid w:val="00D9243B"/>
    <w:rsid w:val="00D9446B"/>
    <w:rsid w:val="00D96FCE"/>
    <w:rsid w:val="00DA164C"/>
    <w:rsid w:val="00DA2A72"/>
    <w:rsid w:val="00DB1F0E"/>
    <w:rsid w:val="00DB1F57"/>
    <w:rsid w:val="00DB7CFC"/>
    <w:rsid w:val="00DC17E3"/>
    <w:rsid w:val="00DC27CD"/>
    <w:rsid w:val="00DD2F58"/>
    <w:rsid w:val="00DD33C6"/>
    <w:rsid w:val="00DD5401"/>
    <w:rsid w:val="00DD5CA1"/>
    <w:rsid w:val="00DE0D78"/>
    <w:rsid w:val="00DE77A4"/>
    <w:rsid w:val="00DF2DA7"/>
    <w:rsid w:val="00E04D84"/>
    <w:rsid w:val="00E11E5F"/>
    <w:rsid w:val="00E148D6"/>
    <w:rsid w:val="00E3418A"/>
    <w:rsid w:val="00E34BE6"/>
    <w:rsid w:val="00E364A5"/>
    <w:rsid w:val="00E4345F"/>
    <w:rsid w:val="00E434CD"/>
    <w:rsid w:val="00E436F8"/>
    <w:rsid w:val="00E449F4"/>
    <w:rsid w:val="00E52B5E"/>
    <w:rsid w:val="00E52CE1"/>
    <w:rsid w:val="00E53E67"/>
    <w:rsid w:val="00E6153B"/>
    <w:rsid w:val="00E61734"/>
    <w:rsid w:val="00E61B97"/>
    <w:rsid w:val="00E61F1A"/>
    <w:rsid w:val="00E67B41"/>
    <w:rsid w:val="00E7051D"/>
    <w:rsid w:val="00E709D6"/>
    <w:rsid w:val="00E73351"/>
    <w:rsid w:val="00E7448D"/>
    <w:rsid w:val="00E763D9"/>
    <w:rsid w:val="00E8515B"/>
    <w:rsid w:val="00E8581E"/>
    <w:rsid w:val="00EA0642"/>
    <w:rsid w:val="00EB07CD"/>
    <w:rsid w:val="00EC15C8"/>
    <w:rsid w:val="00EC5C3D"/>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4021B"/>
    <w:rsid w:val="00F453FC"/>
    <w:rsid w:val="00F559E5"/>
    <w:rsid w:val="00F622F2"/>
    <w:rsid w:val="00F6277A"/>
    <w:rsid w:val="00F6342E"/>
    <w:rsid w:val="00F660FA"/>
    <w:rsid w:val="00F82094"/>
    <w:rsid w:val="00F843E5"/>
    <w:rsid w:val="00F8649C"/>
    <w:rsid w:val="00F86589"/>
    <w:rsid w:val="00F960CB"/>
    <w:rsid w:val="00FA4076"/>
    <w:rsid w:val="00FA4516"/>
    <w:rsid w:val="00FB447B"/>
    <w:rsid w:val="00FB5854"/>
    <w:rsid w:val="00FC257E"/>
    <w:rsid w:val="00FC2D28"/>
    <w:rsid w:val="00FD1820"/>
    <w:rsid w:val="00FD6CAA"/>
    <w:rsid w:val="00FD7729"/>
    <w:rsid w:val="00FD7A21"/>
    <w:rsid w:val="00FD7FCC"/>
    <w:rsid w:val="00FF4324"/>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5B6DE972"/>
  <w15:chartTrackingRefBased/>
  <w15:docId w15:val="{9484522D-40FD-4F62-8642-C46B5A3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1"/>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 w:type="character" w:styleId="Strong">
    <w:name w:val="Strong"/>
    <w:basedOn w:val="DefaultParagraphFont"/>
    <w:uiPriority w:val="22"/>
    <w:qFormat/>
    <w:rsid w:val="00506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raining.gov.au/training/details/CPC" TargetMode="Externa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eader" Target="header6.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chart" Target="charts/chart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ACSF core skill</c:v>
          </c:tx>
          <c:invertIfNegative val="0"/>
          <c:cat>
            <c:strLit>
              <c:ptCount val="5"/>
              <c:pt idx="0">
                <c:v>Learning</c:v>
              </c:pt>
              <c:pt idx="1">
                <c:v>Reading</c:v>
              </c:pt>
              <c:pt idx="2">
                <c:v>Writing</c:v>
              </c:pt>
              <c:pt idx="3">
                <c:v>Oral Communication</c:v>
              </c:pt>
              <c:pt idx="4">
                <c:v>Numeracy</c:v>
              </c:pt>
            </c:strLit>
          </c:cat>
          <c:val>
            <c:numLit>
              <c:formatCode>General</c:formatCode>
              <c:ptCount val="5"/>
              <c:pt idx="0">
                <c:v>2</c:v>
              </c:pt>
              <c:pt idx="1">
                <c:v>2</c:v>
              </c:pt>
              <c:pt idx="2">
                <c:v>2</c:v>
              </c:pt>
              <c:pt idx="3">
                <c:v>2</c:v>
              </c:pt>
              <c:pt idx="4">
                <c:v>2</c:v>
              </c:pt>
            </c:numLit>
          </c:val>
        </c:ser>
        <c:dLbls>
          <c:showLegendKey val="0"/>
          <c:showVal val="0"/>
          <c:showCatName val="0"/>
          <c:showSerName val="0"/>
          <c:showPercent val="0"/>
          <c:showBubbleSize val="0"/>
        </c:dLbls>
        <c:gapWidth val="219"/>
        <c:overlap val="-27"/>
        <c:axId val="305324448"/>
        <c:axId val="305318568"/>
      </c:barChart>
      <c:catAx>
        <c:axId val="305324448"/>
        <c:scaling>
          <c:orientation val="minMax"/>
        </c:scaling>
        <c:delete val="0"/>
        <c:axPos val="b"/>
        <c:title>
          <c:tx>
            <c:rich>
              <a:bodyPr/>
              <a:lstStyle/>
              <a:p>
                <a:pPr>
                  <a:defRPr sz="1200" b="0" i="0" u="none" strike="noStrike" kern="1200" spc="0" baseline="0">
                    <a:solidFill>
                      <a:schemeClr val="tx1">
                        <a:lumMod val="65000"/>
                        <a:lumOff val="35000"/>
                      </a:schemeClr>
                    </a:solidFill>
                  </a:defRPr>
                </a:pPr>
                <a:r>
                  <a:rPr sz="1200"/>
                  <a:t>ACSF core skill</a:t>
                </a:r>
              </a:p>
            </c:rich>
          </c:tx>
          <c:layout/>
          <c:overlay val="0"/>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18568"/>
        <c:crosses val="autoZero"/>
        <c:auto val="1"/>
        <c:lblAlgn val="ctr"/>
        <c:lblOffset val="100"/>
        <c:noMultiLvlLbl val="0"/>
      </c:catAx>
      <c:valAx>
        <c:axId val="305318568"/>
        <c:scaling>
          <c:orientation val="minMax"/>
          <c:max val="5"/>
          <c:min val="0"/>
        </c:scaling>
        <c:delete val="0"/>
        <c:axPos val="l"/>
        <c:majorGridlines>
          <c:spPr>
            <a:ln w="9525">
              <a:solidFill>
                <a:schemeClr val="tx1">
                  <a:lumMod val="15000"/>
                  <a:lumOff val="85000"/>
                </a:schemeClr>
              </a:solidFill>
              <a:round/>
            </a:ln>
            <a:effectLst/>
          </c:spPr>
        </c:majorGridlines>
        <c:title>
          <c:tx>
            <c:rich>
              <a:bodyPr/>
              <a:lstStyle/>
              <a:p>
                <a:pPr>
                  <a:defRPr sz="1200" b="0" i="0" u="none" strike="noStrike" kern="1200" spc="0" baseline="0">
                    <a:solidFill>
                      <a:schemeClr val="tx1">
                        <a:lumMod val="65000"/>
                        <a:lumOff val="35000"/>
                      </a:schemeClr>
                    </a:solidFill>
                  </a:defRPr>
                </a:pPr>
                <a:r>
                  <a:rPr sz="1200"/>
                  <a:t>ACSF level</a:t>
                </a:r>
              </a:p>
            </c:rich>
          </c:tx>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24448"/>
        <c:crosses val="autoZero"/>
        <c:crossBetween val="between"/>
        <c:majorUnit val="1"/>
        <c:minorUnit val="1"/>
      </c:valAx>
      <c:spPr>
        <a:noFill/>
        <a:ln>
          <a:noFill/>
        </a:ln>
        <a:effectLst/>
      </c:spPr>
    </c:plotArea>
    <c:legend>
      <c:legendPos val="b"/>
      <c:legendEntry>
        <c:idx val="0"/>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BuildSkills Australia</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CPC33126 Certificate III in Insulation Installation</dc:title>
  <dc:subject>Release: 1</dc:subject>
  <dc:creator>BuildSkills Australia</dc:creator>
  <cp:keywords>TPC v2.24.0-beta.1+1955.Branch.releases-2026-03-25-V1.Sha.8fda56e1cc08dba86aabe957c7bf80ed61bc0e74.8fda56e1cc08dba86aabe957c7bf80ed61bc0e74</cp:keywords>
  <cp:lastModifiedBy>TPC</cp:lastModifiedBy>
  <cp:revision>9</cp:revision>
  <dcterms:created xsi:type="dcterms:W3CDTF">2026-04-30T01:59:58Z</dcterms:created>
  <dcterms:modified xsi:type="dcterms:W3CDTF">2026-04-30T01:59:58Z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ies>
</file>