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113C48" w:rsidRPr="00113C48" w:rsidP="00FA4076" w14:paraId="2979BD29" w14:textId="082047C8">
      <w:pPr>
        <w:pStyle w:val="Title-TOCExcluded"/>
        <w:spacing w:before="5200" w:after="120"/>
        <w:sectPr w:rsidSect="00F31508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bookmarkStart w:id="0" w:name="_Toc184217249"/>
      <w:bookmarkStart w:id="1" w:name="_Toc184220964"/>
      <w:r w:rsidRPr="00262572">
        <w:t>CPCLOC3006 Prepare for ground disturbance activity</w:t>
      </w:r>
      <w:bookmarkEnd w:id="0"/>
      <w:bookmarkEnd w:id="1"/>
    </w:p>
    <w:p w:rsidR="00D44002" w:rsidRPr="00F31CE3" w:rsidP="00F31CE3" w14:paraId="160C8F32" w14:textId="3B105B63">
      <w:pPr>
        <w:pStyle w:val="ChapterTitle"/>
      </w:pPr>
      <w:bookmarkStart w:id="2" w:name="CPCLOC3006"/>
      <w:r w:rsidRPr="00F31CE3">
        <w:t>CPCLOC3006 Prepare for ground disturbance activity</w:t>
      </w:r>
    </w:p>
    <w:p w:rsidR="00D44002" w:rsidRPr="00F31CE3" w:rsidP="00F31CE3">
      <w:pPr>
        <w:pStyle w:val="Heading1"/>
      </w:pPr>
      <w:bookmarkEnd w:id="2"/>
      <w:r w:rsidRPr="00F31CE3">
        <w:t>Modification History</w:t>
      </w:r>
    </w:p>
    <w:tbl>
      <w:tblPr>
        <w:tblStyle w:val="TableGrid"/>
        <w:tblW w:w="5000" w:type="pct"/>
        <w:jc w:val="left"/>
      </w:tblPr>
      <w:tblGrid>
        <w:gridCol w:w="1599"/>
        <w:gridCol w:w="7461"/>
      </w:tblGrid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Release</w:t>
            </w:r>
          </w:p>
        </w:tc>
        <w:tc>
          <w:tcPr>
            <w:tcW w:w="7470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1</w:t>
            </w:r>
          </w:p>
        </w:tc>
        <w:tc>
          <w:tcPr>
            <w:tcW w:w="7470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unit of competency was first released in CPC Construction, Plumbing and Services Training Package Release 11.0.</w:t>
            </w:r>
          </w:p>
        </w:tc>
      </w:tr>
    </w:tbl>
    <w:p w:rsidR="00D44002" w:rsidRPr="00F31CE3" w:rsidP="00F31CE3">
      <w:pPr>
        <w:pStyle w:val="Heading1"/>
      </w:pPr>
      <w:r w:rsidRPr="00F31CE3">
        <w:t>Application</w:t>
      </w:r>
    </w:p>
    <w:p w:rsidR="00D44002" w:rsidRPr="00F31CE3" w:rsidP="00F31CE3">
      <w:r w:rsidRPr="00F31CE3">
        <w:t>This unit describes the skills and knowledge required to prepare for ground disturbance activity.</w:t>
      </w:r>
    </w:p>
    <w:p w:rsidR="00D44002" w:rsidRPr="00F31CE3" w:rsidP="00F31CE3">
      <w:r w:rsidRPr="00F31CE3">
        <w:t>It applies to those working in operational roles that impact upon utility location. They generally work under supervision and will be introduced to ground disturbance.</w:t>
      </w:r>
    </w:p>
    <w:p w:rsidR="00D44002" w:rsidRPr="00F31CE3" w:rsidP="00F31CE3">
      <w:r w:rsidRPr="00F31CE3">
        <w:t>No licensing, legislative or certification requirements apply to this unit at the time of publication.</w:t>
      </w:r>
    </w:p>
    <w:p w:rsidR="00D44002" w:rsidRPr="00F31CE3" w:rsidP="00F31CE3">
      <w:pPr>
        <w:pStyle w:val="Heading1"/>
      </w:pPr>
      <w:r w:rsidRPr="00F31CE3">
        <w:t>Licensing/Regulatory Information</w:t>
      </w:r>
    </w:p>
    <w:p w:rsidR="00D44002" w:rsidRPr="00F31CE3" w:rsidP="00F31CE3">
      <w:r w:rsidRPr="00F31CE3">
        <w:t>No licensing, legislative or certification requirements apply to this unit at the time of publication.</w:t>
      </w:r>
    </w:p>
    <w:p w:rsidR="00D44002" w:rsidRPr="00F31CE3" w:rsidP="00F31CE3">
      <w:pPr>
        <w:pStyle w:val="Heading1"/>
      </w:pPr>
      <w:r w:rsidRPr="00F31CE3">
        <w:t>Pre-requisite unit(s)</w:t>
      </w:r>
    </w:p>
    <w:p w:rsidR="00D44002" w:rsidRPr="00F31CE3" w:rsidP="00F31CE3">
      <w:r w:rsidRPr="00F31CE3">
        <w:t>No pre-requisite units</w:t>
      </w:r>
    </w:p>
    <w:p w:rsidR="00D44002" w:rsidRPr="00F31CE3" w:rsidP="00F31CE3">
      <w:pPr>
        <w:pStyle w:val="Heading1"/>
      </w:pPr>
      <w:r w:rsidRPr="00F31CE3">
        <w:t>Competency field(s)</w:t>
      </w:r>
    </w:p>
    <w:p w:rsidR="00D44002" w:rsidRPr="00F31CE3" w:rsidP="00F31CE3">
      <w:r w:rsidRPr="00F31CE3">
        <w:t>Ground Disturbance</w:t>
      </w:r>
    </w:p>
    <w:p w:rsidR="00D44002" w:rsidRPr="00F31CE3" w:rsidP="00F31CE3">
      <w:pPr>
        <w:pStyle w:val="Heading1"/>
      </w:pPr>
      <w:r w:rsidRPr="00F31CE3">
        <w:t>Unit sector(s)</w:t>
      </w:r>
    </w:p>
    <w:p w:rsidR="00D44002" w:rsidRPr="00F31CE3" w:rsidP="00F31CE3">
      <w:r w:rsidRPr="00F31CE3">
        <w:t>Construction</w:t>
      </w:r>
    </w:p>
    <w:p w:rsidR="00D44002" w:rsidRPr="00F31CE3" w:rsidP="00F31CE3">
      <w:pPr>
        <w:pStyle w:val="Heading1"/>
      </w:pPr>
      <w:r w:rsidRPr="00F31CE3">
        <w:t>Elements and Performance Criteria</w:t>
      </w:r>
    </w:p>
    <w:tbl>
      <w:tblPr>
        <w:tblStyle w:val="TableGrid"/>
        <w:tblW w:w="5000" w:type="pct"/>
        <w:jc w:val="left"/>
      </w:tblPr>
      <w:tblGrid>
        <w:gridCol w:w="3173"/>
        <w:gridCol w:w="5887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  <w:rPr>
                <w:b/>
                <w:bCs/>
              </w:rPr>
            </w:pPr>
            <w:r w:rsidRPr="00F31CE3">
              <w:rPr>
                <w:rStyle w:val="Strong"/>
              </w:rPr>
              <w:t>Elements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  <w:rPr>
                <w:b/>
                <w:bCs/>
              </w:rPr>
            </w:pPr>
            <w:r w:rsidRPr="00F31CE3">
              <w:rPr>
                <w:rStyle w:val="Strong"/>
              </w:rPr>
              <w:t>    Performance Criteria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rPr>
                <w:i/>
                <w:iCs/>
              </w:rPr>
              <w:t>Elements describe the essential outcomes.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rPr>
                <w:i/>
                <w:iCs/>
              </w:rPr>
              <w:t>    Performance criteria describe the performance needed to demonstrate achievement of the element.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1. Identify activity that is classified as ground disturbance. 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1.1 Identify activity that entails moving, removing or penetrating the earth’s surface.</w:t>
            </w:r>
          </w:p>
          <w:p w:rsidR="00D44002" w:rsidRPr="00F31CE3" w:rsidP="00F31CE3">
            <w:r w:rsidRPr="00F31CE3">
              <w:t>1.2 Identify activity that may cause ground disturbance issues and challenges.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2. Determine ground disturbance compliance and communication requirements. 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2.1 Identify Australian standards that relate to ground disturbance activity.   </w:t>
            </w:r>
          </w:p>
          <w:p w:rsidR="00D44002" w:rsidRPr="00F31CE3" w:rsidP="00F31CE3">
            <w:r w:rsidRPr="00F31CE3">
              <w:t>2.2 Determine the utility providers’ information and Duty of Care requirements.</w:t>
            </w:r>
          </w:p>
          <w:p w:rsidR="00D44002" w:rsidRPr="00F31CE3" w:rsidP="00F31CE3">
            <w:r w:rsidRPr="00F31CE3">
              <w:t>2.3 Identify utility owner/operators’ responsibilities.</w:t>
            </w:r>
          </w:p>
          <w:p w:rsidR="00D44002" w:rsidRPr="00F31CE3" w:rsidP="00F31CE3">
            <w:r w:rsidRPr="00F31CE3">
              <w:t>2.4 Identify procedures for obtaining and managing permits, authorisations, utility plans and specific owner/operator instructions relevant to the site.</w:t>
            </w:r>
          </w:p>
          <w:p w:rsidR="00D44002" w:rsidRPr="00F31CE3" w:rsidP="00F31CE3">
            <w:r w:rsidRPr="00F31CE3">
              <w:t>2.5 Determine effective communication requirements with utility owner/operators, supervisors, team members and the general public to coordinate activities so as to ensure safety and compliance.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3. Access plans for ground disturbance activity.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3.1 Assess what type of excavation or disturbance should take place.</w:t>
            </w:r>
          </w:p>
          <w:p w:rsidR="00D44002" w:rsidRPr="00F31CE3" w:rsidP="00F31CE3">
            <w:r w:rsidRPr="00F31CE3">
              <w:t>3.2 Determine the features of the locate site and the specific ground disturbance requirements in terms of the nature of the work, area and depth.</w:t>
            </w:r>
          </w:p>
          <w:p w:rsidR="00D44002" w:rsidRPr="00F31CE3" w:rsidP="00F31CE3">
            <w:r w:rsidRPr="00F31CE3">
              <w:t>3.3 Access relevant plan formats from the utility owner/operators or supporting organisations.</w:t>
            </w:r>
          </w:p>
          <w:p w:rsidR="00D44002" w:rsidRPr="00F31CE3" w:rsidP="00F31CE3">
            <w:r w:rsidRPr="00F31CE3">
              <w:t>3.4 Access and interpret different quality levels (QL) when marking services in accordance with the Australian standards.</w:t>
            </w:r>
          </w:p>
          <w:p w:rsidR="00D44002" w:rsidRPr="00F31CE3" w:rsidP="00F31CE3">
            <w:r w:rsidRPr="00F31CE3">
              <w:t>3.5 Determine what equipment will be used considering the terrain, vegetation, overhead obstructions and nearby infrastructure.</w:t>
            </w:r>
          </w:p>
          <w:p w:rsidR="00D44002" w:rsidRPr="00F31CE3" w:rsidP="00F31CE3">
            <w:r w:rsidRPr="00F31CE3">
              <w:t>3.6 Identify work health and safety (WHS) requirements and personal protective equipment (PPE) requirements.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4. Identify the risk factors in ground disturbance activity.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4.1 Identify potential risks and hazards in the plans for the locate site by referring to past work records and available geotechnical reports.</w:t>
            </w:r>
          </w:p>
          <w:p w:rsidR="00D44002" w:rsidRPr="00F31CE3" w:rsidP="00F31CE3">
            <w:r w:rsidRPr="00F31CE3">
              <w:t>4.2 Assess the likelihood of contact with underground facilities and the consequence of damage.</w:t>
            </w:r>
          </w:p>
          <w:p w:rsidR="00D44002" w:rsidRPr="00F31CE3" w:rsidP="00F31CE3">
            <w:r w:rsidRPr="00F31CE3">
              <w:t>4.3 Plan risk mitigation by choosing safe work methods.</w:t>
            </w:r>
          </w:p>
          <w:p w:rsidR="00D44002" w:rsidRPr="00F31CE3" w:rsidP="00F31CE3">
            <w:r w:rsidRPr="00F31CE3">
              <w:t>4.4 Determine safety exclusion zone requirements in line with utility owner/operator instructions.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5. Determine operational ground disturbance requirements.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5.1 Determine worksite and scope of works from plan to actual locate site.</w:t>
            </w:r>
          </w:p>
          <w:p w:rsidR="00D44002" w:rsidRPr="00F31CE3" w:rsidP="00F31CE3">
            <w:r w:rsidRPr="00F31CE3">
              <w:t>5.2 Identify Australian standard QL marking service requirements.</w:t>
            </w:r>
          </w:p>
          <w:p w:rsidR="00D44002" w:rsidRPr="00F31CE3" w:rsidP="00F31CE3">
            <w:r w:rsidRPr="00F31CE3">
              <w:t>5.3 Identify Australian standard utility location colour codes for the different utilities.</w:t>
            </w:r>
          </w:p>
          <w:p w:rsidR="00D44002" w:rsidRPr="00F31CE3" w:rsidP="00F31CE3">
            <w:r w:rsidRPr="00F31CE3">
              <w:t>5.4 Identify environmental protection requirements for the task.</w:t>
            </w:r>
          </w:p>
          <w:p w:rsidR="00D44002" w:rsidRPr="00F31CE3" w:rsidP="00F31CE3">
            <w:r w:rsidRPr="00F31CE3">
              <w:t>5.5 Identify different assets objects from plan to actual locate site.</w:t>
            </w:r>
          </w:p>
          <w:p w:rsidR="00D44002" w:rsidRPr="00F31CE3" w:rsidP="00F31CE3">
            <w:r w:rsidRPr="00F31CE3">
              <w:t>5.6 Identify unknown or unregistered assets in the locate site area. 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6. Identify documentation and reporting requirements.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6.1 Identify requirements for maintaining accurate records of ground disturbance activities in accordance with workplace procedures.</w:t>
            </w:r>
          </w:p>
          <w:p w:rsidR="00D44002" w:rsidRPr="00F31CE3" w:rsidP="00F31CE3">
            <w:r w:rsidRPr="00F31CE3">
              <w:t>6.2 Identify procedures for reporting incidents and hazards.</w:t>
            </w:r>
          </w:p>
          <w:p w:rsidR="00D44002" w:rsidRPr="00F31CE3" w:rsidP="00F31CE3">
            <w:r w:rsidRPr="00F31CE3">
              <w:t>6.3 Determine procedures for reporting ground disturbance activity and who to report to.</w:t>
            </w:r>
          </w:p>
        </w:tc>
      </w:tr>
    </w:tbl>
    <w:p w:rsidR="00D44002" w:rsidRPr="00F31CE3" w:rsidP="00F31CE3">
      <w:r w:rsidRPr="00F31CE3">
        <w:t> </w:t>
      </w:r>
    </w:p>
    <w:p w:rsidR="00D44002" w:rsidRPr="00F31CE3" w:rsidP="00F31CE3">
      <w:pPr>
        <w:pStyle w:val="Heading1"/>
      </w:pPr>
      <w:r w:rsidRPr="00F31CE3">
        <w:t>Foundation skills</w:t>
      </w:r>
    </w:p>
    <w:p w:rsidR="00D44002" w:rsidRPr="00F31CE3" w:rsidP="00F31CE3">
      <w:r w:rsidRPr="00F31CE3">
        <w:rPr>
          <w:i/>
          <w:iCs/>
        </w:rPr>
        <w:t>This section describes those language, literacy, numeracy and employment skills that are essential to performance but not explicit in the performance criteria.</w:t>
      </w:r>
    </w:p>
    <w:tbl>
      <w:tblPr>
        <w:tblStyle w:val="TableGrid"/>
        <w:tblW w:w="5000" w:type="pct"/>
        <w:jc w:val="left"/>
      </w:tblPr>
      <w:tblGrid>
        <w:gridCol w:w="1955"/>
        <w:gridCol w:w="7105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  <w:rPr>
                <w:b/>
                <w:bCs/>
              </w:rPr>
            </w:pPr>
            <w:r w:rsidRPr="00F31CE3">
              <w:rPr>
                <w:b/>
                <w:bCs/>
              </w:rPr>
              <w:t>Skill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  <w:rPr>
                <w:b/>
                <w:bCs/>
              </w:rPr>
            </w:pPr>
            <w:r w:rsidRPr="00F31CE3">
              <w:rPr>
                <w:b/>
                <w:bCs/>
              </w:rPr>
              <w:t>Description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Numeracy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Estimates tolerances of plan details and equipment.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Oral communication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Clarifies details and reports problems and/or hazards to a supervisor or service and/or utility owner/operator.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Reading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Identifies and interprets information from at times complex workplace procedures, documentation, legislation and regulations.</w:t>
            </w:r>
          </w:p>
        </w:tc>
      </w:tr>
    </w:tbl>
    <w:p w:rsidR="00D44002" w:rsidRPr="00F31CE3" w:rsidP="00F31CE3">
      <w:pPr>
        <w:pStyle w:val="Heading1"/>
      </w:pPr>
      <w:r w:rsidRPr="00F31CE3">
        <w:t>Range of conditions</w:t>
      </w:r>
    </w:p>
    <w:p w:rsidR="00D44002" w:rsidRPr="00F31CE3" w:rsidP="00F31CE3">
      <w:r w:rsidRPr="00F31CE3">
        <w:t>N/A</w:t>
      </w:r>
    </w:p>
    <w:p w:rsidR="00D44002" w:rsidRPr="00F31CE3" w:rsidP="00F31CE3">
      <w:pPr>
        <w:sectPr w:rsidSect="00F315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:rsidR="00D44002" w:rsidRPr="00F31CE3" w:rsidP="00F31CE3" w14:textId="3B105B63">
      <w:pPr>
        <w:pStyle w:val="ChapterTitle"/>
      </w:pPr>
      <w:bookmarkStart w:id="3" w:name="CPCLOC3006_AR"/>
      <w:r w:rsidRPr="00F31CE3">
        <w:t>Assessment Requirements for CPCLOC3006 Prepare for ground disturbance activity</w:t>
      </w:r>
    </w:p>
    <w:p w:rsidR="00D44002" w:rsidRPr="00F31CE3" w:rsidP="00F31CE3">
      <w:pPr>
        <w:pStyle w:val="Heading1"/>
      </w:pPr>
      <w:bookmarkEnd w:id="3"/>
      <w:r w:rsidRPr="00F31CE3">
        <w:t>Performance Evidence</w:t>
      </w:r>
    </w:p>
    <w:p w:rsidR="00D44002" w:rsidRPr="00F31CE3" w:rsidP="00F31CE3">
      <w:r w:rsidRPr="00F31CE3">
        <w:t>The candidate must demonstrate the ability to complete the tasks outlined in the elements, performance criteria and foundation skills of this unit, including evidence of the ability to:</w:t>
      </w:r>
    </w:p>
    <w:p w:rsidR="00D44002" w:rsidRPr="00F31CE3" w:rsidP="00F31CE3">
      <w:pPr>
        <w:numPr>
          <w:ilvl w:val="0"/>
          <w:numId w:val="2"/>
        </w:numPr>
        <w:ind w:left="720" w:hanging="360"/>
        <w:jc w:val="left"/>
      </w:pPr>
      <w:r w:rsidRPr="00F31CE3">
        <w:t>identify activity that is classified as ground disturbance and outline the following requirements associated with ground disturbance activity on two occasions for two sites with different conditions.</w:t>
      </w:r>
    </w:p>
    <w:p w:rsidR="00D44002" w:rsidRPr="00F31CE3" w:rsidP="00F31CE3">
      <w:pPr>
        <w:jc w:val="both"/>
      </w:pPr>
      <w:r w:rsidRPr="00F31CE3">
        <w:t>During the above, the candidate must identify the following aspects of ground disturbance activity: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utility plans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compliance with Australian standard requirements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operational requirements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risk factors and environmental hazards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work health and safety (WHS) requirements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communication processes with relevant personnel, owner/operators and the general public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equipment use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documentation requirements.</w:t>
      </w:r>
    </w:p>
    <w:p w:rsidR="00D44002" w:rsidRPr="00F31CE3" w:rsidP="00F31CE3">
      <w:pPr>
        <w:pStyle w:val="Heading1"/>
      </w:pPr>
      <w:r w:rsidRPr="00F31CE3">
        <w:t>Knowledge Evidence</w:t>
      </w:r>
    </w:p>
    <w:p w:rsidR="00D44002" w:rsidRPr="00F31CE3" w:rsidP="00F31CE3">
      <w:r w:rsidRPr="00F31CE3">
        <w:t>The candidate must be able to demonstrate knowledge to complete the tasks outlined in the elements, performance criteria and foundation skills of this unit, including knowledge of: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ground disturbance activity, including: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mechanical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manual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vertical and horizontal drilling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non-destructive digging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load bearing equipment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equipment including: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marking equipment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tools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locating equipment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safety features of personal protective equipment (PPE), and when and how it should be used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key indicators of work quality and accuracy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 utility types associated with ground disturbance hazards, including: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communication and data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electricity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water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sewer and drainage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gas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petroleum and chemical pipelines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other specialised or local infrastructure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key risks/hazards relating to underground utility services, including those associated with: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traffic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asbestos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contaminated waste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confined spaces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falls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locating near other works in progress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manual handling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ground stability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environmental hazards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communication requirements for ground disturbance, including: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with owner/operators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general public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relevant personnel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key ground disturbance standards, policies and procedures, legislation and established requirements for identifying, locating and protecting underground services, including those for: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compliance with Australian standards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Australian quality levels (QL)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locate site plans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operating and maintaining equipment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fault checking and checking for calibration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marking underground asset locations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obtaining emergency numbers and contact details of service and utility owner/operators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obtaining and preparing information required from utility owner/operators and supporting organisations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damage to services and utilities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unknown or unregistered assets.</w:t>
      </w:r>
    </w:p>
    <w:p w:rsidR="00D44002" w:rsidRPr="00F31CE3" w:rsidP="00F31CE3">
      <w:pPr>
        <w:pStyle w:val="Heading1"/>
      </w:pPr>
      <w:r w:rsidRPr="00F31CE3">
        <w:t>Assessment Conditions</w:t>
      </w:r>
    </w:p>
    <w:p w:rsidR="00D44002" w:rsidRPr="00F31CE3" w:rsidP="00F31CE3">
      <w:r w:rsidRPr="00F31CE3">
        <w:t>Assessors must satisfy the requirements for assessors contained in the Standards for Registered Training Organisations.</w:t>
      </w:r>
    </w:p>
    <w:p w:rsidR="00D44002" w:rsidRPr="00F31CE3" w:rsidP="00F31CE3">
      <w:r w:rsidRPr="00F31CE3">
        <w:t>Assessment of performance must be undertaken in the workplace or in a simulated workplace environment.</w:t>
      </w:r>
    </w:p>
    <w:p w:rsidR="00D44002" w:rsidRPr="00F31CE3" w:rsidP="00F31CE3">
      <w:r w:rsidRPr="00F31CE3">
        <w:t>Assessors are responsible for ensuring that the candidate demonstrating competency has access to: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Australian Standards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ground disturbance standards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appropriate site, documents, equipment and personal protective equipment (PPE) currently used in industry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requirements of workplace policies, procedures and plans.</w:t>
      </w:r>
    </w:p>
    <w:p w:rsidR="00D44002" w:rsidRPr="00F31CE3" w:rsidP="00F31CE3">
      <w:r w:rsidRPr="00F31CE3">
        <w:t> </w:t>
      </w:r>
    </w:p>
    <w:p w:rsidR="00D44002" w:rsidRPr="00F31CE3" w:rsidP="00F31CE3">
      <w:pPr>
        <w:pStyle w:val="Heading1"/>
      </w:pPr>
      <w:r w:rsidRPr="00F31CE3">
        <w:t>Mandatory Workplace Requirements</w:t>
      </w:r>
    </w:p>
    <w:p w:rsidR="00D44002" w:rsidRPr="00F31CE3" w:rsidP="00F31CE3">
      <w:r w:rsidRPr="00F31CE3">
        <w:t>Assessment of performance evidence may be in a workplace setting or an environment that accurately represents a real workplace.</w:t>
      </w:r>
    </w:p>
    <w:p w:rsidR="00D44002" w:rsidRPr="00F31CE3" w:rsidP="00F31CE3">
      <w:pPr>
        <w:pStyle w:val="Heading1"/>
      </w:pPr>
      <w:r w:rsidRPr="00F31CE3">
        <w:t>Unit Mapping Information</w:t>
      </w:r>
    </w:p>
    <w:tbl>
      <w:tblPr>
        <w:tblStyle w:val="TableGrid"/>
        <w:tblW w:w="5000" w:type="pct"/>
        <w:jc w:val="left"/>
      </w:tblPr>
      <w:tblGrid>
        <w:gridCol w:w="3020"/>
        <w:gridCol w:w="3020"/>
        <w:gridCol w:w="3020"/>
      </w:tblGrid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>Previous Code and Title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Equivalence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 xml:space="preserve"> 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Newly created</w:t>
            </w:r>
          </w:p>
        </w:tc>
        <w:tc>
          <w:tcPr>
            <w:tcW w:w="3023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unit has been created to address a skill or task required by industry that is not covered by an existing unit of competency</w:t>
            </w:r>
          </w:p>
        </w:tc>
      </w:tr>
    </w:tbl>
    <w:p w:rsidR="00D44002" w:rsidRPr="00F31CE3" w:rsidP="00F31CE3">
      <w:pPr>
        <w:pStyle w:val="Heading1"/>
      </w:pPr>
      <w:r w:rsidRPr="00F31CE3">
        <w:t>Links</w:t>
      </w:r>
    </w:p>
    <w:p w:rsidR="00D44002" w:rsidRPr="00F31CE3" w:rsidP="00F31CE3">
      <w:r w:rsidRPr="00F31CE3">
        <w:t xml:space="preserve">Companion volumes, including implementation guides, are found on the national training register - </w:t>
      </w:r>
      <w:hyperlink r:id="rId15" w:history="1">
        <w:r w:rsidRPr="00F31CE3">
          <w:rPr>
            <w:rStyle w:val="Hyperlink"/>
          </w:rPr>
          <w:t>https://training.gov.au/training/details/CPC</w:t>
        </w:r>
      </w:hyperlink>
      <w:r w:rsidRPr="00F31CE3">
        <w:t>.</w:t>
      </w:r>
    </w:p>
    <w:p w:rsidR="00D44002" w:rsidRPr="00F31CE3" w:rsidP="00F31CE3"/>
    <w:sectPr w:rsidSect="00F315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RPr="00FA4076" w:rsidP="00FA4076" w14:paraId="4A580142" w14:textId="77777777">
    <w:pPr>
      <w:pStyle w:val="Footer"/>
    </w:pPr>
    <w:r w:rsidRPr="00E53E67">
      <w:rPr>
        <w:b/>
        <w:bCs/>
        <w:sz w:val="20"/>
        <w:szCs w:val="20"/>
      </w:rPr>
      <w:t xml:space="preserve">Release: </w:t>
    </w:r>
    <w:r w:rsidRPr="00E53E67">
      <w:rPr>
        <w:b/>
        <w:bCs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42B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paraId="095EFEC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7</w:t>
    </w:r>
    <w:r>
      <w:rPr>
        <w:sz w:val="16"/>
        <w:szCs w:val="16"/>
      </w:rPr>
      <w:fldChar w:fldCharType="end"/>
    </w:r>
  </w:p>
  <w:p w:rsidR="00F27B0A" w:rsidP="00F27B0A" w14:paraId="2EC2BA9B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0937DF4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7</w:t>
    </w:r>
    <w:r>
      <w:rPr>
        <w:sz w:val="16"/>
        <w:szCs w:val="16"/>
      </w:rPr>
      <w:fldChar w:fldCharType="end"/>
    </w:r>
  </w:p>
  <w:p w:rsidR="00F27B0A" w:rsidP="00F27B0A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51" type="#_x0000_t136" style="width:429.38pt;height:195.31pt;margin-top:0;margin-left:0;mso-position-horizontal:center;mso-position-horizontal-relative:margin;mso-position-vertical:center;mso-position-vertical-relative:margin;position:absolute;rotation:315;z-index:-251656192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P="00FA4076" w14:paraId="2756F965" w14:textId="1F82DF94">
    <w:pPr>
      <w:pStyle w:val="Header"/>
      <w:jc w:val="center"/>
    </w:pPr>
    <w:r>
      <w:rPr>
        <w:noProof/>
      </w:rPr>
      <w:drawing>
        <wp:inline distT="0" distB="0" distL="0" distR="0">
          <wp:extent cx="2066667" cy="1076190"/>
          <wp:effectExtent l="0" t="0" r="0" b="0"/>
          <wp:docPr id="157258386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83867" name="Picture 1" descr="Australian Government Crest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5" o:spid="_x0000_s2049" type="#_x0000_t136" style="width:429.38pt;height:195.31pt;margin-top:0;margin-left:0;mso-position-horizontal:center;mso-position-horizontal-relative:margin;mso-position-vertical:center;mso-position-vertical-relative:margin;position:absolute;rotation:315;z-index:-25165824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0" type="#_x0000_t136" style="width:429.38pt;height:195.31pt;margin-top:0;margin-left:0;mso-position-horizontal:center;mso-position-horizontal-relative:margin;mso-position-vertical:center;mso-position-vertical-relative:margin;position:absolute;rotation:315;z-index:-251657216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60696BB4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2" type="#_x0000_t136" style="width:429.38pt;height:195.31pt;margin-top:0;margin-left:0;mso-position-horizontal:center;mso-position-horizontal-relative:margin;mso-position-vertical:center;mso-position-vertical-relative:margin;position:absolute;rotation:315;z-index:-251655168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paraId="05DA8F9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CPCLOC3006 Prepare for ground disturbance activity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29 April 2026</w:t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8" o:spid="_x0000_s2053" type="#_x0000_t136" style="width:429.38pt;height:195.31pt;margin-top:0;margin-left:0;mso-position-horizontal:center;mso-position-horizontal-relative:margin;mso-position-vertical:center;mso-position-vertical-relative:margin;position:absolute;rotation:315;z-index:-251654144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12A3AE3F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6" o:spid="_x0000_s2054" type="#_x0000_t136" style="width:429.38pt;height:195.31pt;margin-top:0;margin-left:0;mso-position-horizontal:center;mso-position-horizontal-relative:margin;mso-position-vertical:center;mso-position-vertical-relative:margin;position:absolute;rotation:315;z-index:-25165312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0" o:spid="_x0000_s2055" type="#_x0000_t136" style="width:429.38pt;height:195.31pt;margin-top:0;margin-left:0;mso-position-horizontal:center;mso-position-horizontal-relative:margin;mso-position-vertical:center;mso-position-vertical-relative:margin;position:absolute;rotation:315;z-index:-251652096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Assessment Requirements for CPCLOC3006 Prepare for ground disturbance activity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29 April 2026</w:t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1" o:spid="_x0000_s2056" type="#_x0000_t136" style="width:429.38pt;height:195.31pt;margin-top:0;margin-left:0;mso-position-horizontal:center;mso-position-horizontal-relative:margin;mso-position-vertical:center;mso-position-vertical-relative:margin;position:absolute;rotation:315;z-index:-251651072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9" o:spid="_x0000_s2057" type="#_x0000_t136" style="width:429.38pt;height:195.31pt;margin-top:0;margin-left:0;mso-position-horizontal:center;mso-position-horizontal-relative:margin;mso-position-vertical:center;mso-position-vertical-relative:margin;position:absolute;rotation:315;z-index:-251650048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" w15:restartNumberingAfterBreak="0">
    <w:nsid w:val="665D409A"/>
    <w:multiLevelType w:val="hybridMultilevel"/>
    <w:tmpl w:val="665D4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D409B"/>
    <w:multiLevelType w:val="hybridMultilevel"/>
    <w:tmpl w:val="665D40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65D409C"/>
    <w:multiLevelType w:val="hybridMultilevel"/>
    <w:tmpl w:val="665D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65D409D"/>
    <w:multiLevelType w:val="hybridMultilevel"/>
    <w:tmpl w:val="665D4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24492594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E"/>
    <w:rsid w:val="00001716"/>
    <w:rsid w:val="00003DB6"/>
    <w:rsid w:val="00011C84"/>
    <w:rsid w:val="0002276B"/>
    <w:rsid w:val="00032672"/>
    <w:rsid w:val="00032758"/>
    <w:rsid w:val="00036205"/>
    <w:rsid w:val="00041A6A"/>
    <w:rsid w:val="0004324C"/>
    <w:rsid w:val="00043658"/>
    <w:rsid w:val="00043FE6"/>
    <w:rsid w:val="00044734"/>
    <w:rsid w:val="0006329A"/>
    <w:rsid w:val="00063382"/>
    <w:rsid w:val="000670DA"/>
    <w:rsid w:val="000761A0"/>
    <w:rsid w:val="000934AA"/>
    <w:rsid w:val="0009533A"/>
    <w:rsid w:val="000A3C26"/>
    <w:rsid w:val="000A4105"/>
    <w:rsid w:val="000A6888"/>
    <w:rsid w:val="000B3C8F"/>
    <w:rsid w:val="000B5D56"/>
    <w:rsid w:val="000D392F"/>
    <w:rsid w:val="000D4918"/>
    <w:rsid w:val="000D52E6"/>
    <w:rsid w:val="000E134A"/>
    <w:rsid w:val="000F7257"/>
    <w:rsid w:val="00100960"/>
    <w:rsid w:val="001025D1"/>
    <w:rsid w:val="00102854"/>
    <w:rsid w:val="00104464"/>
    <w:rsid w:val="0010497C"/>
    <w:rsid w:val="00112439"/>
    <w:rsid w:val="001139F8"/>
    <w:rsid w:val="00113C48"/>
    <w:rsid w:val="001279EF"/>
    <w:rsid w:val="00155E51"/>
    <w:rsid w:val="001639BB"/>
    <w:rsid w:val="00164298"/>
    <w:rsid w:val="0017445A"/>
    <w:rsid w:val="00174B3C"/>
    <w:rsid w:val="00187F7F"/>
    <w:rsid w:val="00190EA1"/>
    <w:rsid w:val="00197ABF"/>
    <w:rsid w:val="001A3FC6"/>
    <w:rsid w:val="001B0586"/>
    <w:rsid w:val="001B2903"/>
    <w:rsid w:val="001B3FB2"/>
    <w:rsid w:val="001B64A1"/>
    <w:rsid w:val="001B76F4"/>
    <w:rsid w:val="001C11F8"/>
    <w:rsid w:val="001C6F51"/>
    <w:rsid w:val="001C71B5"/>
    <w:rsid w:val="001D7B20"/>
    <w:rsid w:val="001E36D4"/>
    <w:rsid w:val="001F08C6"/>
    <w:rsid w:val="001F65FC"/>
    <w:rsid w:val="002103C0"/>
    <w:rsid w:val="00211A8C"/>
    <w:rsid w:val="00213466"/>
    <w:rsid w:val="00222E93"/>
    <w:rsid w:val="00226877"/>
    <w:rsid w:val="00227BD4"/>
    <w:rsid w:val="00246CE0"/>
    <w:rsid w:val="00262572"/>
    <w:rsid w:val="0026375B"/>
    <w:rsid w:val="002644C1"/>
    <w:rsid w:val="00266B3B"/>
    <w:rsid w:val="00266C4D"/>
    <w:rsid w:val="002807FD"/>
    <w:rsid w:val="00282869"/>
    <w:rsid w:val="002869A9"/>
    <w:rsid w:val="002A002E"/>
    <w:rsid w:val="002A5613"/>
    <w:rsid w:val="002B6140"/>
    <w:rsid w:val="002C1A16"/>
    <w:rsid w:val="002C2B22"/>
    <w:rsid w:val="002D4A04"/>
    <w:rsid w:val="002E425A"/>
    <w:rsid w:val="002E6BE1"/>
    <w:rsid w:val="002E6E27"/>
    <w:rsid w:val="002F4DCD"/>
    <w:rsid w:val="002F6500"/>
    <w:rsid w:val="003030C4"/>
    <w:rsid w:val="0030690A"/>
    <w:rsid w:val="003069B6"/>
    <w:rsid w:val="00330352"/>
    <w:rsid w:val="00346FFB"/>
    <w:rsid w:val="00351D9D"/>
    <w:rsid w:val="003571B9"/>
    <w:rsid w:val="00370B77"/>
    <w:rsid w:val="00380794"/>
    <w:rsid w:val="00381B18"/>
    <w:rsid w:val="003820E9"/>
    <w:rsid w:val="00382DF4"/>
    <w:rsid w:val="0038530E"/>
    <w:rsid w:val="00385C31"/>
    <w:rsid w:val="003B286B"/>
    <w:rsid w:val="003B39E2"/>
    <w:rsid w:val="003D175E"/>
    <w:rsid w:val="003E4545"/>
    <w:rsid w:val="003F26B2"/>
    <w:rsid w:val="003F3D1F"/>
    <w:rsid w:val="003F615F"/>
    <w:rsid w:val="00403B2B"/>
    <w:rsid w:val="00404AE8"/>
    <w:rsid w:val="004235DB"/>
    <w:rsid w:val="0042688C"/>
    <w:rsid w:val="00431CBB"/>
    <w:rsid w:val="00432B22"/>
    <w:rsid w:val="004368AF"/>
    <w:rsid w:val="00441958"/>
    <w:rsid w:val="00454D3D"/>
    <w:rsid w:val="00457698"/>
    <w:rsid w:val="004726B8"/>
    <w:rsid w:val="0047638B"/>
    <w:rsid w:val="004832B7"/>
    <w:rsid w:val="00490D5E"/>
    <w:rsid w:val="00492374"/>
    <w:rsid w:val="00497944"/>
    <w:rsid w:val="004B00D0"/>
    <w:rsid w:val="004B18E5"/>
    <w:rsid w:val="004B20E2"/>
    <w:rsid w:val="004B23A7"/>
    <w:rsid w:val="004C2B1A"/>
    <w:rsid w:val="004D10E5"/>
    <w:rsid w:val="004D1A81"/>
    <w:rsid w:val="004E290E"/>
    <w:rsid w:val="004F165C"/>
    <w:rsid w:val="004F1795"/>
    <w:rsid w:val="00500FFC"/>
    <w:rsid w:val="00501C36"/>
    <w:rsid w:val="005067E8"/>
    <w:rsid w:val="00512FF0"/>
    <w:rsid w:val="00513126"/>
    <w:rsid w:val="00516904"/>
    <w:rsid w:val="005219D8"/>
    <w:rsid w:val="00522E1A"/>
    <w:rsid w:val="00524DAA"/>
    <w:rsid w:val="005355BA"/>
    <w:rsid w:val="00542D25"/>
    <w:rsid w:val="0054353E"/>
    <w:rsid w:val="005503CB"/>
    <w:rsid w:val="00560137"/>
    <w:rsid w:val="00564561"/>
    <w:rsid w:val="005663F8"/>
    <w:rsid w:val="0056754A"/>
    <w:rsid w:val="00572299"/>
    <w:rsid w:val="005743C4"/>
    <w:rsid w:val="005871AF"/>
    <w:rsid w:val="00593918"/>
    <w:rsid w:val="005A2B1D"/>
    <w:rsid w:val="005B33BC"/>
    <w:rsid w:val="005B543F"/>
    <w:rsid w:val="005B7A74"/>
    <w:rsid w:val="005C16AE"/>
    <w:rsid w:val="005C4CC6"/>
    <w:rsid w:val="005D2B3F"/>
    <w:rsid w:val="005E3CC2"/>
    <w:rsid w:val="005E7A34"/>
    <w:rsid w:val="005F118A"/>
    <w:rsid w:val="005F40E1"/>
    <w:rsid w:val="005F489F"/>
    <w:rsid w:val="005F6F5B"/>
    <w:rsid w:val="00614E9C"/>
    <w:rsid w:val="006161E3"/>
    <w:rsid w:val="006170D3"/>
    <w:rsid w:val="00621CBC"/>
    <w:rsid w:val="0062273A"/>
    <w:rsid w:val="006301FF"/>
    <w:rsid w:val="00630517"/>
    <w:rsid w:val="00635D48"/>
    <w:rsid w:val="00637A3D"/>
    <w:rsid w:val="006600D1"/>
    <w:rsid w:val="0066407A"/>
    <w:rsid w:val="006705FA"/>
    <w:rsid w:val="00674A8A"/>
    <w:rsid w:val="0067722C"/>
    <w:rsid w:val="00677884"/>
    <w:rsid w:val="00682E9B"/>
    <w:rsid w:val="00684D0F"/>
    <w:rsid w:val="006A43BF"/>
    <w:rsid w:val="006A5202"/>
    <w:rsid w:val="006B5BAE"/>
    <w:rsid w:val="006C1244"/>
    <w:rsid w:val="006D323C"/>
    <w:rsid w:val="006D3EB7"/>
    <w:rsid w:val="006E472E"/>
    <w:rsid w:val="006F06EC"/>
    <w:rsid w:val="006F1DFD"/>
    <w:rsid w:val="006F231B"/>
    <w:rsid w:val="006F3A9E"/>
    <w:rsid w:val="00704250"/>
    <w:rsid w:val="007103AD"/>
    <w:rsid w:val="00712B8A"/>
    <w:rsid w:val="0071575F"/>
    <w:rsid w:val="00726497"/>
    <w:rsid w:val="007351F1"/>
    <w:rsid w:val="00735D94"/>
    <w:rsid w:val="00736341"/>
    <w:rsid w:val="0074423E"/>
    <w:rsid w:val="00751158"/>
    <w:rsid w:val="007519C1"/>
    <w:rsid w:val="00752378"/>
    <w:rsid w:val="00757A0E"/>
    <w:rsid w:val="00761FC7"/>
    <w:rsid w:val="007628C3"/>
    <w:rsid w:val="00773269"/>
    <w:rsid w:val="00774FEA"/>
    <w:rsid w:val="00775E24"/>
    <w:rsid w:val="0078256D"/>
    <w:rsid w:val="00787507"/>
    <w:rsid w:val="00793E01"/>
    <w:rsid w:val="00794E49"/>
    <w:rsid w:val="00794FA5"/>
    <w:rsid w:val="007A1A24"/>
    <w:rsid w:val="007C1BA3"/>
    <w:rsid w:val="007D1B11"/>
    <w:rsid w:val="007D59B6"/>
    <w:rsid w:val="007F18D6"/>
    <w:rsid w:val="007F520C"/>
    <w:rsid w:val="007F6285"/>
    <w:rsid w:val="008108B8"/>
    <w:rsid w:val="00812B70"/>
    <w:rsid w:val="0081463A"/>
    <w:rsid w:val="00814E85"/>
    <w:rsid w:val="00823A11"/>
    <w:rsid w:val="00824604"/>
    <w:rsid w:val="00825426"/>
    <w:rsid w:val="00836A00"/>
    <w:rsid w:val="00847844"/>
    <w:rsid w:val="00862744"/>
    <w:rsid w:val="008649CB"/>
    <w:rsid w:val="00872EBC"/>
    <w:rsid w:val="00874FF7"/>
    <w:rsid w:val="008805C8"/>
    <w:rsid w:val="00882287"/>
    <w:rsid w:val="00883F83"/>
    <w:rsid w:val="008845E8"/>
    <w:rsid w:val="00884D2C"/>
    <w:rsid w:val="00887EFD"/>
    <w:rsid w:val="00894669"/>
    <w:rsid w:val="0089616F"/>
    <w:rsid w:val="00897001"/>
    <w:rsid w:val="00897CB4"/>
    <w:rsid w:val="008A5287"/>
    <w:rsid w:val="008B51CD"/>
    <w:rsid w:val="008B6DCB"/>
    <w:rsid w:val="008C6C7B"/>
    <w:rsid w:val="008F3E52"/>
    <w:rsid w:val="00910A1D"/>
    <w:rsid w:val="009121B0"/>
    <w:rsid w:val="009125CA"/>
    <w:rsid w:val="0091477C"/>
    <w:rsid w:val="009264EB"/>
    <w:rsid w:val="009345F5"/>
    <w:rsid w:val="00936235"/>
    <w:rsid w:val="00950F79"/>
    <w:rsid w:val="00961188"/>
    <w:rsid w:val="00961A5C"/>
    <w:rsid w:val="00964EBF"/>
    <w:rsid w:val="00967B77"/>
    <w:rsid w:val="00970070"/>
    <w:rsid w:val="00971518"/>
    <w:rsid w:val="0097697A"/>
    <w:rsid w:val="00986284"/>
    <w:rsid w:val="00991A5B"/>
    <w:rsid w:val="009926F6"/>
    <w:rsid w:val="00992FD5"/>
    <w:rsid w:val="00996622"/>
    <w:rsid w:val="009A5BA7"/>
    <w:rsid w:val="009A6430"/>
    <w:rsid w:val="009B0979"/>
    <w:rsid w:val="009B7E04"/>
    <w:rsid w:val="009C0105"/>
    <w:rsid w:val="009D0860"/>
    <w:rsid w:val="009E40FF"/>
    <w:rsid w:val="009E6DC5"/>
    <w:rsid w:val="009F22CE"/>
    <w:rsid w:val="00A06DAE"/>
    <w:rsid w:val="00A11C08"/>
    <w:rsid w:val="00A1681D"/>
    <w:rsid w:val="00A20013"/>
    <w:rsid w:val="00A26181"/>
    <w:rsid w:val="00A32B80"/>
    <w:rsid w:val="00A32F83"/>
    <w:rsid w:val="00A43A63"/>
    <w:rsid w:val="00A574ED"/>
    <w:rsid w:val="00A73A18"/>
    <w:rsid w:val="00A74143"/>
    <w:rsid w:val="00A90BFD"/>
    <w:rsid w:val="00A91052"/>
    <w:rsid w:val="00AA0300"/>
    <w:rsid w:val="00AA168D"/>
    <w:rsid w:val="00AA3131"/>
    <w:rsid w:val="00AB352E"/>
    <w:rsid w:val="00AB36F5"/>
    <w:rsid w:val="00AB3ACF"/>
    <w:rsid w:val="00AD4375"/>
    <w:rsid w:val="00AD5023"/>
    <w:rsid w:val="00AD752D"/>
    <w:rsid w:val="00AD7694"/>
    <w:rsid w:val="00AE5A77"/>
    <w:rsid w:val="00AF08AC"/>
    <w:rsid w:val="00AF21BF"/>
    <w:rsid w:val="00AF38BF"/>
    <w:rsid w:val="00B118FB"/>
    <w:rsid w:val="00B136BC"/>
    <w:rsid w:val="00B1796F"/>
    <w:rsid w:val="00B209D8"/>
    <w:rsid w:val="00B249EE"/>
    <w:rsid w:val="00B31BAE"/>
    <w:rsid w:val="00B329CB"/>
    <w:rsid w:val="00B4103E"/>
    <w:rsid w:val="00B47210"/>
    <w:rsid w:val="00B5364D"/>
    <w:rsid w:val="00B53F2D"/>
    <w:rsid w:val="00B544EB"/>
    <w:rsid w:val="00B62662"/>
    <w:rsid w:val="00B72256"/>
    <w:rsid w:val="00B74DD7"/>
    <w:rsid w:val="00B76710"/>
    <w:rsid w:val="00B818B5"/>
    <w:rsid w:val="00B8457C"/>
    <w:rsid w:val="00B911E4"/>
    <w:rsid w:val="00B950C0"/>
    <w:rsid w:val="00B9610D"/>
    <w:rsid w:val="00BA7986"/>
    <w:rsid w:val="00BB4157"/>
    <w:rsid w:val="00BB4203"/>
    <w:rsid w:val="00BB5487"/>
    <w:rsid w:val="00BC0299"/>
    <w:rsid w:val="00BC0C2F"/>
    <w:rsid w:val="00BC739F"/>
    <w:rsid w:val="00BD6B5A"/>
    <w:rsid w:val="00BE3983"/>
    <w:rsid w:val="00BE44A9"/>
    <w:rsid w:val="00BE4637"/>
    <w:rsid w:val="00BF0323"/>
    <w:rsid w:val="00BF3F89"/>
    <w:rsid w:val="00C002D5"/>
    <w:rsid w:val="00C0142E"/>
    <w:rsid w:val="00C01EDA"/>
    <w:rsid w:val="00C02768"/>
    <w:rsid w:val="00C04A97"/>
    <w:rsid w:val="00C12C67"/>
    <w:rsid w:val="00C14C5E"/>
    <w:rsid w:val="00C24235"/>
    <w:rsid w:val="00C2423E"/>
    <w:rsid w:val="00C25A99"/>
    <w:rsid w:val="00C32154"/>
    <w:rsid w:val="00C538BF"/>
    <w:rsid w:val="00C60C23"/>
    <w:rsid w:val="00C646F2"/>
    <w:rsid w:val="00C660CF"/>
    <w:rsid w:val="00C73758"/>
    <w:rsid w:val="00C83175"/>
    <w:rsid w:val="00C87216"/>
    <w:rsid w:val="00C9219C"/>
    <w:rsid w:val="00C9530A"/>
    <w:rsid w:val="00CA6667"/>
    <w:rsid w:val="00CB3533"/>
    <w:rsid w:val="00CB4607"/>
    <w:rsid w:val="00CC67A9"/>
    <w:rsid w:val="00CD5F00"/>
    <w:rsid w:val="00CE70D8"/>
    <w:rsid w:val="00CE75EB"/>
    <w:rsid w:val="00CF261C"/>
    <w:rsid w:val="00CF42BF"/>
    <w:rsid w:val="00D14D06"/>
    <w:rsid w:val="00D15825"/>
    <w:rsid w:val="00D1773F"/>
    <w:rsid w:val="00D2347B"/>
    <w:rsid w:val="00D339C2"/>
    <w:rsid w:val="00D33E57"/>
    <w:rsid w:val="00D33FBB"/>
    <w:rsid w:val="00D35252"/>
    <w:rsid w:val="00D44002"/>
    <w:rsid w:val="00D55866"/>
    <w:rsid w:val="00D57635"/>
    <w:rsid w:val="00D57872"/>
    <w:rsid w:val="00D76614"/>
    <w:rsid w:val="00D85E80"/>
    <w:rsid w:val="00D9069F"/>
    <w:rsid w:val="00D90BA3"/>
    <w:rsid w:val="00D916A4"/>
    <w:rsid w:val="00D9243B"/>
    <w:rsid w:val="00D9446B"/>
    <w:rsid w:val="00D96FCE"/>
    <w:rsid w:val="00DA164C"/>
    <w:rsid w:val="00DA2A72"/>
    <w:rsid w:val="00DB1F0E"/>
    <w:rsid w:val="00DB1F57"/>
    <w:rsid w:val="00DB7CFC"/>
    <w:rsid w:val="00DC17E3"/>
    <w:rsid w:val="00DC27CD"/>
    <w:rsid w:val="00DD2F58"/>
    <w:rsid w:val="00DD33C6"/>
    <w:rsid w:val="00DD5401"/>
    <w:rsid w:val="00DD5CA1"/>
    <w:rsid w:val="00DE0D78"/>
    <w:rsid w:val="00DE77A4"/>
    <w:rsid w:val="00DF2DA7"/>
    <w:rsid w:val="00E04D84"/>
    <w:rsid w:val="00E11E5F"/>
    <w:rsid w:val="00E148D6"/>
    <w:rsid w:val="00E3418A"/>
    <w:rsid w:val="00E34BE6"/>
    <w:rsid w:val="00E364A5"/>
    <w:rsid w:val="00E4345F"/>
    <w:rsid w:val="00E434CD"/>
    <w:rsid w:val="00E436F8"/>
    <w:rsid w:val="00E449F4"/>
    <w:rsid w:val="00E52B5E"/>
    <w:rsid w:val="00E52CE1"/>
    <w:rsid w:val="00E53E67"/>
    <w:rsid w:val="00E6153B"/>
    <w:rsid w:val="00E61734"/>
    <w:rsid w:val="00E61B97"/>
    <w:rsid w:val="00E61F1A"/>
    <w:rsid w:val="00E67B41"/>
    <w:rsid w:val="00E7051D"/>
    <w:rsid w:val="00E709D6"/>
    <w:rsid w:val="00E73351"/>
    <w:rsid w:val="00E7448D"/>
    <w:rsid w:val="00E763D9"/>
    <w:rsid w:val="00E8515B"/>
    <w:rsid w:val="00E8581E"/>
    <w:rsid w:val="00EA0642"/>
    <w:rsid w:val="00EB07CD"/>
    <w:rsid w:val="00EC15C8"/>
    <w:rsid w:val="00EC5C3D"/>
    <w:rsid w:val="00EE2270"/>
    <w:rsid w:val="00EF2FF5"/>
    <w:rsid w:val="00EF6E84"/>
    <w:rsid w:val="00F0357A"/>
    <w:rsid w:val="00F048D2"/>
    <w:rsid w:val="00F12AC6"/>
    <w:rsid w:val="00F14533"/>
    <w:rsid w:val="00F16052"/>
    <w:rsid w:val="00F23D12"/>
    <w:rsid w:val="00F2677E"/>
    <w:rsid w:val="00F27B0A"/>
    <w:rsid w:val="00F3025B"/>
    <w:rsid w:val="00F31508"/>
    <w:rsid w:val="00F31CE3"/>
    <w:rsid w:val="00F4021B"/>
    <w:rsid w:val="00F453FC"/>
    <w:rsid w:val="00F559E5"/>
    <w:rsid w:val="00F622F2"/>
    <w:rsid w:val="00F6277A"/>
    <w:rsid w:val="00F6342E"/>
    <w:rsid w:val="00F660FA"/>
    <w:rsid w:val="00F82094"/>
    <w:rsid w:val="00F843E5"/>
    <w:rsid w:val="00F8649C"/>
    <w:rsid w:val="00F86589"/>
    <w:rsid w:val="00F960CB"/>
    <w:rsid w:val="00FA4076"/>
    <w:rsid w:val="00FA4516"/>
    <w:rsid w:val="00FB447B"/>
    <w:rsid w:val="00FB5854"/>
    <w:rsid w:val="00FC257E"/>
    <w:rsid w:val="00FC2D28"/>
    <w:rsid w:val="00FD1820"/>
    <w:rsid w:val="00FD6CAA"/>
    <w:rsid w:val="00FD7729"/>
    <w:rsid w:val="00FD7A21"/>
    <w:rsid w:val="00FD7FCC"/>
    <w:rsid w:val="00FF4324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72"/>
  <w15:chartTrackingRefBased/>
  <w15:docId w15:val="{9484522D-40FD-4F62-8642-C46B5A3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42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0299"/>
    <w:pPr>
      <w:keepNext/>
      <w:spacing w:after="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736341"/>
    <w:pPr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9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34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262572"/>
    <w:pPr>
      <w:spacing w:before="504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572"/>
    <w:rPr>
      <w:rFonts w:ascii="Times New Roman" w:hAnsi="Times New Roman" w:cs="Times New Roman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6F6"/>
  </w:style>
  <w:style w:type="paragraph" w:styleId="Footer">
    <w:name w:val="footer"/>
    <w:basedOn w:val="Normal"/>
    <w:link w:val="Foot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6F6"/>
  </w:style>
  <w:style w:type="table" w:styleId="TableGrid">
    <w:name w:val="Table Grid"/>
    <w:basedOn w:val="TableNormal"/>
    <w:uiPriority w:val="39"/>
    <w:rsid w:val="003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rsid w:val="007F18D6"/>
    <w:rPr>
      <w:i/>
    </w:rPr>
  </w:style>
  <w:style w:type="paragraph" w:styleId="BodyText">
    <w:name w:val="Body Text"/>
    <w:basedOn w:val="Normal"/>
    <w:link w:val="BodyTextChar"/>
    <w:rsid w:val="000670DA"/>
    <w:pPr>
      <w:keepLines/>
    </w:pPr>
    <w:rPr>
      <w:rFonts w:eastAsia="Times New Roman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0670DA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BodyTextBold">
    <w:name w:val="Body Text Bold"/>
    <w:basedOn w:val="BodyText"/>
    <w:qFormat/>
    <w:rsid w:val="000670DA"/>
    <w:rPr>
      <w:b/>
    </w:rPr>
  </w:style>
  <w:style w:type="paragraph" w:styleId="ListBullet">
    <w:name w:val="List Bullet"/>
    <w:basedOn w:val="List"/>
    <w:rsid w:val="00D916A4"/>
    <w:pPr>
      <w:keepLines/>
      <w:numPr>
        <w:numId w:val="1"/>
      </w:numPr>
      <w:spacing w:before="40" w:after="40"/>
      <w:contextualSpacing w:val="0"/>
    </w:pPr>
    <w:rPr>
      <w:rFonts w:eastAsia="Times New Roman"/>
      <w:kern w:val="0"/>
      <w:szCs w:val="22"/>
      <w14:ligatures w14:val="none"/>
    </w:rPr>
  </w:style>
  <w:style w:type="paragraph" w:customStyle="1" w:styleId="SmallText">
    <w:name w:val="Small Text"/>
    <w:basedOn w:val="Normal"/>
    <w:qFormat/>
    <w:rsid w:val="00D916A4"/>
    <w:pPr>
      <w:keepNext/>
      <w:keepLines/>
      <w:spacing w:before="0" w:after="0"/>
    </w:pPr>
    <w:rPr>
      <w:rFonts w:ascii="Tahoma" w:eastAsia="Times New Roman" w:hAnsi="Tahoma"/>
      <w:kern w:val="0"/>
      <w:sz w:val="16"/>
      <w:szCs w:val="20"/>
      <w14:ligatures w14:val="none"/>
    </w:rPr>
  </w:style>
  <w:style w:type="paragraph" w:customStyle="1" w:styleId="WhiteCentredHeading">
    <w:name w:val="White Centred Heading"/>
    <w:basedOn w:val="Heading1"/>
    <w:qFormat/>
    <w:rsid w:val="00D916A4"/>
    <w:pPr>
      <w:jc w:val="center"/>
    </w:pPr>
    <w:rPr>
      <w:rFonts w:eastAsia="Times New Roman"/>
      <w:bCs w:val="0"/>
      <w:color w:val="FFFFFF" w:themeColor="background1"/>
      <w:kern w:val="0"/>
      <w:sz w:val="24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D916A4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F3E52"/>
    <w:pPr>
      <w:keepLines/>
      <w:spacing w:line="259" w:lineRule="auto"/>
      <w:jc w:val="center"/>
      <w:outlineLvl w:val="9"/>
    </w:pPr>
    <w:rPr>
      <w:rFonts w:asciiTheme="majorHAnsi" w:eastAsiaTheme="majorEastAsia" w:hAnsiTheme="majorHAnsi" w:cstheme="majorBidi"/>
      <w:bCs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16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65C"/>
    <w:rPr>
      <w:color w:val="467886" w:themeColor="hyperlink"/>
      <w:u w:val="single"/>
    </w:rPr>
  </w:style>
  <w:style w:type="paragraph" w:customStyle="1" w:styleId="Title-TOCExcluded">
    <w:name w:val="Title - TOC Excluded"/>
    <w:link w:val="Title-TOCExcludedChar"/>
    <w:qFormat/>
    <w:rsid w:val="00B911E4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-TOCExcludedChar">
    <w:name w:val="Title - TOC Excluded Char"/>
    <w:basedOn w:val="DefaultParagraphFont"/>
    <w:link w:val="Title-TOCExcluded"/>
    <w:rsid w:val="00B911E4"/>
    <w:rPr>
      <w:rFonts w:ascii="Times New Roman" w:hAnsi="Times New Roman" w:cs="Times New Roman"/>
      <w:b/>
      <w:bCs/>
      <w:sz w:val="48"/>
      <w:szCs w:val="48"/>
    </w:rPr>
  </w:style>
  <w:style w:type="paragraph" w:customStyle="1" w:styleId="ChapterTitle">
    <w:name w:val="Chapter Title"/>
    <w:basedOn w:val="Heading1"/>
    <w:next w:val="Normal"/>
    <w:link w:val="ChapterTitleChar"/>
    <w:qFormat/>
    <w:rsid w:val="00C87216"/>
    <w:pPr>
      <w:spacing w:before="240"/>
    </w:pPr>
    <w:rPr>
      <w:bCs w:val="0"/>
    </w:rPr>
  </w:style>
  <w:style w:type="character" w:customStyle="1" w:styleId="ChapterTitleChar">
    <w:name w:val="Chapter Title Char"/>
    <w:basedOn w:val="DefaultParagraphFont"/>
    <w:link w:val="ChapterTitle"/>
    <w:rsid w:val="00C87216"/>
    <w:rPr>
      <w:rFonts w:ascii="Times New Roman" w:hAnsi="Times New Roman" w:cs="Times New Roman"/>
      <w:b/>
      <w:sz w:val="32"/>
      <w:szCs w:val="32"/>
    </w:r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hyperlink" Target="https://training.gov.au/training/details/CPC" TargetMode="Externa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7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D1FD-CC37-42A8-9988-D7D03204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BuildSkills Australia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CPCLOC3006 Prepare for ground disturbance activity</dc:title>
  <dc:subject>Release: 1</dc:subject>
  <dc:creator>BuildSkills Australia</dc:creator>
  <cp:keywords>TPC v2.24.0-beta.1+1955.Branch.releases-2026-03-25-V1.Sha.8fda56e1cc08dba86aabe957c7bf80ed61bc0e74.8fda56e1cc08dba86aabe957c7bf80ed61bc0e74</cp:keywords>
  <cp:lastModifiedBy>TPC</cp:lastModifiedBy>
  <cp:revision>9</cp:revision>
  <dcterms:created xsi:type="dcterms:W3CDTF">2026-04-29T06:23:59Z</dcterms:created>
  <dcterms:modified xsi:type="dcterms:W3CDTF">2026-04-29T06:23:59Z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ActionId">
    <vt:lpwstr>abd97b8f-d1c9-4757-9d6f-2d16a89172d4</vt:lpwstr>
  </property>
  <property fmtid="{D5CDD505-2E9C-101B-9397-08002B2CF9AE}" pid="3" name="MSIP_Label_79d889eb-932f-4752-8739-64d25806ef64_ContentBits">
    <vt:lpwstr>0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etDate">
    <vt:lpwstr>2024-11-13T03:44:06Z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8b160e8f-e4bd-494f-8ddf-e78e1834eb0e_ActionId">
    <vt:lpwstr>5670ec57-b4f4-4914-985d-2cf22212a888</vt:lpwstr>
  </property>
  <property fmtid="{D5CDD505-2E9C-101B-9397-08002B2CF9AE}" pid="10" name="MSIP_Label_8b160e8f-e4bd-494f-8ddf-e78e1834eb0e_ContentBits">
    <vt:lpwstr>0</vt:lpwstr>
  </property>
  <property fmtid="{D5CDD505-2E9C-101B-9397-08002B2CF9AE}" pid="11" name="MSIP_Label_8b160e8f-e4bd-494f-8ddf-e78e1834eb0e_Enabled">
    <vt:lpwstr>true</vt:lpwstr>
  </property>
  <property fmtid="{D5CDD505-2E9C-101B-9397-08002B2CF9AE}" pid="12" name="MSIP_Label_8b160e8f-e4bd-494f-8ddf-e78e1834eb0e_Method">
    <vt:lpwstr>Privileged</vt:lpwstr>
  </property>
  <property fmtid="{D5CDD505-2E9C-101B-9397-08002B2CF9AE}" pid="13" name="MSIP_Label_8b160e8f-e4bd-494f-8ddf-e78e1834eb0e_Name">
    <vt:lpwstr>General</vt:lpwstr>
  </property>
  <property fmtid="{D5CDD505-2E9C-101B-9397-08002B2CF9AE}" pid="14" name="MSIP_Label_8b160e8f-e4bd-494f-8ddf-e78e1834eb0e_SetDate">
    <vt:lpwstr>2024-11-28T04:30:51Z</vt:lpwstr>
  </property>
  <property fmtid="{D5CDD505-2E9C-101B-9397-08002B2CF9AE}" pid="15" name="MSIP_Label_8b160e8f-e4bd-494f-8ddf-e78e1834eb0e_SiteId">
    <vt:lpwstr>ff8a34aa-31fe-4a22-9c22-29e2af4a065d</vt:lpwstr>
  </property>
</Properties>
</file>