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even" r:id="rId5"/>
          <w:headerReference w:type="default" r:id="rId6"/>
          <w:footerReference w:type="default" r:id="rId7"/>
          <w:headerReference w:type="first" r:id="rId8"/>
          <w:pgSz w:w="11906" w:h="16838"/>
          <w:pgMar w:top="1701" w:right="1418" w:bottom="1701" w:left="1418" w:header="709" w:footer="709" w:gutter="0"/>
          <w:cols w:space="708"/>
          <w:docGrid w:linePitch="360"/>
        </w:sectPr>
      </w:pPr>
      <w:bookmarkStart w:id="0" w:name="_Toc184217249"/>
      <w:bookmarkStart w:id="1" w:name="_Toc184220964"/>
      <w:r w:rsidRPr="00262572">
        <w:t>CPPSS00085 Fumigation Pest Management Technician Skill Set</w:t>
      </w:r>
      <w:bookmarkEnd w:id="0"/>
      <w:bookmarkEnd w:id="1"/>
    </w:p>
    <w:p w:rsidR="00D44002" w:rsidRPr="00F31CE3" w:rsidP="00F31CE3" w14:paraId="160C8F32" w14:textId="3B105B63">
      <w:pPr>
        <w:pStyle w:val="ChapterTitle"/>
      </w:pPr>
      <w:bookmarkStart w:id="2" w:name="CPPSS00085"/>
      <w:r w:rsidRPr="00F31CE3">
        <w:t>CPPSS00085 Fumigation Pest Management Technician Skill Set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skill set was first released in CPP Property Services Training Package Release 19.0.</w:t>
            </w:r>
          </w:p>
        </w:tc>
      </w:tr>
    </w:tbl>
    <w:p w:rsidR="00D44002" w:rsidRPr="00F31CE3" w:rsidP="00F31CE3">
      <w:pPr>
        <w:pStyle w:val="Heading1"/>
      </w:pPr>
      <w:r w:rsidRPr="00F31CE3">
        <w:t>Description</w:t>
      </w:r>
    </w:p>
    <w:p w:rsidR="00D44002" w:rsidRPr="00F31CE3" w:rsidP="00F31CE3">
      <w:r w:rsidRPr="00F31CE3">
        <w:t>This skill set addresses the skills and knowledge required to conduct pest management via fumigation.</w:t>
      </w:r>
    </w:p>
    <w:p w:rsidR="00D44002" w:rsidRPr="00F31CE3" w:rsidP="00F31CE3">
      <w:pPr>
        <w:pStyle w:val="Heading1"/>
      </w:pPr>
      <w:r w:rsidRPr="00F31CE3">
        <w:t>Licensing/Regulatory Information</w:t>
      </w:r>
    </w:p>
    <w:p w:rsidR="00D44002" w:rsidRPr="00F31CE3" w:rsidP="00F31CE3">
      <w:r w:rsidRPr="00F31CE3">
        <w:t>Licensing, legislative and certification requirements that apply to units of competency within this skill set can vary between states, territories. Candidates must check requirements with relevant bodies before applying this skill set.  </w:t>
      </w:r>
    </w:p>
    <w:p w:rsidR="00D44002" w:rsidRPr="00F31CE3" w:rsidP="00F31CE3">
      <w:pPr>
        <w:pStyle w:val="Heading1"/>
      </w:pPr>
      <w:r w:rsidRPr="00F31CE3">
        <w:t>Pathways Information</w:t>
      </w:r>
    </w:p>
    <w:p w:rsidR="00D44002" w:rsidRPr="00F31CE3" w:rsidP="00F31CE3">
      <w:r w:rsidRPr="00F31CE3">
        <w:t xml:space="preserve">These units of competency provide credit towards </w:t>
      </w:r>
      <w:r w:rsidRPr="00F31CE3">
        <w:t>CPP30126</w:t>
      </w:r>
      <w:r w:rsidRPr="00F31CE3">
        <w:t xml:space="preserve"> Certificate III in Urban Pest Management. </w:t>
      </w:r>
    </w:p>
    <w:p w:rsidR="00D44002" w:rsidRPr="00F31CE3" w:rsidP="00F31CE3">
      <w:pPr>
        <w:pStyle w:val="Heading1"/>
      </w:pPr>
      <w:r w:rsidRPr="00F31CE3">
        <w:t>Entry Requirements</w:t>
      </w:r>
    </w:p>
    <w:p w:rsidR="00D44002" w:rsidRPr="00F31CE3" w:rsidP="00F31CE3">
      <w:r w:rsidRPr="00F31CE3">
        <w:t>There are no entry requirements for this skill set.</w:t>
      </w:r>
    </w:p>
    <w:p w:rsidR="00D44002" w:rsidRPr="00F31CE3" w:rsidP="00F31CE3">
      <w:pPr>
        <w:pStyle w:val="Heading1"/>
      </w:pPr>
      <w:r w:rsidRPr="00F31CE3">
        <w:t>Foundation Skills Outcomes</w:t>
      </w:r>
    </w:p>
    <w:p w:rsidR="00D44002" w:rsidRPr="00F31CE3" w:rsidP="00F31CE3">
      <w:r w:rsidRPr="00F31CE3">
        <w:t>The foundation skills outcomes in this skill set are outlined below.</w:t>
      </w:r>
    </w:p>
    <w:p w:rsidR="00D44002" w:rsidRPr="00F31CE3" w:rsidP="00F31CE3">
      <w:r w:rsidRPr="00F31CE3">
        <w:drawing>
          <wp:inline>
            <wp:extent cx="5759450" cy="3359679"/>
            <wp:docPr id="100001"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44002" w:rsidRPr="00F31CE3" w:rsidP="00F31CE3">
      <w:pPr>
        <w:pStyle w:val="Heading1"/>
      </w:pPr>
      <w:r w:rsidRPr="00F31CE3">
        <w:t>Skill Set Requirements</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Code</w:t>
            </w:r>
          </w:p>
        </w:tc>
        <w:tc>
          <w:tcPr>
            <w:tcW w:w="4535" w:type="dxa"/>
          </w:tcPr>
          <w:p w:rsidR="00D44002" w:rsidRPr="00F31CE3" w:rsidP="00F31CE3">
            <w:r w:rsidRPr="00F31CE3">
              <w:t>Title</w:t>
            </w:r>
          </w:p>
        </w:tc>
      </w:tr>
      <w:tr>
        <w:tblPrEx>
          <w:tblW w:w="5000" w:type="pct"/>
        </w:tblPrEx>
        <w:tc>
          <w:tcPr>
            <w:tcW w:w="4535" w:type="dxa"/>
          </w:tcPr>
          <w:p w:rsidR="00D44002" w:rsidRPr="00F31CE3" w:rsidP="00F31CE3">
            <w:r w:rsidRPr="00F31CE3">
              <w:t>AHCCHM304</w:t>
            </w:r>
          </w:p>
        </w:tc>
        <w:tc>
          <w:tcPr>
            <w:tcW w:w="4535" w:type="dxa"/>
          </w:tcPr>
          <w:p w:rsidR="00D44002" w:rsidRPr="00F31CE3" w:rsidP="00F31CE3">
            <w:r w:rsidRPr="00F31CE3">
              <w:t>Transport and store chemicals</w:t>
            </w:r>
          </w:p>
        </w:tc>
      </w:tr>
      <w:tr>
        <w:tblPrEx>
          <w:tblW w:w="5000" w:type="pct"/>
        </w:tblPrEx>
        <w:tc>
          <w:tcPr>
            <w:tcW w:w="4535" w:type="dxa"/>
          </w:tcPr>
          <w:p w:rsidR="00D44002" w:rsidRPr="00F31CE3" w:rsidP="00F31CE3">
            <w:r w:rsidRPr="00F31CE3">
              <w:t>CPPUPM3012</w:t>
            </w:r>
          </w:p>
        </w:tc>
        <w:tc>
          <w:tcPr>
            <w:tcW w:w="4535" w:type="dxa"/>
          </w:tcPr>
          <w:p w:rsidR="00D44002" w:rsidRPr="00F31CE3" w:rsidP="00F31CE3">
            <w:r w:rsidRPr="00F31CE3">
              <w:t>Manage organisms by applying fumigants to commodities and environments</w:t>
            </w:r>
          </w:p>
        </w:tc>
      </w:tr>
      <w:tr>
        <w:tblPrEx>
          <w:tblW w:w="5000" w:type="pct"/>
        </w:tblPrEx>
        <w:tc>
          <w:tcPr>
            <w:tcW w:w="4535" w:type="dxa"/>
          </w:tcPr>
          <w:p w:rsidR="00D44002" w:rsidRPr="00F31CE3" w:rsidP="00F31CE3">
            <w:r w:rsidRPr="00F31CE3">
              <w:t>CPPUPM3021</w:t>
            </w:r>
          </w:p>
        </w:tc>
        <w:tc>
          <w:tcPr>
            <w:tcW w:w="4535" w:type="dxa"/>
          </w:tcPr>
          <w:p w:rsidR="00D44002" w:rsidRPr="00F31CE3" w:rsidP="00F31CE3">
            <w:r w:rsidRPr="00F31CE3">
              <w:t>Prepare for work in an urban pest management environment</w:t>
            </w:r>
          </w:p>
        </w:tc>
      </w:tr>
      <w:tr>
        <w:tblPrEx>
          <w:tblW w:w="5000" w:type="pct"/>
        </w:tblPrEx>
        <w:tc>
          <w:tcPr>
            <w:tcW w:w="4535" w:type="dxa"/>
          </w:tcPr>
          <w:p w:rsidR="00D44002" w:rsidRPr="00F31CE3" w:rsidP="00F31CE3">
            <w:r w:rsidRPr="00F31CE3">
              <w:t>CPPUPM4102</w:t>
            </w:r>
          </w:p>
        </w:tc>
        <w:tc>
          <w:tcPr>
            <w:tcW w:w="4535" w:type="dxa"/>
          </w:tcPr>
          <w:p w:rsidR="00D44002" w:rsidRPr="00F31CE3" w:rsidP="00F31CE3">
            <w:r w:rsidRPr="00F31CE3">
              <w:t>Schedule, organise and monitor pest management operations</w:t>
            </w:r>
          </w:p>
        </w:tc>
      </w:tr>
      <w:tr>
        <w:tblPrEx>
          <w:tblW w:w="5000" w:type="pct"/>
        </w:tblPrEx>
        <w:tc>
          <w:tcPr>
            <w:tcW w:w="4535" w:type="dxa"/>
          </w:tcPr>
          <w:p w:rsidR="00D44002" w:rsidRPr="00F31CE3" w:rsidP="00F31CE3">
            <w:r w:rsidRPr="00F31CE3">
              <w:t>MSMWHS216</w:t>
            </w:r>
          </w:p>
        </w:tc>
        <w:tc>
          <w:tcPr>
            <w:tcW w:w="4535" w:type="dxa"/>
          </w:tcPr>
          <w:p w:rsidR="00D44002" w:rsidRPr="00F31CE3" w:rsidP="00F31CE3">
            <w:r w:rsidRPr="00F31CE3">
              <w:t>Operate breathing apparatus</w:t>
            </w:r>
          </w:p>
        </w:tc>
      </w:tr>
    </w:tbl>
    <w:p w:rsidR="00D44002" w:rsidRPr="00F31CE3" w:rsidP="00F31CE3">
      <w:pPr>
        <w:pStyle w:val="Heading1"/>
      </w:pPr>
      <w:r w:rsidRPr="00F31CE3">
        <w:t>Pre-requisite Requirements</w:t>
      </w:r>
    </w:p>
    <w:p w:rsidR="00D44002" w:rsidRPr="00F31CE3" w:rsidP="00F31CE3">
      <w:r w:rsidRPr="00F31CE3">
        <w:t>There are no pre-requisites associated with units packaged in this skill set.</w:t>
      </w:r>
    </w:p>
    <w:p w:rsidR="00D44002" w:rsidRPr="00F31CE3" w:rsidP="00F31CE3">
      <w:pPr>
        <w:pStyle w:val="Heading1"/>
      </w:pPr>
      <w:r w:rsidRPr="00F31CE3">
        <w:t>Skill Set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 xml:space="preserve"> </w:t>
            </w:r>
          </w:p>
        </w:tc>
        <w:tc>
          <w:tcPr>
            <w:tcW w:w="3023" w:type="dxa"/>
          </w:tcPr>
          <w:p w:rsidR="00D44002" w:rsidRPr="00F31CE3" w:rsidP="00F31CE3">
            <w:r w:rsidRPr="00F31CE3">
              <w:t>Newly created</w:t>
            </w:r>
          </w:p>
        </w:tc>
        <w:tc>
          <w:tcPr>
            <w:tcW w:w="3023" w:type="dxa"/>
          </w:tcPr>
          <w:p w:rsidR="00D44002" w:rsidRPr="00F31CE3" w:rsidP="00F31CE3">
            <w:r>
              <w:rPr>
                <w:rFonts w:ascii="Times New Roman" w:eastAsia="Times New Roman" w:hAnsi="Times New Roman" w:cs="Times New Roman"/>
                <w:kern w:val="0"/>
                <w14:ligatures w14:val="none"/>
              </w:rPr>
              <w:t>This skill set has been created to address a requirement by industry.</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0" w:history="1">
        <w:r w:rsidRPr="00F31CE3">
          <w:rPr>
            <w:rStyle w:val="Hyperlink"/>
          </w:rPr>
          <w:t>https://training.gov.au/training/details/CPP</w:t>
        </w:r>
      </w:hyperlink>
      <w:r w:rsidRPr="00F31CE3">
        <w:t>.</w:t>
      </w:r>
    </w:p>
    <w:p w:rsidR="00D44002" w:rsidRPr="00F31CE3" w:rsidP="00F31CE3"/>
    <w:sectPr w:rsidSect="00F31508">
      <w:headerReference w:type="even" r:id="rId11"/>
      <w:headerReference w:type="default" r:id="rId12"/>
      <w:footerReference w:type="even" r:id="rId13"/>
      <w:footerReference w:type="default" r:id="rId14"/>
      <w:headerReference w:type="first" r:id="rId15"/>
      <w:footerReference w:type="first" r:id="rId16"/>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4" o:spid="_x0000_s2051" type="#_x0000_t136" style="width:429.38pt;height:195.31pt;margin-top:0;margin-left:0;mso-position-horizontal:center;mso-position-horizontal-relative:margin;mso-position-vertical:center;mso-position-vertical-relative:margin;position:absolute;rotation:315;z-index:-251656192" fillcolor="#d3d3d3" strokecolor="#d3d3d3">
          <v:fill opacity="0.5"/>
          <v:textpath style="font-family:Calibri"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5" o:spid="_x0000_s2049" type="#_x0000_t136" style="width:429.38pt;height:195.31pt;margin-top:0;margin-left:0;mso-position-horizontal:center;mso-position-horizontal-relative:margin;mso-position-vertical:center;mso-position-vertical-relative:margin;position:absolute;rotation:315;z-index:-251658240" fillcolor="#d3d3d3" strokecolor="#d3d3d3">
          <v:fill opacity="0.5"/>
          <v:textpath style="font-family:Calibri"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3" o:spid="_x0000_s2050" type="#_x0000_t136" style="width:429.38pt;height:195.31pt;margin-top:0;margin-left:0;mso-position-horizontal:center;mso-position-horizontal-relative:margin;mso-position-vertical:center;mso-position-vertical-relative:margin;position:absolute;rotation:315;z-index:-251657216" fillcolor="#d3d3d3" strokecolor="#d3d3d3">
          <v:fill opacity="0.5"/>
          <v:textpath style="font-family:Calibri"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7" o:spid="_x0000_s2052" type="#_x0000_t136" style="width:429.38pt;height:195.31pt;margin-top:0;margin-left:0;mso-position-horizontal:center;mso-position-horizontal-relative:margin;mso-position-vertical:center;mso-position-vertical-relative:margin;position:absolute;rotation:315;z-index:-251655168" fillcolor="#d3d3d3" strokecolor="#d3d3d3">
          <v:fill opacity="0.5"/>
          <v:textpath style="font-family:Calibri"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CPPSS00085 Fumigation Pest Management Technician Skill Set</w:t>
    </w:r>
    <w:r>
      <w:rPr>
        <w:sz w:val="16"/>
        <w:szCs w:val="16"/>
      </w:rPr>
      <w:tab/>
    </w:r>
    <w:r w:rsidRPr="003E4545">
      <w:rPr>
        <w:sz w:val="16"/>
        <w:szCs w:val="16"/>
      </w:rPr>
      <w:t xml:space="preserve">Date this document was generated: </w:t>
    </w:r>
    <w:r>
      <w:rPr>
        <w:sz w:val="16"/>
        <w:szCs w:val="16"/>
      </w:rPr>
      <w:t>28 August 2026</w:t>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8" o:spid="_x0000_s2053" type="#_x0000_t136" style="width:429.38pt;height:195.31pt;margin-top:0;margin-left:0;mso-position-horizontal:center;mso-position-horizontal-relative:margin;mso-position-vertical:center;mso-position-vertical-relative:margin;position:absolute;rotation:315;z-index:-251654144" fillcolor="#d3d3d3" strokecolor="#d3d3d3">
          <v:fill opacity="0.5"/>
          <v:textpath style="font-family:Calibri"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6" o:spid="_x0000_s2054" type="#_x0000_t136" style="width:429.38pt;height:195.31pt;margin-top:0;margin-left:0;mso-position-horizontal:center;mso-position-horizontal-relative:margin;mso-position-vertical:center;mso-position-vertical-relative:margin;position:absolute;rotation:315;z-index:-251653120" fillcolor="#d3d3d3" strokecolor="#d3d3d3">
          <v:fill opacity="0.5"/>
          <v:textpath style="font-family:Calibri"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num w:numId="1" w16cid:durableId="2124492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training.gov.au/training/details/CPP" TargetMode="Externa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header" Target="header6.xml" /><Relationship Id="rId16" Type="http://schemas.openxmlformats.org/officeDocument/2006/relationships/footer" Target="footer4.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chart" Target="charts/chart1.xm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ACSF core skill</c:v>
          </c:tx>
          <c:invertIfNegative val="0"/>
          <c:cat>
            <c:strLit>
              <c:ptCount val="5"/>
              <c:pt idx="0">
                <c:v>Learning</c:v>
              </c:pt>
              <c:pt idx="1">
                <c:v>Reading</c:v>
              </c:pt>
              <c:pt idx="2">
                <c:v>Writing</c:v>
              </c:pt>
              <c:pt idx="3">
                <c:v>Oral Communication</c:v>
              </c:pt>
              <c:pt idx="4">
                <c:v>Numeracy</c:v>
              </c:pt>
            </c:strLit>
          </c:cat>
          <c:val>
            <c:numLit>
              <c:formatCode>General</c:formatCode>
              <c:ptCount val="5"/>
              <c:pt idx="0">
                <c:v>3</c:v>
              </c:pt>
              <c:pt idx="1">
                <c:v>3</c:v>
              </c:pt>
              <c:pt idx="2">
                <c:v>3</c:v>
              </c:pt>
              <c:pt idx="3">
                <c:v>3</c:v>
              </c:pt>
              <c:pt idx="4">
                <c:v>4</c:v>
              </c:pt>
            </c:numLit>
          </c:val>
        </c:ser>
        <c:dLbls>
          <c:showLegendKey val="0"/>
          <c:showVal val="0"/>
          <c:showCatName val="0"/>
          <c:showSerName val="0"/>
          <c:showPercent val="0"/>
          <c:showBubbleSize val="0"/>
        </c:dLbls>
        <c:gapWidth val="219"/>
        <c:overlap val="-27"/>
        <c:axId val="305324448"/>
        <c:axId val="305318568"/>
      </c:barChart>
      <c:catAx>
        <c:axId val="305324448"/>
        <c:scaling>
          <c:orientation val="minMax"/>
        </c:scaling>
        <c:delete val="0"/>
        <c:axPos val="b"/>
        <c:title>
          <c:tx>
            <c:rich>
              <a:bodyPr/>
              <a:lstStyle/>
              <a:p>
                <a:pPr>
                  <a:defRPr sz="1200" b="0" i="0" u="none" strike="noStrike" kern="1200" spc="0" baseline="0">
                    <a:solidFill>
                      <a:schemeClr val="tx1">
                        <a:lumMod val="65000"/>
                        <a:lumOff val="35000"/>
                      </a:schemeClr>
                    </a:solidFill>
                  </a:defRPr>
                </a:pPr>
                <a:r>
                  <a:rPr sz="1200"/>
                  <a:t>ACSF core skill</a:t>
                </a:r>
              </a:p>
            </c:rich>
          </c:tx>
          <c:layout/>
          <c:overlay val="0"/>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18568"/>
        <c:crosses val="autoZero"/>
        <c:auto val="1"/>
        <c:lblAlgn val="ctr"/>
        <c:lblOffset val="100"/>
        <c:noMultiLvlLbl val="0"/>
      </c:catAx>
      <c:valAx>
        <c:axId val="305318568"/>
        <c:scaling>
          <c:orientation val="minMax"/>
          <c:max val="5"/>
          <c:min val="0"/>
        </c:scaling>
        <c:delete val="0"/>
        <c:axPos val="l"/>
        <c:majorGridlines>
          <c:spPr>
            <a:ln w="9525">
              <a:solidFill>
                <a:schemeClr val="tx1">
                  <a:lumMod val="15000"/>
                  <a:lumOff val="85000"/>
                </a:schemeClr>
              </a:solidFill>
              <a:round/>
            </a:ln>
            <a:effectLst/>
          </c:spPr>
        </c:majorGridlines>
        <c:title>
          <c:tx>
            <c:rich>
              <a:bodyPr/>
              <a:lstStyle/>
              <a:p>
                <a:pPr>
                  <a:defRPr sz="1200" b="0" i="0" u="none" strike="noStrike" kern="1200" spc="0" baseline="0">
                    <a:solidFill>
                      <a:schemeClr val="tx1">
                        <a:lumMod val="65000"/>
                        <a:lumOff val="35000"/>
                      </a:schemeClr>
                    </a:solidFill>
                  </a:defRPr>
                </a:pPr>
                <a:r>
                  <a:rPr sz="1200"/>
                  <a:t>ACSF level</a:t>
                </a:r>
              </a:p>
            </c:rich>
          </c:tx>
          <c:layout/>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24448"/>
        <c:crosses val="autoZero"/>
        <c:crossBetween val="between"/>
        <c:majorUnit val="1"/>
        <c:minorUnit val="1"/>
      </c:valAx>
      <c:spPr>
        <a:noFill/>
        <a:ln>
          <a:noFill/>
        </a:ln>
        <a:effectLst/>
      </c:spPr>
    </c:plotArea>
    <c:legend>
      <c:legendPos val="b"/>
      <c:legendEntry>
        <c:idx val="0"/>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CPPSS00085 Fumigation Pest Management Technician Skill Set</dc:title>
  <dc:subject>Release: 1</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2026-08-28T05:42:28Z</dcterms:created>
  <dcterms:modified xsi:type="dcterms:W3CDTF">2026-08-28T05:42:28Z</dcterms:modified>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