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even" r:id="rId5"/>
          <w:headerReference w:type="default" r:id="rId6"/>
          <w:footerReference w:type="default" r:id="rId7"/>
          <w:headerReference w:type="first" r:id="rId8"/>
          <w:pgSz w:w="11906" w:h="16838"/>
          <w:pgMar w:top="1701" w:right="1418" w:bottom="1701" w:left="1418" w:header="709" w:footer="709" w:gutter="0"/>
          <w:cols w:space="708"/>
          <w:docGrid w:linePitch="360"/>
        </w:sectPr>
      </w:pPr>
      <w:bookmarkStart w:id="0" w:name="_Toc184217249"/>
      <w:bookmarkStart w:id="1" w:name="_Toc184220964"/>
      <w:r w:rsidRPr="00262572">
        <w:t>CPPSS00084 Post-Construction Timber Pest Management Skill Set</w:t>
      </w:r>
      <w:bookmarkEnd w:id="0"/>
      <w:bookmarkEnd w:id="1"/>
    </w:p>
    <w:p w:rsidR="00D44002" w:rsidRPr="00F31CE3" w:rsidP="00F31CE3" w14:paraId="160C8F32" w14:textId="3B105B63">
      <w:pPr>
        <w:pStyle w:val="ChapterTitle"/>
      </w:pPr>
      <w:bookmarkStart w:id="2" w:name="CPPSS00084"/>
      <w:r w:rsidRPr="00F31CE3">
        <w:t>CPPSS00084 Post-Construction Timber Pest Management Skill Set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CPP Property Services Training Package Release 19.0.</w:t>
            </w:r>
          </w:p>
        </w:tc>
      </w:tr>
    </w:tbl>
    <w:p w:rsidR="00D44002" w:rsidRPr="00F31CE3" w:rsidP="00F31CE3">
      <w:pPr>
        <w:pStyle w:val="Heading1"/>
      </w:pPr>
      <w:r w:rsidRPr="00F31CE3">
        <w:t>Description</w:t>
      </w:r>
    </w:p>
    <w:p w:rsidR="00D44002" w:rsidRPr="00F31CE3" w:rsidP="00F31CE3">
      <w:r w:rsidRPr="00F31CE3">
        <w:t>This skill set addresses the skills and knowledge required to manage timber pests post construction.</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units of competency from within this skill set can vary between states and territories. Candidates must check requirements with relevant bodies before applying this skill set.  </w:t>
      </w:r>
    </w:p>
    <w:p w:rsidR="00D44002" w:rsidRPr="00F31CE3" w:rsidP="00F31CE3">
      <w:pPr>
        <w:pStyle w:val="Heading1"/>
      </w:pPr>
      <w:r w:rsidRPr="00F31CE3">
        <w:t>Pathways Information</w:t>
      </w:r>
    </w:p>
    <w:p w:rsidR="00D44002" w:rsidRPr="00F31CE3" w:rsidP="00F31CE3">
      <w:r w:rsidRPr="00F31CE3">
        <w:t xml:space="preserve">These units of competency provide credit towards </w:t>
      </w:r>
      <w:r w:rsidRPr="00F31CE3">
        <w:t>CPP30126</w:t>
      </w:r>
      <w:r w:rsidRPr="00F31CE3">
        <w:t xml:space="preserve"> Certificate III in Urban Pest Management.</w:t>
      </w:r>
    </w:p>
    <w:p w:rsidR="00D44002" w:rsidRPr="00F31CE3" w:rsidP="00F31CE3">
      <w:pPr>
        <w:pStyle w:val="Heading1"/>
      </w:pPr>
      <w:r w:rsidRPr="00F31CE3">
        <w:t>Entry Requirements</w:t>
      </w:r>
    </w:p>
    <w:p w:rsidR="00D44002" w:rsidRPr="00F31CE3" w:rsidP="00F31CE3">
      <w:r w:rsidRPr="00F31CE3">
        <w:t>There are no entry requirements for this skill set.</w:t>
      </w:r>
    </w:p>
    <w:p w:rsidR="00D44002" w:rsidRPr="00F31CE3" w:rsidP="00F31CE3">
      <w:pPr>
        <w:pStyle w:val="Heading1"/>
      </w:pPr>
      <w:r w:rsidRPr="00F31CE3">
        <w:t>Foundation Skills Outcomes</w:t>
      </w:r>
    </w:p>
    <w:p w:rsidR="00D44002" w:rsidRPr="00F31CE3" w:rsidP="00F31CE3">
      <w:r w:rsidRPr="00F31CE3">
        <w:t>The foundation skills outcomes in this skill set are outlined below.</w:t>
      </w:r>
    </w:p>
    <w:p w:rsidR="00D44002" w:rsidRPr="00F31CE3" w:rsidP="00F31CE3">
      <w:r w:rsidRPr="00F31CE3">
        <w:drawing>
          <wp:inline>
            <wp:extent cx="5759450" cy="3359679"/>
            <wp:docPr id="10000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44002" w:rsidRPr="00F31CE3" w:rsidP="00F31CE3">
      <w:pPr>
        <w:pStyle w:val="Heading1"/>
      </w:pPr>
      <w:r w:rsidRPr="00F31CE3">
        <w:t>Skill Set Requirements</w:t>
      </w:r>
    </w:p>
    <w:tbl>
      <w:tblPr>
        <w:tblStyle w:val="TableGrid"/>
        <w:tblW w:w="5000" w:type="pct"/>
        <w:jc w:val="left"/>
      </w:tblPr>
      <w:tblGrid>
        <w:gridCol w:w="4531"/>
        <w:gridCol w:w="4529"/>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CPPUPM3024</w:t>
            </w:r>
          </w:p>
        </w:tc>
        <w:tc>
          <w:tcPr>
            <w:tcW w:w="4535" w:type="dxa"/>
          </w:tcPr>
          <w:p w:rsidR="00D44002" w:rsidRPr="00F31CE3" w:rsidP="00F31CE3">
            <w:r w:rsidRPr="00F31CE3">
              <w:t>Inspect for and report on timber pests</w:t>
            </w:r>
          </w:p>
        </w:tc>
      </w:tr>
      <w:tr>
        <w:tblPrEx>
          <w:tblW w:w="5000" w:type="pct"/>
        </w:tblPrEx>
        <w:tc>
          <w:tcPr>
            <w:tcW w:w="4535" w:type="dxa"/>
          </w:tcPr>
          <w:p w:rsidR="00D44002" w:rsidRPr="00F31CE3" w:rsidP="00F31CE3">
            <w:r w:rsidRPr="00F31CE3">
              <w:t>CPPUPM3025</w:t>
            </w:r>
          </w:p>
        </w:tc>
        <w:tc>
          <w:tcPr>
            <w:tcW w:w="4535" w:type="dxa"/>
          </w:tcPr>
          <w:p w:rsidR="00D44002" w:rsidRPr="00F31CE3" w:rsidP="00F31CE3">
            <w:r w:rsidRPr="00F31CE3">
              <w:t>Manage timber pests</w:t>
            </w:r>
          </w:p>
        </w:tc>
      </w:tr>
    </w:tbl>
    <w:p w:rsidR="00D44002" w:rsidRPr="00F31CE3" w:rsidP="00F31CE3">
      <w:pPr>
        <w:pStyle w:val="Heading1"/>
      </w:pPr>
      <w:r w:rsidRPr="00F31CE3">
        <w:t>Pre-requisite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CPPUPM3024 Inspect for and report on timber pests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CPPUPM3021</w:t>
            </w:r>
            <w:r>
              <w:rPr>
                <w:rFonts w:ascii="Times New Roman" w:eastAsia="Times New Roman" w:hAnsi="Times New Roman" w:cs="Times New Roman"/>
                <w:kern w:val="0"/>
                <w14:ligatures w14:val="none"/>
              </w:rPr>
              <w:t xml:space="preserve"> Prepare for work in an urban pest management environment</w:t>
            </w:r>
          </w:p>
          <w:p w:rsidR="00D44002" w:rsidRPr="00F31CE3" w:rsidP="00F31CE3"/>
        </w:tc>
      </w:tr>
      <w:tr>
        <w:tblPrEx>
          <w:tblW w:w="5000" w:type="pct"/>
        </w:tblPrEx>
        <w:tc>
          <w:tcPr>
            <w:tcW w:w="4535" w:type="dxa"/>
          </w:tcPr>
          <w:p w:rsidR="00D44002" w:rsidRPr="00F31CE3" w:rsidP="00F31CE3">
            <w:r w:rsidRPr="00F31CE3">
              <w:t>CPPUPM3025 Manage timber pests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CPPUPM3024</w:t>
            </w:r>
            <w:r>
              <w:rPr>
                <w:rFonts w:ascii="Times New Roman" w:eastAsia="Times New Roman" w:hAnsi="Times New Roman" w:cs="Times New Roman"/>
                <w:kern w:val="0"/>
                <w14:ligatures w14:val="none"/>
              </w:rPr>
              <w:t xml:space="preserve"> Inspect for and report on timber pests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CPPUPM3021</w:t>
            </w:r>
            <w:r>
              <w:rPr>
                <w:rFonts w:ascii="Times New Roman" w:eastAsia="Times New Roman" w:hAnsi="Times New Roman" w:cs="Times New Roman"/>
                <w:kern w:val="0"/>
                <w14:ligatures w14:val="none"/>
              </w:rPr>
              <w:t xml:space="preserve"> Prepare for work in an urban pest management environment</w:t>
            </w:r>
          </w:p>
          <w:p w:rsidR="00D44002" w:rsidRPr="00F31CE3" w:rsidP="00F31CE3"/>
        </w:tc>
      </w:tr>
    </w:tbl>
    <w:p w:rsidR="00D44002" w:rsidRPr="00F31CE3" w:rsidP="00F31CE3">
      <w:pPr>
        <w:pStyle w:val="Heading1"/>
      </w:pPr>
      <w:r w:rsidRPr="00F31CE3">
        <w:t>Skill Set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skill set has been created to address a requirement by industry.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0" w:history="1">
        <w:r w:rsidRPr="00F31CE3">
          <w:rPr>
            <w:rStyle w:val="Hyperlink"/>
          </w:rPr>
          <w:t>https://training.gov.au/training/details/CPP</w:t>
        </w:r>
      </w:hyperlink>
      <w:r w:rsidRPr="00F31CE3">
        <w:t>.</w:t>
      </w:r>
    </w:p>
    <w:p w:rsidR="00D44002" w:rsidRPr="00F31CE3" w:rsidP="00F31CE3"/>
    <w:sectPr w:rsidSect="00F31508">
      <w:headerReference w:type="even" r:id="rId11"/>
      <w:headerReference w:type="default" r:id="rId12"/>
      <w:footerReference w:type="even" r:id="rId13"/>
      <w:footerReference w:type="default" r:id="rId14"/>
      <w:headerReference w:type="first" r:id="rId15"/>
      <w:footerReference w:type="first" r:id="rId16"/>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4" o:spid="_x0000_s2051" type="#_x0000_t136" style="width:429.38pt;height:195.31pt;margin-top:0;margin-left:0;mso-position-horizontal:center;mso-position-horizontal-relative:margin;mso-position-vertical:center;mso-position-vertical-relative:margin;position:absolute;rotation:315;z-index:-251656192" fillcolor="#d3d3d3" strokecolor="#d3d3d3">
          <v:fill opacity="0.5"/>
          <v:textpath style="font-family:Calibri"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5" o:spid="_x0000_s2049" type="#_x0000_t136" style="width:429.38pt;height:195.31pt;margin-top:0;margin-left:0;mso-position-horizontal:center;mso-position-horizontal-relative:margin;mso-position-vertical:center;mso-position-vertical-relative:margin;position:absolute;rotation:315;z-index:-251658240" fillcolor="#d3d3d3" strokecolor="#d3d3d3">
          <v:fill opacity="0.5"/>
          <v:textpath style="font-family:Calibri"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3" o:spid="_x0000_s2050" type="#_x0000_t136" style="width:429.38pt;height:195.31pt;margin-top:0;margin-left:0;mso-position-horizontal:center;mso-position-horizontal-relative:margin;mso-position-vertical:center;mso-position-vertical-relative:margin;position:absolute;rotation:315;z-index:-251657216" fillcolor="#d3d3d3" strokecolor="#d3d3d3">
          <v:fill opacity="0.5"/>
          <v:textpath style="font-family:Calibri"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7" o:spid="_x0000_s2052" type="#_x0000_t136" style="width:429.38pt;height:195.31pt;margin-top:0;margin-left:0;mso-position-horizontal:center;mso-position-horizontal-relative:margin;mso-position-vertical:center;mso-position-vertical-relative:margin;position:absolute;rotation:315;z-index:-251655168" fillcolor="#d3d3d3" strokecolor="#d3d3d3">
          <v:fill opacity="0.5"/>
          <v:textpath style="font-family:Calibri"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CPPSS00084 Post-Construction Timber Pest Management Skill Set</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8" o:spid="_x0000_s2053" type="#_x0000_t136" style="width:429.38pt;height:195.31pt;margin-top:0;margin-left:0;mso-position-horizontal:center;mso-position-horizontal-relative:margin;mso-position-vertical:center;mso-position-vertical-relative:margin;position:absolute;rotation:315;z-index:-251654144" fillcolor="#d3d3d3" strokecolor="#d3d3d3">
          <v:fill opacity="0.5"/>
          <v:textpath style="font-family:Calibri"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6" o:spid="_x0000_s2054" type="#_x0000_t136" style="width:429.38pt;height:195.31pt;margin-top:0;margin-left:0;mso-position-horizontal:center;mso-position-horizontal-relative:margin;mso-position-vertical:center;mso-position-vertical-relative:margin;position:absolute;rotation:315;z-index:-251653120" fillcolor="#d3d3d3" strokecolor="#d3d3d3">
          <v:fill opacity="0.5"/>
          <v:textpath style="font-family:Calibri"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num w:numId="1" w16cid:durableId="2124492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training.gov.au/training/details/CPP"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chart" Target="charts/chart1.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ACSF core skill</c:v>
          </c:tx>
          <c:invertIfNegative val="0"/>
          <c:cat>
            <c:strLit>
              <c:ptCount val="5"/>
              <c:pt idx="0">
                <c:v>Learning</c:v>
              </c:pt>
              <c:pt idx="1">
                <c:v>Reading</c:v>
              </c:pt>
              <c:pt idx="2">
                <c:v>Writing</c:v>
              </c:pt>
              <c:pt idx="3">
                <c:v>Oral Communication</c:v>
              </c:pt>
              <c:pt idx="4">
                <c:v>Numeracy</c:v>
              </c:pt>
            </c:strLit>
          </c:cat>
          <c:val>
            <c:numLit>
              <c:formatCode>General</c:formatCode>
              <c:ptCount val="5"/>
              <c:pt idx="0">
                <c:v>3</c:v>
              </c:pt>
              <c:pt idx="1">
                <c:v>3</c:v>
              </c:pt>
              <c:pt idx="2">
                <c:v>3</c:v>
              </c:pt>
              <c:pt idx="3">
                <c:v>3</c:v>
              </c:pt>
              <c:pt idx="4">
                <c:v>4</c:v>
              </c:pt>
            </c:numLit>
          </c:val>
        </c:ser>
        <c:dLbls>
          <c:showLegendKey val="0"/>
          <c:showVal val="0"/>
          <c:showCatName val="0"/>
          <c:showSerName val="0"/>
          <c:showPercent val="0"/>
          <c:showBubbleSize val="0"/>
        </c:dLbls>
        <c:gapWidth val="219"/>
        <c:overlap val="-27"/>
        <c:axId val="305324448"/>
        <c:axId val="305318568"/>
      </c:barChart>
      <c:catAx>
        <c:axId val="305324448"/>
        <c:scaling>
          <c:orientation val="minMax"/>
        </c:scaling>
        <c:delete val="0"/>
        <c:axPos val="b"/>
        <c:title>
          <c:tx>
            <c:rich>
              <a:bodyPr/>
              <a:lstStyle/>
              <a:p>
                <a:pPr>
                  <a:defRPr sz="1200" b="0" i="0" u="none" strike="noStrike" kern="1200" spc="0" baseline="0">
                    <a:solidFill>
                      <a:schemeClr val="tx1">
                        <a:lumMod val="65000"/>
                        <a:lumOff val="35000"/>
                      </a:schemeClr>
                    </a:solidFill>
                  </a:defRPr>
                </a:pPr>
                <a:r>
                  <a:rPr sz="1200"/>
                  <a:t>ACSF core skill</a:t>
                </a:r>
              </a:p>
            </c:rich>
          </c:tx>
          <c:layout/>
          <c:overlay val="0"/>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18568"/>
        <c:crosses val="autoZero"/>
        <c:auto val="1"/>
        <c:lblAlgn val="ctr"/>
        <c:lblOffset val="100"/>
        <c:noMultiLvlLbl val="0"/>
      </c:catAx>
      <c:valAx>
        <c:axId val="305318568"/>
        <c:scaling>
          <c:orientation val="minMax"/>
          <c:max val="5"/>
          <c:min val="0"/>
        </c:scaling>
        <c:delete val="0"/>
        <c:axPos val="l"/>
        <c:majorGridlines>
          <c:spPr>
            <a:ln w="9525">
              <a:solidFill>
                <a:schemeClr val="tx1">
                  <a:lumMod val="15000"/>
                  <a:lumOff val="85000"/>
                </a:schemeClr>
              </a:solidFill>
              <a:round/>
            </a:ln>
            <a:effectLst/>
          </c:spPr>
        </c:majorGridlines>
        <c:title>
          <c:tx>
            <c:rich>
              <a:bodyPr/>
              <a:lstStyle/>
              <a:p>
                <a:pPr>
                  <a:defRPr sz="1200" b="0" i="0" u="none" strike="noStrike" kern="1200" spc="0" baseline="0">
                    <a:solidFill>
                      <a:schemeClr val="tx1">
                        <a:lumMod val="65000"/>
                        <a:lumOff val="35000"/>
                      </a:schemeClr>
                    </a:solidFill>
                  </a:defRPr>
                </a:pPr>
                <a:r>
                  <a:rPr sz="1200"/>
                  <a:t>ACSF level</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24448"/>
        <c:crosses val="autoZero"/>
        <c:crossBetween val="between"/>
        <c:majorUnit val="1"/>
        <c:minorUnit val="1"/>
      </c:valAx>
      <c:spPr>
        <a:noFill/>
        <a:ln>
          <a:noFill/>
        </a:ln>
        <a:effectLst/>
      </c:spPr>
    </c:plotArea>
    <c:legend>
      <c:legendPos val="b"/>
      <c:legendEntry>
        <c:idx val="0"/>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CPPSS00084 Post-Construction Timber Pest Management Skill Set</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2026-08-28T05:41:07Z</dcterms:created>
  <dcterms:modified xsi:type="dcterms:W3CDTF">2026-08-28T05:41:07Z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