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even" r:id="rId5"/>
          <w:headerReference w:type="default" r:id="rId6"/>
          <w:footerReference w:type="default" r:id="rId7"/>
          <w:headerReference w:type="first" r:id="rId8"/>
          <w:pgSz w:w="11906" w:h="16838"/>
          <w:pgMar w:top="1701" w:right="1418" w:bottom="1701" w:left="1418" w:header="709" w:footer="709" w:gutter="0"/>
          <w:cols w:space="708"/>
          <w:docGrid w:linePitch="360"/>
        </w:sectPr>
      </w:pPr>
      <w:bookmarkStart w:id="0" w:name="_Toc184217249"/>
      <w:bookmarkStart w:id="1" w:name="_Toc184220964"/>
      <w:r w:rsidRPr="00262572">
        <w:t>CPPSS00087 Supervisory Pest Management Skill Set</w:t>
      </w:r>
      <w:bookmarkEnd w:id="0"/>
      <w:bookmarkEnd w:id="1"/>
    </w:p>
    <w:p w:rsidR="00D44002" w:rsidRPr="00F31CE3" w:rsidP="00F31CE3" w14:paraId="160C8F32" w14:textId="3B105B63">
      <w:pPr>
        <w:pStyle w:val="ChapterTitle"/>
      </w:pPr>
      <w:bookmarkStart w:id="2" w:name="CPPSS00087"/>
      <w:r w:rsidRPr="00F31CE3">
        <w:t>CPPSS00087 Supervisory Pest Management Skill Set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CPP Property Services Training Package Release 19.0.</w:t>
            </w:r>
          </w:p>
        </w:tc>
      </w:tr>
    </w:tbl>
    <w:p w:rsidR="00D44002" w:rsidRPr="00F31CE3" w:rsidP="00F31CE3">
      <w:pPr>
        <w:pStyle w:val="Heading1"/>
      </w:pPr>
      <w:r w:rsidRPr="00F31CE3">
        <w:t>Description</w:t>
      </w:r>
    </w:p>
    <w:p w:rsidR="00D44002" w:rsidRPr="00F31CE3" w:rsidP="00F31CE3">
      <w:r w:rsidRPr="00F31CE3">
        <w:t>This skill set addresses the skills and knowledge required to undertake supervisory roles in pest management services.</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units of competency from within this skill set can vary between states and territories. Candidates must check requirements with relevant bodies before applying this skill set.  </w:t>
      </w:r>
    </w:p>
    <w:p w:rsidR="00D44002" w:rsidRPr="00F31CE3" w:rsidP="00F31CE3">
      <w:pPr>
        <w:pStyle w:val="Heading1"/>
      </w:pPr>
      <w:r w:rsidRPr="00F31CE3">
        <w:t>Pathways Information</w:t>
      </w:r>
    </w:p>
    <w:p w:rsidR="00D44002" w:rsidRPr="00F31CE3" w:rsidP="00F31CE3">
      <w:r w:rsidRPr="00F31CE3">
        <w:t>These units of competency are suggested for career progression into a supervisory role following CPP30126 Certificate III in Urban Pest Management or equivalent experience.</w:t>
      </w:r>
    </w:p>
    <w:p w:rsidR="00D44002" w:rsidRPr="00F31CE3" w:rsidP="00F31CE3">
      <w:pPr>
        <w:pStyle w:val="Heading1"/>
      </w:pPr>
      <w:r w:rsidRPr="00F31CE3">
        <w:t>Entry Requirements</w:t>
      </w:r>
    </w:p>
    <w:p w:rsidR="00D44002" w:rsidRPr="00F31CE3" w:rsidP="00F31CE3">
      <w:r w:rsidRPr="00F31CE3">
        <w:t>There are no entry requirements for this skill set.</w:t>
      </w:r>
    </w:p>
    <w:p w:rsidR="00D44002" w:rsidRPr="00F31CE3" w:rsidP="00F31CE3">
      <w:pPr>
        <w:pStyle w:val="Heading1"/>
      </w:pPr>
      <w:r w:rsidRPr="00F31CE3">
        <w:t>Foundation Skills Outcomes</w:t>
      </w:r>
    </w:p>
    <w:p w:rsidR="00D44002" w:rsidRPr="00F31CE3" w:rsidP="00F31CE3">
      <w:r w:rsidRPr="00F31CE3">
        <w:t>The foundation skills outcomes in this skill set are outlined below.</w:t>
      </w:r>
    </w:p>
    <w:p w:rsidR="00D44002" w:rsidRPr="00F31CE3" w:rsidP="00F31CE3">
      <w:r w:rsidRPr="00F31CE3">
        <w:drawing>
          <wp:inline>
            <wp:extent cx="5759450" cy="3359679"/>
            <wp:docPr id="10000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BSBXTW401</w:t>
            </w:r>
          </w:p>
        </w:tc>
        <w:tc>
          <w:tcPr>
            <w:tcW w:w="4535" w:type="dxa"/>
          </w:tcPr>
          <w:p w:rsidR="00D44002" w:rsidRPr="00F31CE3" w:rsidP="00F31CE3">
            <w:r w:rsidRPr="00F31CE3">
              <w:t>Lead and facilitate a team</w:t>
            </w:r>
          </w:p>
        </w:tc>
      </w:tr>
      <w:tr>
        <w:tblPrEx>
          <w:tblW w:w="5000" w:type="pct"/>
        </w:tblPrEx>
        <w:tc>
          <w:tcPr>
            <w:tcW w:w="4535" w:type="dxa"/>
          </w:tcPr>
          <w:p w:rsidR="00D44002" w:rsidRPr="00F31CE3" w:rsidP="00F31CE3">
            <w:r w:rsidRPr="00F31CE3">
              <w:t>CPPUPM4101</w:t>
            </w:r>
          </w:p>
        </w:tc>
        <w:tc>
          <w:tcPr>
            <w:tcW w:w="4535" w:type="dxa"/>
          </w:tcPr>
          <w:p w:rsidR="00D44002" w:rsidRPr="00F31CE3" w:rsidP="00F31CE3">
            <w:r w:rsidRPr="00F31CE3">
              <w:t>Assess and select pest management vehicle and equipment</w:t>
            </w:r>
          </w:p>
        </w:tc>
      </w:tr>
      <w:tr>
        <w:tblPrEx>
          <w:tblW w:w="5000" w:type="pct"/>
        </w:tblPrEx>
        <w:tc>
          <w:tcPr>
            <w:tcW w:w="4535" w:type="dxa"/>
          </w:tcPr>
          <w:p w:rsidR="00D44002" w:rsidRPr="00F31CE3" w:rsidP="00F31CE3">
            <w:r w:rsidRPr="00F31CE3">
              <w:t>CPPUPM4102</w:t>
            </w:r>
          </w:p>
        </w:tc>
        <w:tc>
          <w:tcPr>
            <w:tcW w:w="4535" w:type="dxa"/>
          </w:tcPr>
          <w:p w:rsidR="00D44002" w:rsidRPr="00F31CE3" w:rsidP="00F31CE3">
            <w:r w:rsidRPr="00F31CE3">
              <w:t>Schedule, organise and monitor pest management operations</w:t>
            </w:r>
          </w:p>
        </w:tc>
      </w:tr>
      <w:tr>
        <w:tblPrEx>
          <w:tblW w:w="5000" w:type="pct"/>
        </w:tblPrEx>
        <w:tc>
          <w:tcPr>
            <w:tcW w:w="4535" w:type="dxa"/>
          </w:tcPr>
          <w:p w:rsidR="00D44002" w:rsidRPr="00F31CE3" w:rsidP="00F31CE3">
            <w:r w:rsidRPr="00F31CE3">
              <w:t>TLIM0004</w:t>
            </w:r>
          </w:p>
        </w:tc>
        <w:tc>
          <w:tcPr>
            <w:tcW w:w="4535" w:type="dxa"/>
          </w:tcPr>
          <w:p w:rsidR="00D44002" w:rsidRPr="00F31CE3" w:rsidP="00F31CE3">
            <w:r w:rsidRPr="00F31CE3">
              <w:t>Mentor individuals or small groups</w:t>
            </w:r>
          </w:p>
        </w:tc>
      </w:tr>
    </w:tbl>
    <w:p w:rsidR="00D44002" w:rsidRPr="00F31CE3" w:rsidP="00F31CE3">
      <w:pPr>
        <w:pStyle w:val="Heading1"/>
      </w:pPr>
      <w:r w:rsidRPr="00F31CE3">
        <w:t>Pre-requisite Requirements</w:t>
      </w:r>
    </w:p>
    <w:p w:rsidR="00D44002" w:rsidRPr="00F31CE3" w:rsidP="00F31CE3">
      <w:r w:rsidRPr="00F31CE3">
        <w:t>There are no pre-requisites associated with units packaged in this skill set.</w:t>
      </w:r>
    </w:p>
    <w:p w:rsidR="00D44002" w:rsidRPr="00F31CE3" w:rsidP="00F31CE3">
      <w:pPr>
        <w:pStyle w:val="Heading1"/>
      </w:pPr>
      <w:r w:rsidRPr="00F31CE3">
        <w:t>Skill Set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skill set has been created to address a requirement by industry.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0" w:history="1">
        <w:r w:rsidRPr="00F31CE3">
          <w:rPr>
            <w:rStyle w:val="Hyperlink"/>
          </w:rPr>
          <w:t>https://training.gov.au/training/details/CPP</w:t>
        </w:r>
      </w:hyperlink>
      <w:r w:rsidRPr="00F31CE3">
        <w:t>.</w:t>
      </w:r>
    </w:p>
    <w:p w:rsidR="00D44002" w:rsidRPr="00F31CE3" w:rsidP="00F31CE3"/>
    <w:sectPr w:rsidSect="00F31508">
      <w:headerReference w:type="even" r:id="rId11"/>
      <w:headerReference w:type="default" r:id="rId12"/>
      <w:footerReference w:type="even" r:id="rId13"/>
      <w:footerReference w:type="default" r:id="rId14"/>
      <w:headerReference w:type="first" r:id="rId15"/>
      <w:footerReference w:type="first" r:id="rId16"/>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4" o:spid="_x0000_s2051" type="#_x0000_t136" style="width:429.38pt;height:195.31pt;margin-top:0;margin-left:0;mso-position-horizontal:center;mso-position-horizontal-relative:margin;mso-position-vertical:center;mso-position-vertical-relative:margin;position:absolute;rotation:315;z-index:-251656192" fillcolor="#d3d3d3" strokecolor="#d3d3d3">
          <v:fill opacity="0.5"/>
          <v:textpath style="font-family:Calibri"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5" o:spid="_x0000_s2049" type="#_x0000_t136" style="width:429.38pt;height:195.31pt;margin-top:0;margin-left:0;mso-position-horizontal:center;mso-position-horizontal-relative:margin;mso-position-vertical:center;mso-position-vertical-relative:margin;position:absolute;rotation:315;z-index:-251658240" fillcolor="#d3d3d3" strokecolor="#d3d3d3">
          <v:fill opacity="0.5"/>
          <v:textpath style="font-family:Calibri"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3" o:spid="_x0000_s2050" type="#_x0000_t136" style="width:429.38pt;height:195.31pt;margin-top:0;margin-left:0;mso-position-horizontal:center;mso-position-horizontal-relative:margin;mso-position-vertical:center;mso-position-vertical-relative:margin;position:absolute;rotation:315;z-index:-251657216" fillcolor="#d3d3d3" strokecolor="#d3d3d3">
          <v:fill opacity="0.5"/>
          <v:textpath style="font-family:Calibri"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7" o:spid="_x0000_s2052" type="#_x0000_t136" style="width:429.38pt;height:195.31pt;margin-top:0;margin-left:0;mso-position-horizontal:center;mso-position-horizontal-relative:margin;mso-position-vertical:center;mso-position-vertical-relative:margin;position:absolute;rotation:315;z-index:-251655168" fillcolor="#d3d3d3" strokecolor="#d3d3d3">
          <v:fill opacity="0.5"/>
          <v:textpath style="font-family:Calibri"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CPPSS00087 Supervisory Pest Management Skill Set</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8" o:spid="_x0000_s2053" type="#_x0000_t136" style="width:429.38pt;height:195.31pt;margin-top:0;margin-left:0;mso-position-horizontal:center;mso-position-horizontal-relative:margin;mso-position-vertical:center;mso-position-vertical-relative:margin;position:absolute;rotation:315;z-index:-251654144" fillcolor="#d3d3d3" strokecolor="#d3d3d3">
          <v:fill opacity="0.5"/>
          <v:textpath style="font-family:Calibri"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6" o:spid="_x0000_s2054" type="#_x0000_t136" style="width:429.38pt;height:195.31pt;margin-top:0;margin-left:0;mso-position-horizontal:center;mso-position-horizontal-relative:margin;mso-position-vertical:center;mso-position-vertical-relative:margin;position:absolute;rotation:315;z-index:-251653120" fillcolor="#d3d3d3" strokecolor="#d3d3d3">
          <v:fill opacity="0.5"/>
          <v:textpath style="font-family:Calibri"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num w:numId="1" w16cid:durableId="2124492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training.gov.au/training/details/CPP"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chart" Target="charts/chart1.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ACSF core skill</c:v>
          </c:tx>
          <c:invertIfNegative val="0"/>
          <c:cat>
            <c:strLit>
              <c:ptCount val="5"/>
              <c:pt idx="0">
                <c:v>Learning</c:v>
              </c:pt>
              <c:pt idx="1">
                <c:v>Reading</c:v>
              </c:pt>
              <c:pt idx="2">
                <c:v>Writing</c:v>
              </c:pt>
              <c:pt idx="3">
                <c:v>Oral Communication</c:v>
              </c:pt>
              <c:pt idx="4">
                <c:v>Numeracy</c:v>
              </c:pt>
            </c:strLit>
          </c:cat>
          <c:val>
            <c:numLit>
              <c:formatCode>General</c:formatCode>
              <c:ptCount val="5"/>
              <c:pt idx="0">
                <c:v>4</c:v>
              </c:pt>
              <c:pt idx="1">
                <c:v>4</c:v>
              </c:pt>
              <c:pt idx="2">
                <c:v>4</c:v>
              </c:pt>
              <c:pt idx="3">
                <c:v>4</c:v>
              </c:pt>
              <c:pt idx="4">
                <c:v>4</c:v>
              </c:pt>
            </c:numLit>
          </c:val>
        </c:ser>
        <c:dLbls>
          <c:showLegendKey val="0"/>
          <c:showVal val="0"/>
          <c:showCatName val="0"/>
          <c:showSerName val="0"/>
          <c:showPercent val="0"/>
          <c:showBubbleSize val="0"/>
        </c:dLbls>
        <c:gapWidth val="219"/>
        <c:overlap val="-27"/>
        <c:axId val="305324448"/>
        <c:axId val="305318568"/>
      </c:barChart>
      <c:catAx>
        <c:axId val="305324448"/>
        <c:scaling>
          <c:orientation val="minMax"/>
        </c:scaling>
        <c:delete val="0"/>
        <c:axPos val="b"/>
        <c:title>
          <c:tx>
            <c:rich>
              <a:bodyPr/>
              <a:lstStyle/>
              <a:p>
                <a:pPr>
                  <a:defRPr sz="1200" b="0" i="0" u="none" strike="noStrike" kern="1200" spc="0" baseline="0">
                    <a:solidFill>
                      <a:schemeClr val="tx1">
                        <a:lumMod val="65000"/>
                        <a:lumOff val="35000"/>
                      </a:schemeClr>
                    </a:solidFill>
                  </a:defRPr>
                </a:pPr>
                <a:r>
                  <a:rPr sz="1200"/>
                  <a:t>ACSF core skill</a:t>
                </a:r>
              </a:p>
            </c:rich>
          </c:tx>
          <c:layout/>
          <c:overlay val="0"/>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18568"/>
        <c:crosses val="autoZero"/>
        <c:auto val="1"/>
        <c:lblAlgn val="ctr"/>
        <c:lblOffset val="100"/>
        <c:noMultiLvlLbl val="0"/>
      </c:catAx>
      <c:valAx>
        <c:axId val="305318568"/>
        <c:scaling>
          <c:orientation val="minMax"/>
          <c:max val="5"/>
          <c:min val="0"/>
        </c:scaling>
        <c:delete val="0"/>
        <c:axPos val="l"/>
        <c:majorGridlines>
          <c:spPr>
            <a:ln w="9525">
              <a:solidFill>
                <a:schemeClr val="tx1">
                  <a:lumMod val="15000"/>
                  <a:lumOff val="85000"/>
                </a:schemeClr>
              </a:solidFill>
              <a:round/>
            </a:ln>
            <a:effectLst/>
          </c:spPr>
        </c:majorGridlines>
        <c:title>
          <c:tx>
            <c:rich>
              <a:bodyPr/>
              <a:lstStyle/>
              <a:p>
                <a:pPr>
                  <a:defRPr sz="1200" b="0" i="0" u="none" strike="noStrike" kern="1200" spc="0" baseline="0">
                    <a:solidFill>
                      <a:schemeClr val="tx1">
                        <a:lumMod val="65000"/>
                        <a:lumOff val="35000"/>
                      </a:schemeClr>
                    </a:solidFill>
                  </a:defRPr>
                </a:pPr>
                <a:r>
                  <a:rPr sz="1200"/>
                  <a:t>ACSF level</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24448"/>
        <c:crosses val="autoZero"/>
        <c:crossBetween val="between"/>
        <c:majorUnit val="1"/>
        <c:minorUnit val="1"/>
      </c:valAx>
      <c:spPr>
        <a:noFill/>
        <a:ln>
          <a:noFill/>
        </a:ln>
        <a:effectLst/>
      </c:spPr>
    </c:plotArea>
    <c:legend>
      <c:legendPos val="b"/>
      <c:legendEntry>
        <c:idx val="0"/>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CPPSS00087 Supervisory Pest Management Skill Set</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2026-08-28T05:45:23Z</dcterms:created>
  <dcterms:modified xsi:type="dcterms:W3CDTF">2026-08-28T05:45:23Z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