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CPC40120 Certificate IV in Building and Construction</w:t>
      </w:r>
      <w:bookmarkEnd w:id="0"/>
      <w:bookmarkEnd w:id="1"/>
    </w:p>
    <w:p w:rsidR="00D44002" w:rsidRPr="00F31CE3" w:rsidP="00F31CE3" w14:paraId="160C8F32" w14:textId="3B105B63">
      <w:pPr>
        <w:pStyle w:val="ChapterTitle"/>
      </w:pPr>
      <w:bookmarkStart w:id="2" w:name="CPC40120"/>
      <w:r w:rsidRPr="00F31CE3">
        <w:t>CPC40120 Certificate IV in Building and Construction</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9</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11.0.</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One new elective unit has been added, and six units that are prerequisites have been added to the general electives list.</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w:t>
            </w:r>
          </w:p>
          <w:p w:rsidR="00D44002" w:rsidRPr="00F31CE3" w:rsidP="00F31CE3"/>
        </w:tc>
      </w:tr>
      <w:tr>
        <w:tblPrEx>
          <w:tblW w:w="5000" w:type="pct"/>
        </w:tblPrEx>
        <w:tc>
          <w:tcPr>
            <w:tcW w:w="1600" w:type="dxa"/>
          </w:tcPr>
          <w:p w:rsidR="00D44002" w:rsidRPr="00F31CE3" w:rsidP="00F31CE3">
            <w:r w:rsidRPr="00F31CE3">
              <w:t>8</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Updated reference to general construction induction training program.</w:t>
            </w:r>
          </w:p>
          <w:p w:rsidR="00D44002" w:rsidRPr="00F31CE3" w:rsidP="00F31CE3"/>
        </w:tc>
      </w:tr>
      <w:tr>
        <w:tblPrEx>
          <w:tblW w:w="5000" w:type="pct"/>
        </w:tblPrEx>
        <w:tc>
          <w:tcPr>
            <w:tcW w:w="1600" w:type="dxa"/>
          </w:tcPr>
          <w:p w:rsidR="00D44002" w:rsidRPr="00F31CE3" w:rsidP="00F31CE3">
            <w:r w:rsidRPr="00F31CE3">
              <w:t>7</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9.0.</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Addition of unit </w:t>
            </w:r>
            <w:r>
              <w:rPr>
                <w:rFonts w:ascii="Times New Roman" w:eastAsia="Times New Roman" w:hAnsi="Times New Roman" w:cs="Times New Roman"/>
                <w:kern w:val="0"/>
                <w14:ligatures w14:val="none"/>
              </w:rPr>
              <w:t>CPCPRE4001</w:t>
            </w:r>
            <w:r>
              <w:rPr>
                <w:rFonts w:ascii="Times New Roman" w:eastAsia="Times New Roman" w:hAnsi="Times New Roman" w:cs="Times New Roman"/>
                <w:kern w:val="0"/>
                <w14:ligatures w14:val="none"/>
              </w:rPr>
              <w:t xml:space="preserve"> Inspect the erection of prefabricated concrete elements to the elective group.</w:t>
            </w:r>
          </w:p>
          <w:p w:rsidR="00D44002" w:rsidRPr="00F31CE3" w:rsidP="00F31CE3"/>
        </w:tc>
      </w:tr>
      <w:tr>
        <w:tblPrEx>
          <w:tblW w:w="5000" w:type="pct"/>
        </w:tblPrEx>
        <w:tc>
          <w:tcPr>
            <w:tcW w:w="1600" w:type="dxa"/>
          </w:tcPr>
          <w:p w:rsidR="00D44002" w:rsidRPr="00F31CE3" w:rsidP="00F31CE3">
            <w:r w:rsidRPr="00F31CE3">
              <w:t>6</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8.0.</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Unit </w:t>
            </w:r>
            <w:r>
              <w:rPr>
                <w:rFonts w:ascii="Times New Roman" w:eastAsia="Times New Roman" w:hAnsi="Times New Roman" w:cs="Times New Roman"/>
                <w:kern w:val="0"/>
                <w14:ligatures w14:val="none"/>
              </w:rPr>
              <w:t>BSBPMG426</w:t>
            </w:r>
            <w:r>
              <w:rPr>
                <w:rFonts w:ascii="Times New Roman" w:eastAsia="Times New Roman" w:hAnsi="Times New Roman" w:cs="Times New Roman"/>
                <w:kern w:val="0"/>
                <w14:ligatures w14:val="none"/>
              </w:rPr>
              <w:t xml:space="preserve"> Apply project risk management techniques added to metadata.</w:t>
            </w:r>
          </w:p>
          <w:p w:rsidR="00D44002" w:rsidRPr="00F31CE3" w:rsidP="00F31CE3"/>
        </w:tc>
      </w:tr>
      <w:tr>
        <w:tblPrEx>
          <w:tblW w:w="5000" w:type="pct"/>
        </w:tblPrEx>
        <w:tc>
          <w:tcPr>
            <w:tcW w:w="1600" w:type="dxa"/>
          </w:tcPr>
          <w:p w:rsidR="00D44002" w:rsidRPr="00F31CE3" w:rsidP="00F31CE3">
            <w:r w:rsidRPr="00F31CE3">
              <w:t>5</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6.6.</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Unit </w:t>
            </w:r>
            <w:r>
              <w:rPr>
                <w:rFonts w:ascii="Times New Roman" w:eastAsia="Times New Roman" w:hAnsi="Times New Roman" w:cs="Times New Roman"/>
                <w:kern w:val="0"/>
                <w14:ligatures w14:val="none"/>
              </w:rPr>
              <w:t>CPCCBC4052</w:t>
            </w:r>
            <w:r>
              <w:rPr>
                <w:rFonts w:ascii="Times New Roman" w:eastAsia="Times New Roman" w:hAnsi="Times New Roman" w:cs="Times New Roman"/>
                <w:kern w:val="0"/>
                <w14:ligatures w14:val="none"/>
              </w:rPr>
              <w:t xml:space="preserve"> Lead and manage teams in the building and construction industry added to metadata.</w:t>
            </w:r>
          </w:p>
          <w:p w:rsidR="00D44002" w:rsidRPr="00F31CE3" w:rsidP="00F31CE3"/>
        </w:tc>
      </w:tr>
      <w:tr>
        <w:tblPrEx>
          <w:tblW w:w="5000" w:type="pct"/>
        </w:tblPrEx>
        <w:tc>
          <w:tcPr>
            <w:tcW w:w="1600" w:type="dxa"/>
          </w:tcPr>
          <w:p w:rsidR="00D44002" w:rsidRPr="00F31CE3" w:rsidP="00F31CE3">
            <w:r w:rsidRPr="00F31CE3">
              <w:t>4</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6.2.</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Imported Elective unit </w:t>
            </w:r>
            <w:r>
              <w:rPr>
                <w:rFonts w:ascii="Times New Roman" w:eastAsia="Times New Roman" w:hAnsi="Times New Roman" w:cs="Times New Roman"/>
                <w:kern w:val="0"/>
                <w14:ligatures w14:val="none"/>
              </w:rPr>
              <w:t>BSBWOR501</w:t>
            </w:r>
            <w:r>
              <w:rPr>
                <w:rFonts w:ascii="Times New Roman" w:eastAsia="Times New Roman" w:hAnsi="Times New Roman" w:cs="Times New Roman"/>
                <w:kern w:val="0"/>
                <w14:ligatures w14:val="none"/>
              </w:rPr>
              <w:t xml:space="preserve"> Manage personal work priorities and professional development updated to </w:t>
            </w:r>
            <w:r>
              <w:rPr>
                <w:rFonts w:ascii="Times New Roman" w:eastAsia="Times New Roman" w:hAnsi="Times New Roman" w:cs="Times New Roman"/>
                <w:kern w:val="0"/>
                <w14:ligatures w14:val="none"/>
              </w:rPr>
              <w:t>BSBPEF501</w:t>
            </w:r>
            <w:r>
              <w:rPr>
                <w:rFonts w:ascii="Times New Roman" w:eastAsia="Times New Roman" w:hAnsi="Times New Roman" w:cs="Times New Roman"/>
                <w:kern w:val="0"/>
                <w14:ligatures w14:val="none"/>
              </w:rPr>
              <w:t xml:space="preserve"> Manage personal and professional development.</w:t>
            </w:r>
          </w:p>
          <w:p w:rsidR="00D44002" w:rsidRPr="00F31CE3" w:rsidP="00F31CE3"/>
        </w:tc>
      </w:tr>
      <w:tr>
        <w:tblPrEx>
          <w:tblW w:w="5000" w:type="pct"/>
        </w:tblPrEx>
        <w:tc>
          <w:tcPr>
            <w:tcW w:w="1600" w:type="dxa"/>
          </w:tcPr>
          <w:p w:rsidR="00D44002" w:rsidRPr="00F31CE3" w:rsidP="00F31CE3">
            <w:r w:rsidRPr="00F31CE3">
              <w:t>3</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6.1.</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Addition of 3 units of competency to the General Electives:</w:t>
            </w:r>
          </w:p>
          <w:p>
            <w:pPr>
              <w:numPr>
                <w:ilvl w:val="0"/>
                <w:numId w:val="2"/>
              </w:numPr>
              <w:spacing w:before="240" w:after="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CPCBIM4001</w:t>
            </w:r>
            <w:r>
              <w:rPr>
                <w:rFonts w:ascii="Times New Roman" w:eastAsia="Times New Roman" w:hAnsi="Times New Roman" w:cs="Times New Roman"/>
                <w:kern w:val="0"/>
                <w14:ligatures w14:val="none"/>
              </w:rPr>
              <w:t xml:space="preserve"> Plan to comply with BIM requirements for construction work.</w:t>
            </w:r>
          </w:p>
          <w:p>
            <w:pPr>
              <w:numPr>
                <w:ilvl w:val="0"/>
                <w:numId w:val="2"/>
              </w:numPr>
              <w:spacing w:before="0" w:after="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CPCBIM4002</w:t>
            </w:r>
            <w:r>
              <w:rPr>
                <w:rFonts w:ascii="Times New Roman" w:eastAsia="Times New Roman" w:hAnsi="Times New Roman" w:cs="Times New Roman"/>
                <w:kern w:val="0"/>
                <w14:ligatures w14:val="none"/>
              </w:rPr>
              <w:t xml:space="preserve"> Use BIM processes to carry out construction work</w:t>
            </w:r>
          </w:p>
          <w:p>
            <w:pPr>
              <w:numPr>
                <w:ilvl w:val="0"/>
                <w:numId w:val="2"/>
              </w:numPr>
              <w:spacing w:before="0" w:after="240" w:line="240" w:lineRule="auto"/>
              <w:ind w:left="720" w:hanging="210"/>
              <w:jc w:val="left"/>
              <w:rPr>
                <w:rFonts w:eastAsia="Times New Roman"/>
                <w:kern w:val="0"/>
                <w14:ligatures w14:val="none"/>
              </w:rPr>
            </w:pPr>
            <w:r>
              <w:rPr>
                <w:rFonts w:ascii="Times New Roman" w:eastAsia="Times New Roman" w:hAnsi="Times New Roman" w:cs="Times New Roman"/>
                <w:kern w:val="0"/>
                <w14:ligatures w14:val="none"/>
              </w:rPr>
              <w:t>CPCBIM4003</w:t>
            </w:r>
            <w:r>
              <w:rPr>
                <w:rFonts w:ascii="Times New Roman" w:eastAsia="Times New Roman" w:hAnsi="Times New Roman" w:cs="Times New Roman"/>
                <w:kern w:val="0"/>
                <w14:ligatures w14:val="none"/>
              </w:rPr>
              <w:t xml:space="preserve"> Contribute to BIM deliverables for construction work</w:t>
            </w:r>
          </w:p>
          <w:p w:rsidR="00D44002" w:rsidRPr="00F31CE3" w:rsidP="00F31CE3"/>
        </w:tc>
      </w:tr>
      <w:tr>
        <w:tblPrEx>
          <w:tblW w:w="5000" w:type="pct"/>
        </w:tblPrEx>
        <w:tc>
          <w:tcPr>
            <w:tcW w:w="1600" w:type="dxa"/>
          </w:tcPr>
          <w:p w:rsidR="00D44002" w:rsidRPr="00F31CE3" w:rsidP="00F31CE3">
            <w:r w:rsidRPr="00F31CE3">
              <w:t>2</w:t>
            </w:r>
          </w:p>
        </w:tc>
        <w:tc>
          <w:tcPr>
            <w:tcW w:w="7470"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This version first released with CPC Construction, Plumbing and Services Training Package Release 5.1.</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 xml:space="preserve">Imported unit </w:t>
            </w:r>
          </w:p>
          <w:p w:rsidR="00D44002" w:rsidRPr="00F31CE3" w:rsidP="00F31CE3"/>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qualification was first released in CPC Construction, Plumbing and Services Training Package Release 5.0.</w:t>
            </w:r>
          </w:p>
        </w:tc>
      </w:tr>
    </w:tbl>
    <w:p w:rsidR="00D44002" w:rsidRPr="00F31CE3" w:rsidP="00F31CE3">
      <w:pPr>
        <w:pStyle w:val="Heading1"/>
      </w:pPr>
      <w:r w:rsidRPr="00F31CE3">
        <w:t>Qualification Description</w:t>
      </w:r>
    </w:p>
    <w:p w:rsidR="00D44002" w:rsidRPr="00F31CE3" w:rsidP="00F31CE3">
      <w:r w:rsidRPr="00F31CE3">
        <w:t>This qualification reflects the role of builders, site managers and managers of small to medium-sized building businesses who apply knowledge of structural principles, codes, standards and legal requirements to Class 1 and 10, to a maximum of two storeys and Class 2 to 9 Type C constructions, and who plan and supervise safe building and construction work, prepare and administer contracts, and who apply quality principles to building and construction projects.</w:t>
      </w:r>
    </w:p>
    <w:p w:rsidR="00D44002" w:rsidRPr="00F31CE3" w:rsidP="00F31CE3">
      <w:r w:rsidRPr="00F31CE3">
        <w:t>Building relates to construction and Site Management is about managing the factors around construction, such as the deployment of crews with specialised skills (including builders), product compliance, deployment of contract specialised skills, weather and site location.</w:t>
      </w:r>
    </w:p>
    <w:p w:rsidR="00D44002" w:rsidRPr="00F31CE3" w:rsidP="00F31CE3">
      <w:r w:rsidRPr="00F31CE3">
        <w:t>Occupational titles depending on packaging options selected may include:</w:t>
      </w:r>
    </w:p>
    <w:p w:rsidR="00D44002" w:rsidRPr="00F31CE3" w:rsidP="00F31CE3">
      <w:pPr>
        <w:numPr>
          <w:ilvl w:val="0"/>
          <w:numId w:val="3"/>
        </w:numPr>
        <w:ind w:left="720" w:hanging="360"/>
        <w:jc w:val="left"/>
      </w:pPr>
      <w:r w:rsidRPr="00F31CE3">
        <w:t>Builder</w:t>
      </w:r>
    </w:p>
    <w:p w:rsidR="00D44002" w:rsidRPr="00F31CE3" w:rsidP="00F31CE3">
      <w:pPr>
        <w:numPr>
          <w:ilvl w:val="0"/>
          <w:numId w:val="3"/>
        </w:numPr>
        <w:ind w:left="720" w:hanging="360"/>
        <w:jc w:val="left"/>
      </w:pPr>
      <w:r w:rsidRPr="00F31CE3">
        <w:t>Construction Supervisor</w:t>
      </w:r>
    </w:p>
    <w:p w:rsidR="00D44002" w:rsidRPr="00F31CE3" w:rsidP="00F31CE3">
      <w:pPr>
        <w:numPr>
          <w:ilvl w:val="0"/>
          <w:numId w:val="3"/>
        </w:numPr>
        <w:ind w:left="720" w:hanging="360"/>
        <w:jc w:val="left"/>
      </w:pPr>
      <w:r w:rsidRPr="00F31CE3">
        <w:t>Site Manager</w:t>
      </w:r>
    </w:p>
    <w:p w:rsidR="00D44002" w:rsidRPr="00F31CE3" w:rsidP="00F31CE3">
      <w:pPr>
        <w:numPr>
          <w:ilvl w:val="0"/>
          <w:numId w:val="3"/>
        </w:numPr>
        <w:ind w:left="720" w:hanging="360"/>
        <w:jc w:val="left"/>
      </w:pPr>
      <w:r w:rsidRPr="00F31CE3">
        <w:t>Site Supervisor</w:t>
      </w:r>
    </w:p>
    <w:p w:rsidR="00D44002" w:rsidRPr="00F31CE3" w:rsidP="00F31CE3">
      <w:pPr>
        <w:numPr>
          <w:ilvl w:val="0"/>
          <w:numId w:val="3"/>
        </w:numPr>
        <w:ind w:left="720" w:hanging="360"/>
        <w:jc w:val="left"/>
      </w:pPr>
      <w:r w:rsidRPr="00F31CE3">
        <w:t>Leading Hand</w:t>
      </w:r>
    </w:p>
    <w:p w:rsidR="00D44002" w:rsidRPr="00F31CE3" w:rsidP="00F31CE3">
      <w:r w:rsidRPr="00F31CE3">
        <w:t>The qualification is designed to enable two specialised occupational outcome pathways depending on elective options which will be reflected as:</w:t>
      </w:r>
    </w:p>
    <w:p w:rsidR="00D44002" w:rsidRPr="00F31CE3" w:rsidP="00F31CE3">
      <w:pPr>
        <w:numPr>
          <w:ilvl w:val="0"/>
          <w:numId w:val="4"/>
        </w:numPr>
        <w:ind w:left="720" w:hanging="360"/>
        <w:jc w:val="left"/>
      </w:pPr>
      <w:r w:rsidRPr="00F31CE3">
        <w:t>Certificate IV in Building and Construction (Building) or</w:t>
      </w:r>
    </w:p>
    <w:p w:rsidR="00D44002" w:rsidRPr="00F31CE3" w:rsidP="00F31CE3">
      <w:pPr>
        <w:numPr>
          <w:ilvl w:val="0"/>
          <w:numId w:val="4"/>
        </w:numPr>
        <w:ind w:left="720" w:hanging="360"/>
        <w:jc w:val="left"/>
      </w:pPr>
      <w:r w:rsidRPr="00F31CE3">
        <w:t>Certificate IV in Building and Construction (Site Management)</w:t>
      </w:r>
    </w:p>
    <w:p w:rsidR="00D44002" w:rsidRPr="00F31CE3" w:rsidP="00F31CE3">
      <w:r w:rsidRPr="00F31CE3">
        <w:t>Completion of the general construction induction training program specified by the model Code of Practice for Construction Work is required for any person who is to carry out construction work. </w:t>
      </w:r>
    </w:p>
    <w:p w:rsidR="00D44002" w:rsidRPr="00F31CE3" w:rsidP="00F31CE3">
      <w:pPr>
        <w:pStyle w:val="Heading1"/>
      </w:pPr>
      <w:r w:rsidRPr="00F31CE3">
        <w:t>Licensing/Regulatory Information</w:t>
      </w:r>
    </w:p>
    <w:p w:rsidR="00D44002" w:rsidRPr="00F31CE3" w:rsidP="00F31CE3">
      <w:r w:rsidRPr="00F31CE3">
        <w:t>Builder and Site Supervisor licensing varies across States and Territories and requirements additional to the attainment of this qualification may be required.</w:t>
      </w:r>
    </w:p>
    <w:p w:rsidR="00D44002" w:rsidRPr="00F31CE3" w:rsidP="00F31CE3">
      <w:pPr>
        <w:pStyle w:val="Heading1"/>
      </w:pPr>
      <w:r w:rsidRPr="00F31CE3">
        <w:t>Entry Requirements</w:t>
      </w:r>
    </w:p>
    <w:p w:rsidR="00D44002" w:rsidRPr="00F31CE3" w:rsidP="00F31CE3">
      <w:r w:rsidRPr="00F31CE3">
        <w:t>There are no entry requirements for this qualification.</w:t>
      </w:r>
    </w:p>
    <w:p w:rsidR="00D44002" w:rsidRPr="00F31CE3" w:rsidP="00F31CE3">
      <w:pPr>
        <w:pStyle w:val="Heading1"/>
      </w:pPr>
      <w:r w:rsidRPr="00F31CE3">
        <w:t>Packaging Rules</w:t>
      </w:r>
    </w:p>
    <w:p w:rsidR="00D44002" w:rsidRPr="00F31CE3" w:rsidP="00F31CE3">
      <w:r w:rsidRPr="00F31CE3">
        <w:t>To achieve this qualification, the candidate must demonstrate competency in:</w:t>
      </w:r>
    </w:p>
    <w:p w:rsidR="00D44002" w:rsidRPr="00F31CE3" w:rsidP="00F31CE3">
      <w:pPr>
        <w:numPr>
          <w:ilvl w:val="0"/>
          <w:numId w:val="5"/>
        </w:numPr>
        <w:ind w:left="720" w:hanging="360"/>
        <w:jc w:val="left"/>
      </w:pPr>
      <w:r w:rsidRPr="00F31CE3">
        <w:t>19 units of competency</w:t>
      </w:r>
    </w:p>
    <w:p w:rsidR="00D44002" w:rsidRPr="00F31CE3" w:rsidP="00F31CE3">
      <w:pPr>
        <w:numPr>
          <w:ilvl w:val="1"/>
          <w:numId w:val="5"/>
        </w:numPr>
        <w:ind w:left="1440" w:hanging="360"/>
        <w:jc w:val="left"/>
      </w:pPr>
      <w:r w:rsidRPr="00F31CE3">
        <w:t>11 core units</w:t>
      </w:r>
    </w:p>
    <w:p w:rsidR="00D44002" w:rsidRPr="00F31CE3" w:rsidP="00F31CE3">
      <w:pPr>
        <w:numPr>
          <w:ilvl w:val="1"/>
          <w:numId w:val="5"/>
        </w:numPr>
        <w:ind w:left="1440" w:hanging="360"/>
        <w:jc w:val="left"/>
      </w:pPr>
      <w:r w:rsidRPr="00F31CE3">
        <w:t>8 elective units.</w:t>
      </w:r>
    </w:p>
    <w:p w:rsidR="00D44002" w:rsidRPr="00F31CE3" w:rsidP="00F31CE3">
      <w:r w:rsidRPr="00F31CE3">
        <w:t xml:space="preserve">To achieve the occupational outcome of </w:t>
      </w:r>
      <w:r w:rsidRPr="00F31CE3">
        <w:rPr>
          <w:rStyle w:val="Strong"/>
        </w:rPr>
        <w:t>Builder</w:t>
      </w:r>
      <w:r w:rsidRPr="00F31CE3">
        <w:t xml:space="preserve"> electives must include:</w:t>
      </w:r>
    </w:p>
    <w:p w:rsidR="00D44002" w:rsidRPr="00F31CE3" w:rsidP="00F31CE3">
      <w:pPr>
        <w:numPr>
          <w:ilvl w:val="0"/>
          <w:numId w:val="6"/>
        </w:numPr>
        <w:ind w:left="720" w:hanging="360"/>
        <w:jc w:val="left"/>
      </w:pPr>
      <w:r w:rsidRPr="00F31CE3">
        <w:t> All Group A elective units</w:t>
      </w:r>
    </w:p>
    <w:p w:rsidR="00D44002" w:rsidRPr="00F31CE3" w:rsidP="00F31CE3">
      <w:pPr>
        <w:numPr>
          <w:ilvl w:val="0"/>
          <w:numId w:val="6"/>
        </w:numPr>
        <w:ind w:left="720" w:hanging="360"/>
        <w:jc w:val="left"/>
      </w:pPr>
      <w:r w:rsidRPr="00F31CE3">
        <w:t>Up to two elective units from either Group B or general electives.</w:t>
      </w:r>
    </w:p>
    <w:p w:rsidR="00D44002" w:rsidRPr="00F31CE3" w:rsidP="00F31CE3">
      <w:pPr>
        <w:numPr>
          <w:ilvl w:val="0"/>
          <w:numId w:val="6"/>
        </w:numPr>
        <w:ind w:left="720" w:hanging="360"/>
        <w:jc w:val="left"/>
      </w:pPr>
      <w:r w:rsidRPr="00F31CE3">
        <w:t>One elective unit may be from any training package or accredited course as long as it ensures the integrity of the qualification’s Australian Qualification Framework (AQF) alignment and contributes to a valid, industry supported vocational outcome</w:t>
      </w:r>
    </w:p>
    <w:p w:rsidR="00D44002" w:rsidRPr="00F31CE3" w:rsidP="00F31CE3">
      <w:r w:rsidRPr="00F31CE3">
        <w:t xml:space="preserve">To achieve the occupation outcome of </w:t>
      </w:r>
      <w:r w:rsidRPr="00F31CE3">
        <w:rPr>
          <w:rStyle w:val="Strong"/>
        </w:rPr>
        <w:t>Site Manager</w:t>
      </w:r>
      <w:r w:rsidRPr="00F31CE3">
        <w:t xml:space="preserve"> electives must include:</w:t>
      </w:r>
    </w:p>
    <w:p w:rsidR="00D44002" w:rsidRPr="00F31CE3" w:rsidP="00F31CE3">
      <w:pPr>
        <w:numPr>
          <w:ilvl w:val="0"/>
          <w:numId w:val="7"/>
        </w:numPr>
        <w:ind w:left="720" w:hanging="360"/>
        <w:jc w:val="left"/>
      </w:pPr>
      <w:r w:rsidRPr="00F31CE3">
        <w:t>All Group B electives</w:t>
      </w:r>
    </w:p>
    <w:p w:rsidR="00D44002" w:rsidRPr="00F31CE3" w:rsidP="00F31CE3">
      <w:pPr>
        <w:numPr>
          <w:ilvl w:val="0"/>
          <w:numId w:val="7"/>
        </w:numPr>
        <w:ind w:left="720" w:hanging="360"/>
        <w:jc w:val="left"/>
      </w:pPr>
      <w:r w:rsidRPr="00F31CE3">
        <w:t>Up to four elective units from either Group A or general electives.</w:t>
      </w:r>
    </w:p>
    <w:p w:rsidR="00D44002" w:rsidRPr="00F31CE3" w:rsidP="00F31CE3">
      <w:pPr>
        <w:numPr>
          <w:ilvl w:val="0"/>
          <w:numId w:val="7"/>
        </w:numPr>
        <w:ind w:left="720" w:hanging="360"/>
        <w:jc w:val="left"/>
      </w:pPr>
      <w:r w:rsidRPr="00F31CE3">
        <w:t>One unit may be from any training package or accredited course as long as it ensures the integrity of the qualification’s Australian Qualification Framework (AQF) alignment and contributes to a valid, industry supported vocational outcome</w:t>
      </w:r>
    </w:p>
    <w:p w:rsidR="00D44002" w:rsidRPr="00F31CE3" w:rsidP="00F31CE3">
      <w:r w:rsidRPr="00F31CE3">
        <w:t>Prerequisite units</w:t>
      </w:r>
    </w:p>
    <w:p w:rsidR="00D44002" w:rsidRPr="00F31CE3" w:rsidP="00F31CE3">
      <w:r w:rsidRPr="00F31CE3">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p w:rsidR="00D44002" w:rsidRPr="00F31CE3" w:rsidP="00F31CE3">
      <w:r w:rsidRPr="00F31CE3">
        <w:rPr>
          <w:rStyle w:val="Strong"/>
        </w:rPr>
        <w:t>Core units</w:t>
      </w:r>
    </w:p>
    <w:tbl>
      <w:tblPr>
        <w:tblStyle w:val="TableGrid"/>
        <w:tblW w:w="5000" w:type="pct"/>
        <w:jc w:val="left"/>
      </w:tblPr>
      <w:tblGrid>
        <w:gridCol w:w="1750"/>
        <w:gridCol w:w="7310"/>
      </w:tblGrid>
      <w:tr>
        <w:tblPrEx>
          <w:tblW w:w="5000" w:type="pct"/>
        </w:tblPrEx>
        <w:tc>
          <w:tcPr>
            <w:tcW w:w="0" w:type="auto"/>
          </w:tcPr>
          <w:p w:rsidR="00D44002" w:rsidRPr="00F31CE3" w:rsidP="00F31CE3">
            <w:pPr>
              <w:jc w:val="left"/>
            </w:pPr>
            <w:r w:rsidRPr="00F31CE3">
              <w:t>CPCCBC4001</w:t>
            </w:r>
          </w:p>
        </w:tc>
        <w:tc>
          <w:tcPr>
            <w:tcW w:w="0" w:type="auto"/>
          </w:tcPr>
          <w:p w:rsidR="00D44002" w:rsidRPr="00F31CE3" w:rsidP="00F31CE3">
            <w:pPr>
              <w:jc w:val="left"/>
            </w:pPr>
            <w:r w:rsidRPr="00F31CE3">
              <w:t>Apply building codes and standards to the construction process for Class 1 and 10 Buildings</w:t>
            </w:r>
          </w:p>
        </w:tc>
      </w:tr>
      <w:tr>
        <w:tblPrEx>
          <w:tblW w:w="5000" w:type="pct"/>
        </w:tblPrEx>
        <w:tc>
          <w:tcPr>
            <w:tcW w:w="0" w:type="auto"/>
          </w:tcPr>
          <w:p w:rsidR="00D44002" w:rsidRPr="00F31CE3" w:rsidP="00F31CE3">
            <w:r w:rsidRPr="00F31CE3">
              <w:t>CPCCBC4002</w:t>
            </w:r>
          </w:p>
        </w:tc>
        <w:tc>
          <w:tcPr>
            <w:tcW w:w="0" w:type="auto"/>
          </w:tcPr>
          <w:p w:rsidR="00D44002" w:rsidRPr="00F31CE3" w:rsidP="00F31CE3">
            <w:r w:rsidRPr="00F31CE3">
              <w:t>Manage work health and safety in the building and construction workplace</w:t>
            </w:r>
          </w:p>
        </w:tc>
      </w:tr>
      <w:tr>
        <w:tblPrEx>
          <w:tblW w:w="5000" w:type="pct"/>
        </w:tblPrEx>
        <w:tc>
          <w:tcPr>
            <w:tcW w:w="0" w:type="auto"/>
          </w:tcPr>
          <w:p w:rsidR="00D44002" w:rsidRPr="00F31CE3" w:rsidP="00F31CE3">
            <w:r w:rsidRPr="00F31CE3">
              <w:t>CPCCBC4007</w:t>
            </w:r>
          </w:p>
        </w:tc>
        <w:tc>
          <w:tcPr>
            <w:tcW w:w="0" w:type="auto"/>
          </w:tcPr>
          <w:p w:rsidR="00D44002" w:rsidRPr="00F31CE3" w:rsidP="00F31CE3">
            <w:r w:rsidRPr="00F31CE3">
              <w:t>Plan building and construction work</w:t>
            </w:r>
          </w:p>
        </w:tc>
      </w:tr>
      <w:tr>
        <w:tblPrEx>
          <w:tblW w:w="5000" w:type="pct"/>
        </w:tblPrEx>
        <w:tc>
          <w:tcPr>
            <w:tcW w:w="0" w:type="auto"/>
          </w:tcPr>
          <w:p w:rsidR="00D44002" w:rsidRPr="00F31CE3" w:rsidP="00F31CE3">
            <w:r w:rsidRPr="00F31CE3">
              <w:t>CPCCBC4008</w:t>
            </w:r>
          </w:p>
        </w:tc>
        <w:tc>
          <w:tcPr>
            <w:tcW w:w="0" w:type="auto"/>
          </w:tcPr>
          <w:p w:rsidR="00D44002" w:rsidRPr="00F31CE3" w:rsidP="00F31CE3">
            <w:r w:rsidRPr="00F31CE3">
              <w:t>Supervise site communication and administration processes for building and construction projects</w:t>
            </w:r>
          </w:p>
        </w:tc>
      </w:tr>
      <w:tr>
        <w:tblPrEx>
          <w:tblW w:w="5000" w:type="pct"/>
        </w:tblPrEx>
        <w:tc>
          <w:tcPr>
            <w:tcW w:w="0" w:type="auto"/>
          </w:tcPr>
          <w:p w:rsidR="00D44002" w:rsidRPr="00F31CE3" w:rsidP="00F31CE3">
            <w:r w:rsidRPr="00F31CE3">
              <w:t>CPCCBC4009</w:t>
            </w:r>
          </w:p>
        </w:tc>
        <w:tc>
          <w:tcPr>
            <w:tcW w:w="0" w:type="auto"/>
          </w:tcPr>
          <w:p w:rsidR="00D44002" w:rsidRPr="00F31CE3" w:rsidP="00F31CE3">
            <w:r w:rsidRPr="00F31CE3">
              <w:t>Apply legal requirements to building and construction projects</w:t>
            </w:r>
          </w:p>
        </w:tc>
      </w:tr>
      <w:tr>
        <w:tblPrEx>
          <w:tblW w:w="5000" w:type="pct"/>
        </w:tblPrEx>
        <w:tc>
          <w:tcPr>
            <w:tcW w:w="0" w:type="auto"/>
          </w:tcPr>
          <w:p w:rsidR="00D44002" w:rsidRPr="00F31CE3" w:rsidP="00F31CE3">
            <w:r w:rsidRPr="00F31CE3">
              <w:t>CPCCBC4010</w:t>
            </w:r>
            <w:r w:rsidRPr="00F31CE3">
              <w:t>*</w:t>
            </w:r>
          </w:p>
        </w:tc>
        <w:tc>
          <w:tcPr>
            <w:tcW w:w="0" w:type="auto"/>
          </w:tcPr>
          <w:p w:rsidR="00D44002" w:rsidRPr="00F31CE3" w:rsidP="00F31CE3">
            <w:r w:rsidRPr="00F31CE3">
              <w:t>Apply structural principles to residential and commercial constructions</w:t>
            </w:r>
          </w:p>
        </w:tc>
      </w:tr>
      <w:tr>
        <w:tblPrEx>
          <w:tblW w:w="5000" w:type="pct"/>
        </w:tblPrEx>
        <w:tc>
          <w:tcPr>
            <w:tcW w:w="0" w:type="auto"/>
          </w:tcPr>
          <w:p w:rsidR="00D44002" w:rsidRPr="00F31CE3" w:rsidP="00F31CE3">
            <w:r w:rsidRPr="00F31CE3">
              <w:t>CPCCBC4012</w:t>
            </w:r>
          </w:p>
        </w:tc>
        <w:tc>
          <w:tcPr>
            <w:tcW w:w="0" w:type="auto"/>
          </w:tcPr>
          <w:p w:rsidR="00D44002" w:rsidRPr="00F31CE3" w:rsidP="00F31CE3">
            <w:r w:rsidRPr="00F31CE3">
              <w:t>Read and interpret plans and specifications</w:t>
            </w:r>
          </w:p>
        </w:tc>
      </w:tr>
      <w:tr>
        <w:tblPrEx>
          <w:tblW w:w="5000" w:type="pct"/>
        </w:tblPrEx>
        <w:tc>
          <w:tcPr>
            <w:tcW w:w="0" w:type="auto"/>
          </w:tcPr>
          <w:p w:rsidR="00D44002" w:rsidRPr="00F31CE3" w:rsidP="00F31CE3">
            <w:r w:rsidRPr="00F31CE3">
              <w:t>CPCCBC4014</w:t>
            </w:r>
          </w:p>
        </w:tc>
        <w:tc>
          <w:tcPr>
            <w:tcW w:w="0" w:type="auto"/>
          </w:tcPr>
          <w:p w:rsidR="00D44002" w:rsidRPr="00F31CE3" w:rsidP="00F31CE3">
            <w:r w:rsidRPr="00F31CE3">
              <w:t>Prepare simple building sketches and drawings</w:t>
            </w:r>
          </w:p>
        </w:tc>
      </w:tr>
      <w:tr>
        <w:tblPrEx>
          <w:tblW w:w="5000" w:type="pct"/>
        </w:tblPrEx>
        <w:tc>
          <w:tcPr>
            <w:tcW w:w="0" w:type="auto"/>
          </w:tcPr>
          <w:p w:rsidR="00D44002" w:rsidRPr="00F31CE3" w:rsidP="00F31CE3">
            <w:r w:rsidRPr="00F31CE3">
              <w:t>CPCCBC4018</w:t>
            </w:r>
          </w:p>
        </w:tc>
        <w:tc>
          <w:tcPr>
            <w:tcW w:w="0" w:type="auto"/>
          </w:tcPr>
          <w:p w:rsidR="00D44002" w:rsidRPr="00F31CE3" w:rsidP="00F31CE3">
            <w:r w:rsidRPr="00F31CE3">
              <w:t>Apply site surveys and set-out procedures to building and construction projects</w:t>
            </w:r>
          </w:p>
        </w:tc>
      </w:tr>
      <w:tr>
        <w:tblPrEx>
          <w:tblW w:w="5000" w:type="pct"/>
        </w:tblPrEx>
        <w:tc>
          <w:tcPr>
            <w:tcW w:w="0" w:type="auto"/>
          </w:tcPr>
          <w:p w:rsidR="00D44002" w:rsidRPr="00F31CE3" w:rsidP="00F31CE3">
            <w:r w:rsidRPr="00F31CE3">
              <w:t>CPCCBC4021</w:t>
            </w:r>
          </w:p>
        </w:tc>
        <w:tc>
          <w:tcPr>
            <w:tcW w:w="0" w:type="auto"/>
          </w:tcPr>
          <w:p w:rsidR="00D44002" w:rsidRPr="00F31CE3" w:rsidP="00F31CE3">
            <w:r w:rsidRPr="00F31CE3">
              <w:t>Minimise waste on the building and construction site</w:t>
            </w:r>
          </w:p>
        </w:tc>
      </w:tr>
      <w:tr>
        <w:tblPrEx>
          <w:tblW w:w="5000" w:type="pct"/>
        </w:tblPrEx>
        <w:tc>
          <w:tcPr>
            <w:tcW w:w="0" w:type="auto"/>
          </w:tcPr>
          <w:p w:rsidR="00D44002" w:rsidRPr="00F31CE3" w:rsidP="00F31CE3">
            <w:r w:rsidRPr="00F31CE3">
              <w:t>CPCCBC4053</w:t>
            </w:r>
          </w:p>
        </w:tc>
        <w:tc>
          <w:tcPr>
            <w:tcW w:w="0" w:type="auto"/>
          </w:tcPr>
          <w:p w:rsidR="00D44002" w:rsidRPr="00F31CE3" w:rsidP="00F31CE3">
            <w:r w:rsidRPr="00F31CE3">
              <w:t>Apply building codes and standards to the construction process for Class 2 to 9 Type C Buildings</w:t>
            </w:r>
          </w:p>
        </w:tc>
      </w:tr>
    </w:tbl>
    <w:p w:rsidR="00D44002" w:rsidRPr="00F31CE3" w:rsidP="00F31CE3">
      <w:r w:rsidRPr="00F31CE3">
        <w:rPr>
          <w:rStyle w:val="Strong"/>
        </w:rPr>
        <w:t>Elective units</w:t>
      </w:r>
    </w:p>
    <w:p w:rsidR="00D44002" w:rsidRPr="00F31CE3" w:rsidP="00F31CE3">
      <w:r w:rsidRPr="00F31CE3">
        <w:t>Group A – Building</w:t>
      </w:r>
    </w:p>
    <w:tbl>
      <w:tblPr>
        <w:tblStyle w:val="TableGrid"/>
        <w:tblW w:w="5000" w:type="pct"/>
        <w:jc w:val="left"/>
      </w:tblPr>
      <w:tblGrid>
        <w:gridCol w:w="1630"/>
        <w:gridCol w:w="7430"/>
      </w:tblGrid>
      <w:tr>
        <w:tblPrEx>
          <w:tblW w:w="5000" w:type="pct"/>
        </w:tblPrEx>
        <w:tc>
          <w:tcPr>
            <w:tcW w:w="0" w:type="auto"/>
          </w:tcPr>
          <w:p w:rsidR="00D44002" w:rsidRPr="00F31CE3" w:rsidP="00F31CE3">
            <w:pPr>
              <w:jc w:val="left"/>
            </w:pPr>
            <w:r w:rsidRPr="00F31CE3">
              <w:t>BSBPMG422</w:t>
            </w:r>
          </w:p>
        </w:tc>
        <w:tc>
          <w:tcPr>
            <w:tcW w:w="0" w:type="auto"/>
          </w:tcPr>
          <w:p w:rsidR="00D44002" w:rsidRPr="00F31CE3" w:rsidP="00F31CE3">
            <w:pPr>
              <w:jc w:val="left"/>
            </w:pPr>
            <w:r w:rsidRPr="00F31CE3">
              <w:t>Apply project quality management techniques</w:t>
            </w:r>
          </w:p>
        </w:tc>
      </w:tr>
      <w:tr>
        <w:tblPrEx>
          <w:tblW w:w="5000" w:type="pct"/>
        </w:tblPrEx>
        <w:tc>
          <w:tcPr>
            <w:tcW w:w="0" w:type="auto"/>
          </w:tcPr>
          <w:p w:rsidR="00D44002" w:rsidRPr="00F31CE3" w:rsidP="00F31CE3">
            <w:r w:rsidRPr="00F31CE3">
              <w:t>CPCCBC4003</w:t>
            </w:r>
          </w:p>
        </w:tc>
        <w:tc>
          <w:tcPr>
            <w:tcW w:w="0" w:type="auto"/>
          </w:tcPr>
          <w:p w:rsidR="00D44002" w:rsidRPr="00F31CE3" w:rsidP="00F31CE3">
            <w:r w:rsidRPr="00F31CE3">
              <w:t>Select, prepare and administer a construction contract</w:t>
            </w:r>
          </w:p>
        </w:tc>
      </w:tr>
      <w:tr>
        <w:tblPrEx>
          <w:tblW w:w="5000" w:type="pct"/>
        </w:tblPrEx>
        <w:tc>
          <w:tcPr>
            <w:tcW w:w="0" w:type="auto"/>
          </w:tcPr>
          <w:p w:rsidR="00D44002" w:rsidRPr="00F31CE3" w:rsidP="00F31CE3">
            <w:r w:rsidRPr="00F31CE3">
              <w:t>CPCCBC4004</w:t>
            </w:r>
          </w:p>
        </w:tc>
        <w:tc>
          <w:tcPr>
            <w:tcW w:w="0" w:type="auto"/>
          </w:tcPr>
          <w:p w:rsidR="00D44002" w:rsidRPr="00F31CE3" w:rsidP="00F31CE3">
            <w:r w:rsidRPr="00F31CE3">
              <w:t>Identify and produce estimated costs for building and construction projects</w:t>
            </w:r>
          </w:p>
        </w:tc>
      </w:tr>
      <w:tr>
        <w:tblPrEx>
          <w:tblW w:w="5000" w:type="pct"/>
        </w:tblPrEx>
        <w:tc>
          <w:tcPr>
            <w:tcW w:w="0" w:type="auto"/>
          </w:tcPr>
          <w:p w:rsidR="00D44002" w:rsidRPr="00F31CE3" w:rsidP="00F31CE3">
            <w:r w:rsidRPr="00F31CE3">
              <w:t>CPCCBC4005</w:t>
            </w:r>
          </w:p>
        </w:tc>
        <w:tc>
          <w:tcPr>
            <w:tcW w:w="0" w:type="auto"/>
          </w:tcPr>
          <w:p w:rsidR="00D44002" w:rsidRPr="00F31CE3" w:rsidP="00F31CE3">
            <w:r w:rsidRPr="00F31CE3">
              <w:t>Produce labour and material schedules for ordering</w:t>
            </w:r>
          </w:p>
        </w:tc>
      </w:tr>
      <w:tr>
        <w:tblPrEx>
          <w:tblW w:w="5000" w:type="pct"/>
        </w:tblPrEx>
        <w:tc>
          <w:tcPr>
            <w:tcW w:w="0" w:type="auto"/>
          </w:tcPr>
          <w:p w:rsidR="00D44002" w:rsidRPr="00F31CE3" w:rsidP="00F31CE3">
            <w:r w:rsidRPr="00F31CE3">
              <w:t>CPCCBC4006</w:t>
            </w:r>
          </w:p>
        </w:tc>
        <w:tc>
          <w:tcPr>
            <w:tcW w:w="0" w:type="auto"/>
          </w:tcPr>
          <w:p w:rsidR="00D44002" w:rsidRPr="00F31CE3" w:rsidP="00F31CE3">
            <w:r w:rsidRPr="00F31CE3">
              <w:t>Select, procure and store construction materials for building and construction projects</w:t>
            </w:r>
          </w:p>
        </w:tc>
      </w:tr>
      <w:tr>
        <w:tblPrEx>
          <w:tblW w:w="5000" w:type="pct"/>
        </w:tblPrEx>
        <w:tc>
          <w:tcPr>
            <w:tcW w:w="0" w:type="auto"/>
          </w:tcPr>
          <w:p w:rsidR="00D44002" w:rsidRPr="00F31CE3" w:rsidP="00F31CE3">
            <w:r w:rsidRPr="00F31CE3">
              <w:t>CPCSUS4002</w:t>
            </w:r>
          </w:p>
        </w:tc>
        <w:tc>
          <w:tcPr>
            <w:tcW w:w="0" w:type="auto"/>
          </w:tcPr>
          <w:p w:rsidR="00D44002" w:rsidRPr="00F31CE3" w:rsidP="00F31CE3">
            <w:r w:rsidRPr="00F31CE3">
              <w:t>Use building science principles to construct energy efficient buildings</w:t>
            </w:r>
          </w:p>
        </w:tc>
      </w:tr>
    </w:tbl>
    <w:p w:rsidR="00D44002" w:rsidRPr="00F31CE3" w:rsidP="00F31CE3">
      <w:r w:rsidRPr="00F31CE3">
        <w:t>Group B – Site Manager</w:t>
      </w:r>
    </w:p>
    <w:tbl>
      <w:tblPr>
        <w:tblStyle w:val="TableGrid"/>
        <w:tblW w:w="5000" w:type="pct"/>
        <w:jc w:val="left"/>
      </w:tblPr>
      <w:tblGrid>
        <w:gridCol w:w="1706"/>
        <w:gridCol w:w="7354"/>
      </w:tblGrid>
      <w:tr>
        <w:tblPrEx>
          <w:tblW w:w="5000" w:type="pct"/>
        </w:tblPrEx>
        <w:tc>
          <w:tcPr>
            <w:tcW w:w="0" w:type="auto"/>
          </w:tcPr>
          <w:p w:rsidR="00D44002" w:rsidRPr="00F31CE3" w:rsidP="00F31CE3">
            <w:pPr>
              <w:jc w:val="left"/>
            </w:pPr>
            <w:r w:rsidRPr="00F31CE3">
              <w:t>CPCCBC4013</w:t>
            </w:r>
          </w:p>
        </w:tc>
        <w:tc>
          <w:tcPr>
            <w:tcW w:w="0" w:type="auto"/>
          </w:tcPr>
          <w:p w:rsidR="00D44002" w:rsidRPr="00F31CE3" w:rsidP="00F31CE3">
            <w:pPr>
              <w:jc w:val="left"/>
            </w:pPr>
            <w:r w:rsidRPr="00F31CE3">
              <w:t>Prepare and evaluate tender documentation</w:t>
            </w:r>
          </w:p>
        </w:tc>
      </w:tr>
      <w:tr>
        <w:tblPrEx>
          <w:tblW w:w="5000" w:type="pct"/>
        </w:tblPrEx>
        <w:tc>
          <w:tcPr>
            <w:tcW w:w="0" w:type="auto"/>
          </w:tcPr>
          <w:p w:rsidR="00D44002" w:rsidRPr="00F31CE3" w:rsidP="00F31CE3">
            <w:r w:rsidRPr="00F31CE3">
              <w:t>CPCCBC4017</w:t>
            </w:r>
          </w:p>
        </w:tc>
        <w:tc>
          <w:tcPr>
            <w:tcW w:w="0" w:type="auto"/>
          </w:tcPr>
          <w:p w:rsidR="00D44002" w:rsidRPr="00F31CE3" w:rsidP="00F31CE3">
            <w:r w:rsidRPr="00F31CE3">
              <w:t>Arrange resources and prepare for the building and construction project</w:t>
            </w:r>
          </w:p>
        </w:tc>
      </w:tr>
      <w:tr>
        <w:tblPrEx>
          <w:tblW w:w="5000" w:type="pct"/>
        </w:tblPrEx>
        <w:tc>
          <w:tcPr>
            <w:tcW w:w="0" w:type="auto"/>
          </w:tcPr>
          <w:p w:rsidR="00D44002" w:rsidRPr="00F31CE3" w:rsidP="00F31CE3">
            <w:r w:rsidRPr="00F31CE3">
              <w:t>CPCCBC4052</w:t>
            </w:r>
          </w:p>
        </w:tc>
        <w:tc>
          <w:tcPr>
            <w:tcW w:w="0" w:type="auto"/>
          </w:tcPr>
          <w:p w:rsidR="00D44002" w:rsidRPr="00F31CE3" w:rsidP="00F31CE3">
            <w:r w:rsidRPr="00F31CE3">
              <w:t>Lead and manage teams in the building and construction industry</w:t>
            </w:r>
          </w:p>
        </w:tc>
      </w:tr>
      <w:tr>
        <w:tblPrEx>
          <w:tblW w:w="5000" w:type="pct"/>
        </w:tblPrEx>
        <w:tc>
          <w:tcPr>
            <w:tcW w:w="0" w:type="auto"/>
          </w:tcPr>
          <w:p w:rsidR="00D44002" w:rsidRPr="00F31CE3" w:rsidP="00F31CE3">
            <w:r w:rsidRPr="00F31CE3">
              <w:t>CPCCCO4001</w:t>
            </w:r>
          </w:p>
        </w:tc>
        <w:tc>
          <w:tcPr>
            <w:tcW w:w="0" w:type="auto"/>
          </w:tcPr>
          <w:p w:rsidR="00D44002" w:rsidRPr="00F31CE3" w:rsidP="00F31CE3">
            <w:r w:rsidRPr="00F31CE3">
              <w:t>Supervise concreting work</w:t>
            </w:r>
          </w:p>
        </w:tc>
      </w:tr>
    </w:tbl>
    <w:p w:rsidR="00D44002" w:rsidRPr="00F31CE3" w:rsidP="00F31CE3">
      <w:r w:rsidRPr="00F31CE3">
        <w:t>General electives</w:t>
      </w:r>
    </w:p>
    <w:tbl>
      <w:tblPr>
        <w:tblStyle w:val="TableGrid"/>
        <w:tblW w:w="5000" w:type="pct"/>
        <w:jc w:val="left"/>
      </w:tblPr>
      <w:tblGrid>
        <w:gridCol w:w="1910"/>
        <w:gridCol w:w="7150"/>
      </w:tblGrid>
      <w:tr>
        <w:tblPrEx>
          <w:tblW w:w="5000" w:type="pct"/>
        </w:tblPrEx>
        <w:tc>
          <w:tcPr>
            <w:tcW w:w="0" w:type="auto"/>
          </w:tcPr>
          <w:p w:rsidR="00D44002" w:rsidRPr="00F31CE3" w:rsidP="00F31CE3">
            <w:pPr>
              <w:jc w:val="left"/>
            </w:pPr>
            <w:r w:rsidRPr="00F31CE3">
              <w:t>BSBESB402</w:t>
            </w:r>
          </w:p>
        </w:tc>
        <w:tc>
          <w:tcPr>
            <w:tcW w:w="0" w:type="auto"/>
          </w:tcPr>
          <w:p w:rsidR="00D44002" w:rsidRPr="00F31CE3" w:rsidP="00F31CE3">
            <w:pPr>
              <w:jc w:val="left"/>
            </w:pPr>
            <w:r w:rsidRPr="00F31CE3">
              <w:t>Establish legal and risk management requirements of new business ventures</w:t>
            </w:r>
          </w:p>
        </w:tc>
      </w:tr>
      <w:tr>
        <w:tblPrEx>
          <w:tblW w:w="5000" w:type="pct"/>
        </w:tblPrEx>
        <w:tc>
          <w:tcPr>
            <w:tcW w:w="0" w:type="auto"/>
          </w:tcPr>
          <w:p w:rsidR="00D44002" w:rsidRPr="00F31CE3" w:rsidP="00F31CE3">
            <w:r w:rsidRPr="00F31CE3">
              <w:t>BSBESB406</w:t>
            </w:r>
          </w:p>
        </w:tc>
        <w:tc>
          <w:tcPr>
            <w:tcW w:w="0" w:type="auto"/>
          </w:tcPr>
          <w:p w:rsidR="00D44002" w:rsidRPr="00F31CE3" w:rsidP="00F31CE3">
            <w:r w:rsidRPr="00F31CE3">
              <w:t>Establish operational strategies and procedures for new business ventures</w:t>
            </w:r>
          </w:p>
        </w:tc>
      </w:tr>
      <w:tr>
        <w:tblPrEx>
          <w:tblW w:w="5000" w:type="pct"/>
        </w:tblPrEx>
        <w:tc>
          <w:tcPr>
            <w:tcW w:w="0" w:type="auto"/>
          </w:tcPr>
          <w:p w:rsidR="00D44002" w:rsidRPr="00F31CE3" w:rsidP="00F31CE3">
            <w:r w:rsidRPr="00F31CE3">
              <w:t>BSBESB407</w:t>
            </w:r>
          </w:p>
        </w:tc>
        <w:tc>
          <w:tcPr>
            <w:tcW w:w="0" w:type="auto"/>
          </w:tcPr>
          <w:p w:rsidR="00D44002" w:rsidRPr="00F31CE3" w:rsidP="00F31CE3">
            <w:r w:rsidRPr="00F31CE3">
              <w:t>Manage finances for new business ventures</w:t>
            </w:r>
          </w:p>
        </w:tc>
      </w:tr>
      <w:tr>
        <w:tblPrEx>
          <w:tblW w:w="5000" w:type="pct"/>
        </w:tblPrEx>
        <w:tc>
          <w:tcPr>
            <w:tcW w:w="0" w:type="auto"/>
          </w:tcPr>
          <w:p w:rsidR="00D44002" w:rsidRPr="00F31CE3" w:rsidP="00F31CE3">
            <w:r w:rsidRPr="00F31CE3">
              <w:t>BSBLDR413</w:t>
            </w:r>
          </w:p>
        </w:tc>
        <w:tc>
          <w:tcPr>
            <w:tcW w:w="0" w:type="auto"/>
          </w:tcPr>
          <w:p w:rsidR="00D44002" w:rsidRPr="00F31CE3" w:rsidP="00F31CE3">
            <w:r w:rsidRPr="00F31CE3">
              <w:t>Lead effective workplace relationships</w:t>
            </w:r>
          </w:p>
        </w:tc>
      </w:tr>
      <w:tr>
        <w:tblPrEx>
          <w:tblW w:w="5000" w:type="pct"/>
        </w:tblPrEx>
        <w:tc>
          <w:tcPr>
            <w:tcW w:w="0" w:type="auto"/>
          </w:tcPr>
          <w:p w:rsidR="00D44002" w:rsidRPr="00F31CE3" w:rsidP="00F31CE3">
            <w:r w:rsidRPr="00F31CE3">
              <w:t>BSBPEF501</w:t>
            </w:r>
          </w:p>
        </w:tc>
        <w:tc>
          <w:tcPr>
            <w:tcW w:w="0" w:type="auto"/>
          </w:tcPr>
          <w:p w:rsidR="00D44002" w:rsidRPr="00F31CE3" w:rsidP="00F31CE3">
            <w:r w:rsidRPr="00F31CE3">
              <w:t>Manage personal and professional development</w:t>
            </w:r>
          </w:p>
        </w:tc>
      </w:tr>
      <w:tr>
        <w:tblPrEx>
          <w:tblW w:w="5000" w:type="pct"/>
        </w:tblPrEx>
        <w:tc>
          <w:tcPr>
            <w:tcW w:w="0" w:type="auto"/>
          </w:tcPr>
          <w:p w:rsidR="00D44002" w:rsidRPr="00F31CE3" w:rsidP="00F31CE3">
            <w:r w:rsidRPr="00F31CE3">
              <w:t>BSBPMG426</w:t>
            </w:r>
          </w:p>
        </w:tc>
        <w:tc>
          <w:tcPr>
            <w:tcW w:w="0" w:type="auto"/>
          </w:tcPr>
          <w:p w:rsidR="00D44002" w:rsidRPr="00F31CE3" w:rsidP="00F31CE3">
            <w:r w:rsidRPr="00F31CE3">
              <w:t>Apply project risk management techniques</w:t>
            </w:r>
          </w:p>
        </w:tc>
      </w:tr>
      <w:tr>
        <w:tblPrEx>
          <w:tblW w:w="5000" w:type="pct"/>
        </w:tblPrEx>
        <w:tc>
          <w:tcPr>
            <w:tcW w:w="0" w:type="auto"/>
          </w:tcPr>
          <w:p w:rsidR="00D44002" w:rsidRPr="00F31CE3" w:rsidP="00F31CE3">
            <w:r w:rsidRPr="00F31CE3">
              <w:t>BSBPMG430</w:t>
            </w:r>
          </w:p>
        </w:tc>
        <w:tc>
          <w:tcPr>
            <w:tcW w:w="0" w:type="auto"/>
          </w:tcPr>
          <w:p w:rsidR="00D44002" w:rsidRPr="00F31CE3" w:rsidP="00F31CE3">
            <w:r w:rsidRPr="00F31CE3">
              <w:t>Undertake project work</w:t>
            </w:r>
          </w:p>
        </w:tc>
      </w:tr>
      <w:tr>
        <w:tblPrEx>
          <w:tblW w:w="5000" w:type="pct"/>
        </w:tblPrEx>
        <w:tc>
          <w:tcPr>
            <w:tcW w:w="0" w:type="auto"/>
          </w:tcPr>
          <w:p w:rsidR="00D44002" w:rsidRPr="00F31CE3" w:rsidP="00F31CE3">
            <w:r w:rsidRPr="00F31CE3">
              <w:t>BSBWRT411</w:t>
            </w:r>
          </w:p>
        </w:tc>
        <w:tc>
          <w:tcPr>
            <w:tcW w:w="0" w:type="auto"/>
          </w:tcPr>
          <w:p w:rsidR="00D44002" w:rsidRPr="00F31CE3" w:rsidP="00F31CE3">
            <w:r w:rsidRPr="00F31CE3">
              <w:t>Write complex documents</w:t>
            </w:r>
          </w:p>
        </w:tc>
      </w:tr>
      <w:tr>
        <w:tblPrEx>
          <w:tblW w:w="5000" w:type="pct"/>
        </w:tblPrEx>
        <w:tc>
          <w:tcPr>
            <w:tcW w:w="0" w:type="auto"/>
          </w:tcPr>
          <w:p w:rsidR="00D44002" w:rsidRPr="00F31CE3" w:rsidP="00F31CE3">
            <w:r w:rsidRPr="00F31CE3">
              <w:t>CPCBIM4001</w:t>
            </w:r>
          </w:p>
        </w:tc>
        <w:tc>
          <w:tcPr>
            <w:tcW w:w="0" w:type="auto"/>
          </w:tcPr>
          <w:p w:rsidR="00D44002" w:rsidRPr="00F31CE3" w:rsidP="00F31CE3">
            <w:r w:rsidRPr="00F31CE3">
              <w:t>Plan to comply with BIM requirements for construction work</w:t>
            </w:r>
          </w:p>
        </w:tc>
      </w:tr>
      <w:tr>
        <w:tblPrEx>
          <w:tblW w:w="5000" w:type="pct"/>
        </w:tblPrEx>
        <w:tc>
          <w:tcPr>
            <w:tcW w:w="0" w:type="auto"/>
          </w:tcPr>
          <w:p w:rsidR="00D44002" w:rsidRPr="00F31CE3" w:rsidP="00F31CE3">
            <w:r w:rsidRPr="00F31CE3">
              <w:t>CPCBIM4002</w:t>
            </w:r>
          </w:p>
        </w:tc>
        <w:tc>
          <w:tcPr>
            <w:tcW w:w="0" w:type="auto"/>
          </w:tcPr>
          <w:p w:rsidR="00D44002" w:rsidRPr="00F31CE3" w:rsidP="00F31CE3">
            <w:r w:rsidRPr="00F31CE3">
              <w:t>Use BIM processes to carry out construction work</w:t>
            </w:r>
          </w:p>
        </w:tc>
      </w:tr>
      <w:tr>
        <w:tblPrEx>
          <w:tblW w:w="5000" w:type="pct"/>
        </w:tblPrEx>
        <w:tc>
          <w:tcPr>
            <w:tcW w:w="0" w:type="auto"/>
          </w:tcPr>
          <w:p w:rsidR="00D44002" w:rsidRPr="00F31CE3" w:rsidP="00F31CE3">
            <w:r w:rsidRPr="00F31CE3">
              <w:t>CPCBIM4003</w:t>
            </w:r>
          </w:p>
        </w:tc>
        <w:tc>
          <w:tcPr>
            <w:tcW w:w="0" w:type="auto"/>
          </w:tcPr>
          <w:p w:rsidR="00D44002" w:rsidRPr="00F31CE3" w:rsidP="00F31CE3">
            <w:r w:rsidRPr="00F31CE3">
              <w:t>Contribute to BIM deliverables for construction work</w:t>
            </w:r>
          </w:p>
        </w:tc>
      </w:tr>
      <w:tr>
        <w:tblPrEx>
          <w:tblW w:w="5000" w:type="pct"/>
        </w:tblPrEx>
        <w:tc>
          <w:tcPr>
            <w:tcW w:w="0" w:type="auto"/>
          </w:tcPr>
          <w:p w:rsidR="00D44002" w:rsidRPr="00F31CE3" w:rsidP="00F31CE3">
            <w:r w:rsidRPr="00F31CE3">
              <w:t>CPCCBC4015</w:t>
            </w:r>
          </w:p>
        </w:tc>
        <w:tc>
          <w:tcPr>
            <w:tcW w:w="0" w:type="auto"/>
          </w:tcPr>
          <w:p w:rsidR="00D44002" w:rsidRPr="00F31CE3" w:rsidP="00F31CE3">
            <w:r w:rsidRPr="00F31CE3">
              <w:t>Prepare specifications for all construction works</w:t>
            </w:r>
          </w:p>
        </w:tc>
      </w:tr>
      <w:tr>
        <w:tblPrEx>
          <w:tblW w:w="5000" w:type="pct"/>
        </w:tblPrEx>
        <w:tc>
          <w:tcPr>
            <w:tcW w:w="0" w:type="auto"/>
          </w:tcPr>
          <w:p w:rsidR="00D44002" w:rsidRPr="00F31CE3" w:rsidP="00F31CE3">
            <w:r w:rsidRPr="00F31CE3">
              <w:t>CPCCBC4019</w:t>
            </w:r>
          </w:p>
        </w:tc>
        <w:tc>
          <w:tcPr>
            <w:tcW w:w="0" w:type="auto"/>
          </w:tcPr>
          <w:p w:rsidR="00D44002" w:rsidRPr="00F31CE3" w:rsidP="00F31CE3">
            <w:r w:rsidRPr="00F31CE3">
              <w:t>Apply sustainable building design principles to water management systems</w:t>
            </w:r>
          </w:p>
        </w:tc>
      </w:tr>
      <w:tr>
        <w:tblPrEx>
          <w:tblW w:w="5000" w:type="pct"/>
        </w:tblPrEx>
        <w:tc>
          <w:tcPr>
            <w:tcW w:w="0" w:type="auto"/>
          </w:tcPr>
          <w:p w:rsidR="00D44002" w:rsidRPr="00F31CE3" w:rsidP="00F31CE3">
            <w:r w:rsidRPr="00F31CE3">
              <w:t>CPCCBC4020</w:t>
            </w:r>
          </w:p>
        </w:tc>
        <w:tc>
          <w:tcPr>
            <w:tcW w:w="0" w:type="auto"/>
          </w:tcPr>
          <w:p w:rsidR="00D44002" w:rsidRPr="00F31CE3" w:rsidP="00F31CE3">
            <w:r w:rsidRPr="00F31CE3">
              <w:t>Build thermally efficient and sustainable structures</w:t>
            </w:r>
          </w:p>
        </w:tc>
      </w:tr>
      <w:tr>
        <w:tblPrEx>
          <w:tblW w:w="5000" w:type="pct"/>
        </w:tblPrEx>
        <w:tc>
          <w:tcPr>
            <w:tcW w:w="0" w:type="auto"/>
          </w:tcPr>
          <w:p w:rsidR="00D44002" w:rsidRPr="00F31CE3" w:rsidP="00F31CE3">
            <w:r w:rsidRPr="00F31CE3">
              <w:t>CPCCBC4022</w:t>
            </w:r>
          </w:p>
        </w:tc>
        <w:tc>
          <w:tcPr>
            <w:tcW w:w="0" w:type="auto"/>
          </w:tcPr>
          <w:p w:rsidR="00D44002" w:rsidRPr="00F31CE3" w:rsidP="00F31CE3">
            <w:r w:rsidRPr="00F31CE3">
              <w:t>Supervise tilt-up work</w:t>
            </w:r>
          </w:p>
        </w:tc>
      </w:tr>
      <w:tr>
        <w:tblPrEx>
          <w:tblW w:w="5000" w:type="pct"/>
        </w:tblPrEx>
        <w:tc>
          <w:tcPr>
            <w:tcW w:w="0" w:type="auto"/>
          </w:tcPr>
          <w:p w:rsidR="00D44002" w:rsidRPr="00F31CE3" w:rsidP="00F31CE3">
            <w:r w:rsidRPr="00F31CE3">
              <w:t>CPCCBC4024</w:t>
            </w:r>
          </w:p>
        </w:tc>
        <w:tc>
          <w:tcPr>
            <w:tcW w:w="0" w:type="auto"/>
          </w:tcPr>
          <w:p w:rsidR="00D44002" w:rsidRPr="00F31CE3" w:rsidP="00F31CE3">
            <w:r w:rsidRPr="00F31CE3">
              <w:t>Resolve business disputes</w:t>
            </w:r>
          </w:p>
        </w:tc>
      </w:tr>
      <w:tr>
        <w:tblPrEx>
          <w:tblW w:w="5000" w:type="pct"/>
        </w:tblPrEx>
        <w:tc>
          <w:tcPr>
            <w:tcW w:w="0" w:type="auto"/>
          </w:tcPr>
          <w:p w:rsidR="00D44002" w:rsidRPr="00F31CE3" w:rsidP="00F31CE3">
            <w:r w:rsidRPr="00F31CE3">
              <w:t>CPCCBC4026</w:t>
            </w:r>
          </w:p>
        </w:tc>
        <w:tc>
          <w:tcPr>
            <w:tcW w:w="0" w:type="auto"/>
          </w:tcPr>
          <w:p w:rsidR="00D44002" w:rsidRPr="00F31CE3" w:rsidP="00F31CE3">
            <w:r w:rsidRPr="00F31CE3">
              <w:t>Arrange building applications and approvals</w:t>
            </w:r>
          </w:p>
        </w:tc>
      </w:tr>
      <w:tr>
        <w:tblPrEx>
          <w:tblW w:w="5000" w:type="pct"/>
        </w:tblPrEx>
        <w:tc>
          <w:tcPr>
            <w:tcW w:w="0" w:type="auto"/>
          </w:tcPr>
          <w:p w:rsidR="00D44002" w:rsidRPr="00F31CE3" w:rsidP="00F31CE3">
            <w:r w:rsidRPr="00F31CE3">
              <w:t>CPCCBC4028</w:t>
            </w:r>
          </w:p>
        </w:tc>
        <w:tc>
          <w:tcPr>
            <w:tcW w:w="0" w:type="auto"/>
          </w:tcPr>
          <w:p w:rsidR="00D44002" w:rsidRPr="00F31CE3" w:rsidP="00F31CE3">
            <w:r w:rsidRPr="00F31CE3">
              <w:t>Prepare design brief for construction works</w:t>
            </w:r>
          </w:p>
        </w:tc>
      </w:tr>
      <w:tr>
        <w:tblPrEx>
          <w:tblW w:w="5000" w:type="pct"/>
        </w:tblPrEx>
        <w:tc>
          <w:tcPr>
            <w:tcW w:w="0" w:type="auto"/>
          </w:tcPr>
          <w:p w:rsidR="00D44002" w:rsidRPr="00F31CE3" w:rsidP="00F31CE3">
            <w:r w:rsidRPr="00F31CE3">
              <w:t>CPCCBC5019</w:t>
            </w:r>
          </w:p>
        </w:tc>
        <w:tc>
          <w:tcPr>
            <w:tcW w:w="0" w:type="auto"/>
          </w:tcPr>
          <w:p w:rsidR="00D44002" w:rsidRPr="00F31CE3" w:rsidP="00F31CE3">
            <w:r w:rsidRPr="00F31CE3">
              <w:t>Manage building and construction business finances</w:t>
            </w:r>
          </w:p>
        </w:tc>
      </w:tr>
      <w:tr>
        <w:tblPrEx>
          <w:tblW w:w="5000" w:type="pct"/>
        </w:tblPrEx>
        <w:trPr>
          <w:trHeight w:val="300"/>
        </w:trPr>
        <w:tc>
          <w:tcPr>
            <w:tcW w:w="0" w:type="auto"/>
          </w:tcPr>
          <w:p w:rsidR="00D44002" w:rsidRPr="00F31CE3" w:rsidP="00F31CE3">
            <w:r w:rsidRPr="00F31CE3">
              <w:t>CPCCCM2012</w:t>
            </w:r>
            <w:r w:rsidRPr="00F31CE3">
              <w:t>*</w:t>
            </w:r>
          </w:p>
        </w:tc>
        <w:tc>
          <w:tcPr>
            <w:tcW w:w="0" w:type="auto"/>
          </w:tcPr>
          <w:p w:rsidR="00D44002" w:rsidRPr="00F31CE3" w:rsidP="00F31CE3">
            <w:r w:rsidRPr="00F31CE3">
              <w:t>Work safely at heights</w:t>
            </w:r>
          </w:p>
        </w:tc>
      </w:tr>
      <w:tr>
        <w:tblPrEx>
          <w:tblW w:w="5000" w:type="pct"/>
        </w:tblPrEx>
        <w:trPr>
          <w:trHeight w:val="300"/>
        </w:trPr>
        <w:tc>
          <w:tcPr>
            <w:tcW w:w="0" w:type="auto"/>
          </w:tcPr>
          <w:p w:rsidR="00D44002" w:rsidRPr="00F31CE3" w:rsidP="00F31CE3">
            <w:r w:rsidRPr="00F31CE3">
              <w:t>CPCCLDG3001</w:t>
            </w:r>
          </w:p>
        </w:tc>
        <w:tc>
          <w:tcPr>
            <w:tcW w:w="0" w:type="auto"/>
          </w:tcPr>
          <w:p w:rsidR="00D44002" w:rsidRPr="00F31CE3" w:rsidP="00F31CE3">
            <w:r w:rsidRPr="00F31CE3">
              <w:t>Licence to perform dogging</w:t>
            </w:r>
          </w:p>
        </w:tc>
      </w:tr>
      <w:tr>
        <w:tblPrEx>
          <w:tblW w:w="5000" w:type="pct"/>
        </w:tblPrEx>
        <w:trPr>
          <w:trHeight w:val="300"/>
        </w:trPr>
        <w:tc>
          <w:tcPr>
            <w:tcW w:w="0" w:type="auto"/>
          </w:tcPr>
          <w:p w:rsidR="00D44002" w:rsidRPr="00F31CE3" w:rsidP="00F31CE3">
            <w:r w:rsidRPr="00F31CE3">
              <w:t>CPCCLRG3001</w:t>
            </w:r>
            <w:r w:rsidRPr="00F31CE3">
              <w:t>*</w:t>
            </w:r>
          </w:p>
        </w:tc>
        <w:tc>
          <w:tcPr>
            <w:tcW w:w="0" w:type="auto"/>
          </w:tcPr>
          <w:p w:rsidR="00D44002" w:rsidRPr="00F31CE3" w:rsidP="00F31CE3">
            <w:r w:rsidRPr="00F31CE3">
              <w:t>Licence to perform rigging basic level</w:t>
            </w:r>
          </w:p>
        </w:tc>
      </w:tr>
      <w:tr>
        <w:tblPrEx>
          <w:tblW w:w="5000" w:type="pct"/>
        </w:tblPrEx>
        <w:trPr>
          <w:trHeight w:val="300"/>
        </w:trPr>
        <w:tc>
          <w:tcPr>
            <w:tcW w:w="0" w:type="auto"/>
          </w:tcPr>
          <w:p w:rsidR="00D44002" w:rsidRPr="00F31CE3" w:rsidP="00F31CE3">
            <w:r w:rsidRPr="00F31CE3">
              <w:t>CPCCLRG3002</w:t>
            </w:r>
            <w:r w:rsidRPr="00F31CE3">
              <w:t>*</w:t>
            </w:r>
          </w:p>
        </w:tc>
        <w:tc>
          <w:tcPr>
            <w:tcW w:w="0" w:type="auto"/>
          </w:tcPr>
          <w:p w:rsidR="00D44002" w:rsidRPr="00F31CE3" w:rsidP="00F31CE3">
            <w:r w:rsidRPr="00F31CE3">
              <w:t>Licence to perform rigging intermediate level</w:t>
            </w:r>
          </w:p>
        </w:tc>
      </w:tr>
      <w:tr>
        <w:tblPrEx>
          <w:tblW w:w="5000" w:type="pct"/>
        </w:tblPrEx>
        <w:trPr>
          <w:trHeight w:val="300"/>
        </w:trPr>
        <w:tc>
          <w:tcPr>
            <w:tcW w:w="0" w:type="auto"/>
          </w:tcPr>
          <w:p w:rsidR="00D44002" w:rsidRPr="00F31CE3" w:rsidP="00F31CE3">
            <w:r w:rsidRPr="00F31CE3">
              <w:t>CPCINS4001</w:t>
            </w:r>
            <w:r w:rsidRPr="00F31CE3">
              <w:t>*</w:t>
            </w:r>
          </w:p>
        </w:tc>
        <w:tc>
          <w:tcPr>
            <w:tcW w:w="0" w:type="auto"/>
          </w:tcPr>
          <w:p w:rsidR="00D44002" w:rsidRPr="00F31CE3" w:rsidP="00F31CE3">
            <w:r w:rsidRPr="00F31CE3">
              <w:t>Inspect technical quality of insulation installation work</w:t>
            </w:r>
          </w:p>
        </w:tc>
      </w:tr>
      <w:tr>
        <w:tblPrEx>
          <w:tblW w:w="5000" w:type="pct"/>
        </w:tblPrEx>
        <w:tc>
          <w:tcPr>
            <w:tcW w:w="0" w:type="auto"/>
          </w:tcPr>
          <w:p w:rsidR="00D44002" w:rsidRPr="00F31CE3" w:rsidP="00F31CE3">
            <w:r w:rsidRPr="00F31CE3">
              <w:t>CPCPRE4001</w:t>
            </w:r>
            <w:r w:rsidRPr="00F31CE3">
              <w:t>*</w:t>
            </w:r>
          </w:p>
        </w:tc>
        <w:tc>
          <w:tcPr>
            <w:tcW w:w="0" w:type="auto"/>
          </w:tcPr>
          <w:p w:rsidR="00D44002" w:rsidRPr="00F31CE3" w:rsidP="00F31CE3">
            <w:r w:rsidRPr="00F31CE3">
              <w:t>Inspect the erection of prefabricated concrete elements</w:t>
            </w:r>
          </w:p>
        </w:tc>
      </w:tr>
      <w:tr>
        <w:tblPrEx>
          <w:tblW w:w="5000" w:type="pct"/>
        </w:tblPrEx>
        <w:tc>
          <w:tcPr>
            <w:tcW w:w="0" w:type="auto"/>
          </w:tcPr>
          <w:p w:rsidR="00D44002" w:rsidRPr="00F31CE3" w:rsidP="00F31CE3">
            <w:r w:rsidRPr="00F31CE3">
              <w:t>CPCSUS4001</w:t>
            </w:r>
          </w:p>
        </w:tc>
        <w:tc>
          <w:tcPr>
            <w:tcW w:w="0" w:type="auto"/>
          </w:tcPr>
          <w:p w:rsidR="00D44002" w:rsidRPr="00F31CE3" w:rsidP="00F31CE3">
            <w:r w:rsidRPr="00F31CE3">
              <w:t>Implement and monitor environmentally sustainable work practices</w:t>
            </w:r>
          </w:p>
        </w:tc>
      </w:tr>
      <w:tr>
        <w:tblPrEx>
          <w:tblW w:w="5000" w:type="pct"/>
        </w:tblPrEx>
        <w:tc>
          <w:tcPr>
            <w:tcW w:w="0" w:type="auto"/>
          </w:tcPr>
          <w:p w:rsidR="00D44002" w:rsidRPr="00F31CE3" w:rsidP="00F31CE3">
            <w:r w:rsidRPr="00F31CE3">
              <w:t>CPCSUS4003</w:t>
            </w:r>
          </w:p>
        </w:tc>
        <w:tc>
          <w:tcPr>
            <w:tcW w:w="0" w:type="auto"/>
          </w:tcPr>
          <w:p w:rsidR="00D44002" w:rsidRPr="00F31CE3" w:rsidP="00F31CE3">
            <w:r w:rsidRPr="00F31CE3">
              <w:t>Maximise energy efficiency through applied trade skills</w:t>
            </w:r>
          </w:p>
        </w:tc>
      </w:tr>
      <w:tr>
        <w:tblPrEx>
          <w:tblW w:w="5000" w:type="pct"/>
        </w:tblPrEx>
        <w:trPr>
          <w:trHeight w:val="656"/>
        </w:trPr>
        <w:tc>
          <w:tcPr>
            <w:tcW w:w="0" w:type="auto"/>
          </w:tcPr>
          <w:p w:rsidR="00D44002" w:rsidRPr="00F31CE3" w:rsidP="00F31CE3">
            <w:r w:rsidRPr="00F31CE3">
              <w:t>CPCWHS1001</w:t>
            </w:r>
          </w:p>
        </w:tc>
        <w:tc>
          <w:tcPr>
            <w:tcW w:w="0" w:type="auto"/>
          </w:tcPr>
          <w:p w:rsidR="00D44002" w:rsidRPr="00F31CE3" w:rsidP="00F31CE3">
            <w:r w:rsidRPr="00F31CE3">
              <w:t>Prepare to work safely in the construction industry</w:t>
            </w:r>
          </w:p>
        </w:tc>
      </w:tr>
      <w:tr>
        <w:tblPrEx>
          <w:tblW w:w="5000" w:type="pct"/>
        </w:tblPrEx>
        <w:trPr>
          <w:trHeight w:val="300"/>
        </w:trPr>
        <w:tc>
          <w:tcPr>
            <w:tcW w:w="0" w:type="auto"/>
          </w:tcPr>
          <w:p w:rsidR="00D44002" w:rsidRPr="00F31CE3" w:rsidP="00F31CE3">
            <w:r w:rsidRPr="00F31CE3">
              <w:t>CPCCWHS2001</w:t>
            </w:r>
          </w:p>
        </w:tc>
        <w:tc>
          <w:tcPr>
            <w:tcW w:w="0" w:type="auto"/>
          </w:tcPr>
          <w:p w:rsidR="00D44002" w:rsidRPr="00F31CE3" w:rsidP="00F31CE3">
            <w:r w:rsidRPr="00F31CE3">
              <w:t>Apply WHS requirements, policies and procedures in the construction industry</w:t>
            </w:r>
          </w:p>
        </w:tc>
      </w:tr>
    </w:tbl>
    <w:p w:rsidR="00D44002" w:rsidRPr="00F31CE3" w:rsidP="00F31CE3">
      <w:r w:rsidRPr="00F31CE3">
        <w:t> </w:t>
      </w:r>
    </w:p>
    <w:p w:rsidR="00D44002" w:rsidRPr="00F31CE3" w:rsidP="00F31CE3">
      <w:r w:rsidRPr="00F31CE3">
        <w:t> </w:t>
      </w:r>
    </w:p>
    <w:p w:rsidR="00D44002" w:rsidRPr="00F31CE3" w:rsidP="00F31CE3">
      <w:pPr>
        <w:pStyle w:val="Heading1"/>
      </w:pPr>
      <w:r w:rsidRPr="00F31CE3">
        <w:t>Pre-requisite Requirements</w:t>
      </w:r>
    </w:p>
    <w:tbl>
      <w:tblPr>
        <w:tblStyle w:val="TableGrid"/>
        <w:tblW w:w="5000" w:type="pct"/>
        <w:jc w:val="left"/>
      </w:tblPr>
      <w:tblGrid>
        <w:gridCol w:w="4529"/>
        <w:gridCol w:w="4531"/>
      </w:tblGrid>
      <w:tr>
        <w:tblPrEx>
          <w:tblW w:w="5000" w:type="pct"/>
        </w:tblPrEx>
        <w:tc>
          <w:tcPr>
            <w:tcW w:w="4535" w:type="dxa"/>
            <w:noWrap w:val="0"/>
            <w:tcMar>
              <w:top w:w="0" w:type="dxa"/>
              <w:left w:w="108" w:type="dxa"/>
              <w:bottom w:w="0" w:type="dxa"/>
              <w:right w:w="108" w:type="dxa"/>
            </w:tcMar>
            <w:hideMark/>
          </w:tcPr>
          <w:p w:rsidR="00D44002" w:rsidRPr="00F31CE3" w:rsidP="00F31CE3">
            <w:r w:rsidRPr="00F31CE3">
              <w:t>Unit of competency</w:t>
            </w:r>
          </w:p>
        </w:tc>
        <w:tc>
          <w:tcPr>
            <w:tcW w:w="4535" w:type="dxa"/>
            <w:noWrap w:val="0"/>
            <w:tcMar>
              <w:top w:w="0" w:type="dxa"/>
              <w:left w:w="108" w:type="dxa"/>
              <w:bottom w:w="0" w:type="dxa"/>
              <w:right w:w="108" w:type="dxa"/>
            </w:tcMar>
            <w:hideMark/>
          </w:tcPr>
          <w:p w:rsidR="00D44002" w:rsidRPr="00F31CE3" w:rsidP="00F31CE3">
            <w:r w:rsidRPr="00F31CE3">
              <w:t>Prerequisite requirement</w:t>
            </w:r>
          </w:p>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CPCCBC4010 Apply structural principles to residential and commercial constructions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CPCCBC4001   Apply building codes and standards to the construction process for Class 1 and 10 buildings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CPCCBC4053   Apply building codes and standards to the construction process for Class 2 to 9 Type C buildings</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CPCCCM2012 Work safely at heights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   Apply WHS requirements, policies and procedures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CPCCLRG3001 Licence to perform rigging basic level</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CPCCLDG3001   Licence to perform dogging</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CPCINS4001 Inspect technical quality of insulation installation work</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CPCWHS1001   Prepare to work safely in the construction industry</w:t>
            </w:r>
          </w:p>
          <w:p w:rsidR="00D44002" w:rsidRPr="00F31CE3" w:rsidP="00F31CE3"/>
        </w:tc>
      </w:tr>
      <w:tr>
        <w:tblPrEx>
          <w:tblW w:w="5000" w:type="pct"/>
        </w:tblPrEx>
        <w:tc>
          <w:tcPr>
            <w:tcW w:w="4535" w:type="dxa"/>
            <w:noWrap w:val="0"/>
            <w:tcMar>
              <w:top w:w="0" w:type="dxa"/>
              <w:left w:w="108" w:type="dxa"/>
              <w:bottom w:w="0" w:type="dxa"/>
              <w:right w:w="108" w:type="dxa"/>
            </w:tcMar>
            <w:hideMark/>
          </w:tcPr>
          <w:p w:rsidR="00D44002" w:rsidRPr="00F31CE3" w:rsidP="00F31CE3">
            <w:r w:rsidRPr="00F31CE3">
              <w:t>CPCPRE4001 Inspect the erection of prefabricated concrete elements</w:t>
            </w:r>
          </w:p>
        </w:tc>
        <w:tc>
          <w:tcPr>
            <w:tcW w:w="4535" w:type="dxa"/>
            <w:noWrap w:val="0"/>
            <w:tcMar>
              <w:top w:w="0" w:type="dxa"/>
              <w:left w:w="108" w:type="dxa"/>
              <w:bottom w:w="0" w:type="dxa"/>
              <w:right w:w="108"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CPCCCM2012   Work safely at heights</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CPCCLRG3002   Licence to perform rigging intermediate level</w:t>
            </w:r>
          </w:p>
          <w:p w:rsidR="00D44002" w:rsidRPr="00F31CE3" w:rsidP="00F31CE3"/>
        </w:tc>
      </w:tr>
    </w:tbl>
    <w:p w:rsidR="00D44002" w:rsidRPr="00F31CE3" w:rsidP="00F31CE3">
      <w:pPr>
        <w:pStyle w:val="Heading1"/>
      </w:pPr>
      <w:r w:rsidRPr="00F31CE3">
        <w:t>Qualification Mapping Information</w:t>
      </w:r>
    </w:p>
    <w:tbl>
      <w:tblPr>
        <w:tblStyle w:val="TableGrid"/>
        <w:tblW w:w="5000" w:type="pct"/>
        <w:jc w:val="left"/>
      </w:tblPr>
      <w:tblGrid>
        <w:gridCol w:w="2265"/>
        <w:gridCol w:w="2265"/>
        <w:gridCol w:w="2265"/>
        <w:gridCol w:w="2265"/>
      </w:tblGrid>
      <w:tr>
        <w:tblPrEx>
          <w:tblW w:w="5000" w:type="pct"/>
        </w:tblPrEx>
        <w:tc>
          <w:tcPr>
            <w:tcW w:w="2268" w:type="dxa"/>
            <w:noWrap w:val="0"/>
            <w:tcMar>
              <w:top w:w="0" w:type="dxa"/>
              <w:left w:w="108" w:type="dxa"/>
              <w:bottom w:w="0" w:type="dxa"/>
              <w:right w:w="108" w:type="dxa"/>
            </w:tcMar>
            <w:hideMark/>
          </w:tcPr>
          <w:p w:rsidR="00D44002" w:rsidRPr="00F31CE3" w:rsidP="00F31CE3">
            <w:r w:rsidRPr="00F31CE3">
              <w:t>Current Code and Title</w:t>
            </w:r>
          </w:p>
        </w:tc>
        <w:tc>
          <w:tcPr>
            <w:tcW w:w="2268" w:type="dxa"/>
            <w:noWrap w:val="0"/>
            <w:tcMar>
              <w:top w:w="0" w:type="dxa"/>
              <w:left w:w="108" w:type="dxa"/>
              <w:bottom w:w="0" w:type="dxa"/>
              <w:right w:w="108" w:type="dxa"/>
            </w:tcMar>
            <w:hideMark/>
          </w:tcPr>
          <w:p w:rsidR="00D44002" w:rsidRPr="00F31CE3" w:rsidP="00F31CE3">
            <w:r w:rsidRPr="00F31CE3">
              <w:t>Previous Code and Title</w:t>
            </w:r>
          </w:p>
        </w:tc>
        <w:tc>
          <w:tcPr>
            <w:tcW w:w="2268" w:type="dxa"/>
            <w:noWrap w:val="0"/>
            <w:tcMar>
              <w:top w:w="0" w:type="dxa"/>
              <w:left w:w="108" w:type="dxa"/>
              <w:bottom w:w="0" w:type="dxa"/>
              <w:right w:w="108" w:type="dxa"/>
            </w:tcMar>
            <w:hideMark/>
          </w:tcPr>
          <w:p w:rsidR="00D44002" w:rsidRPr="00F31CE3" w:rsidP="00F31CE3">
            <w:r w:rsidRPr="00F31CE3">
              <w:t>Comments</w:t>
            </w:r>
          </w:p>
        </w:tc>
        <w:tc>
          <w:tcPr>
            <w:tcW w:w="2268" w:type="dxa"/>
            <w:noWrap w:val="0"/>
            <w:tcMar>
              <w:top w:w="0" w:type="dxa"/>
              <w:left w:w="108" w:type="dxa"/>
              <w:bottom w:w="0" w:type="dxa"/>
              <w:right w:w="108" w:type="dxa"/>
            </w:tcMar>
            <w:hideMark/>
          </w:tcPr>
          <w:p w:rsidR="00D44002" w:rsidRPr="00F31CE3" w:rsidP="00F31CE3">
            <w:r w:rsidRPr="00F31CE3">
              <w:t>Equivalence</w:t>
            </w:r>
          </w:p>
        </w:tc>
      </w:tr>
      <w:tr>
        <w:tblPrEx>
          <w:tblW w:w="5000" w:type="pct"/>
        </w:tblPrEx>
        <w:tc>
          <w:tcPr>
            <w:tcW w:w="2268" w:type="dxa"/>
            <w:noWrap w:val="0"/>
            <w:tcMar>
              <w:top w:w="0" w:type="dxa"/>
              <w:left w:w="108" w:type="dxa"/>
              <w:bottom w:w="0" w:type="dxa"/>
              <w:right w:w="108" w:type="dxa"/>
            </w:tcMar>
            <w:hideMark/>
          </w:tcPr>
          <w:p w:rsidR="00D44002" w:rsidRPr="00F31CE3" w:rsidP="00F31CE3">
            <w:r w:rsidRPr="00F31CE3">
              <w:t>CPC40120 Certificate IV in Building and Construction</w:t>
            </w:r>
          </w:p>
        </w:tc>
        <w:tc>
          <w:tcPr>
            <w:tcW w:w="2268" w:type="dxa"/>
            <w:noWrap w:val="0"/>
            <w:tcMar>
              <w:top w:w="0" w:type="dxa"/>
              <w:left w:w="108" w:type="dxa"/>
              <w:bottom w:w="0" w:type="dxa"/>
              <w:right w:w="108" w:type="dxa"/>
            </w:tcMar>
            <w:hideMark/>
          </w:tcPr>
          <w:p w:rsidR="00D44002" w:rsidRPr="00F31CE3" w:rsidP="00F31CE3">
            <w:r w:rsidRPr="00F31CE3">
              <w:t>CPC40110 Certificate IV in Building and Construction (Building)</w:t>
            </w:r>
          </w:p>
        </w:tc>
        <w:tc>
          <w:tcPr>
            <w:tcW w:w="2268" w:type="dxa"/>
            <w:noWrap w:val="0"/>
            <w:tcMar>
              <w:top w:w="0" w:type="dxa"/>
              <w:left w:w="108" w:type="dxa"/>
              <w:bottom w:w="0" w:type="dxa"/>
              <w:right w:w="108" w:type="dxa"/>
            </w:tcMar>
            <w:hideMark/>
          </w:tcPr>
          <w:p w:rsidR="00D44002" w:rsidRPr="00F31CE3" w:rsidP="00F31CE3">
            <w:r>
              <w:rPr>
                <w:rFonts w:ascii="Times New Roman" w:eastAsia="Times New Roman" w:hAnsi="Times New Roman" w:cs="Times New Roman"/>
                <w:kern w:val="0"/>
                <w14:ligatures w14:val="none"/>
              </w:rPr>
              <w:t>Supersedes and is equivalent to CPC40110 Certificate IV in Building and Construction (Building) and CPC40508 Certificate IV in Building and Construction (Site Management).</w:t>
            </w:r>
          </w:p>
        </w:tc>
        <w:tc>
          <w:tcPr>
            <w:tcW w:w="2268" w:type="dxa"/>
            <w:noWrap w:val="0"/>
            <w:tcMar>
              <w:top w:w="0" w:type="dxa"/>
              <w:left w:w="108" w:type="dxa"/>
              <w:bottom w:w="0" w:type="dxa"/>
              <w:right w:w="108" w:type="dxa"/>
            </w:tcMar>
            <w:hideMark/>
          </w:tcPr>
          <w:p w:rsidR="00D44002" w:rsidRPr="00F31CE3" w:rsidP="00F31CE3">
            <w:r w:rsidRPr="00F31CE3">
              <w:t>Equivalent</w:t>
            </w:r>
          </w:p>
        </w:tc>
      </w:tr>
      <w:tr>
        <w:tblPrEx>
          <w:tblW w:w="5000" w:type="pct"/>
        </w:tblPrEx>
        <w:tc>
          <w:tcPr>
            <w:tcW w:w="2268" w:type="dxa"/>
            <w:noWrap w:val="0"/>
            <w:tcMar>
              <w:top w:w="0" w:type="dxa"/>
              <w:left w:w="108" w:type="dxa"/>
              <w:bottom w:w="0" w:type="dxa"/>
              <w:right w:w="108" w:type="dxa"/>
            </w:tcMar>
            <w:hideMark/>
          </w:tcPr>
          <w:p w:rsidR="00D44002" w:rsidRPr="00F31CE3" w:rsidP="00F31CE3">
            <w:r w:rsidRPr="00F31CE3">
              <w:t>CPC40120 Certificate IV in Building and Construction</w:t>
            </w:r>
          </w:p>
        </w:tc>
        <w:tc>
          <w:tcPr>
            <w:tcW w:w="2268" w:type="dxa"/>
            <w:noWrap w:val="0"/>
            <w:tcMar>
              <w:top w:w="0" w:type="dxa"/>
              <w:left w:w="108" w:type="dxa"/>
              <w:bottom w:w="0" w:type="dxa"/>
              <w:right w:w="108" w:type="dxa"/>
            </w:tcMar>
            <w:hideMark/>
          </w:tcPr>
          <w:p w:rsidR="00D44002" w:rsidRPr="00F31CE3" w:rsidP="00F31CE3">
            <w:r w:rsidRPr="00F31CE3">
              <w:t>CPC40508 Certificate IV in Building and Construction (Site Management)</w:t>
            </w:r>
          </w:p>
        </w:tc>
        <w:tc>
          <w:tcPr>
            <w:tcW w:w="2268" w:type="dxa"/>
            <w:noWrap w:val="0"/>
            <w:tcMar>
              <w:top w:w="0" w:type="dxa"/>
              <w:left w:w="108" w:type="dxa"/>
              <w:bottom w:w="0" w:type="dxa"/>
              <w:right w:w="108" w:type="dxa"/>
            </w:tcMar>
            <w:hideMark/>
          </w:tcPr>
          <w:p w:rsidR="00D44002" w:rsidRPr="00F31CE3" w:rsidP="00F31CE3">
            <w:r>
              <w:rPr>
                <w:rFonts w:ascii="Times New Roman" w:eastAsia="Times New Roman" w:hAnsi="Times New Roman" w:cs="Times New Roman"/>
                <w:kern w:val="0"/>
                <w14:ligatures w14:val="none"/>
              </w:rPr>
              <w:t>Supersedes and is equivalent to CPC40508 Certificate IV in Building and Construction (Site Management) and CPC40110 Certificate IV in Building and Construction (Building).</w:t>
            </w:r>
          </w:p>
        </w:tc>
        <w:tc>
          <w:tcPr>
            <w:tcW w:w="2268" w:type="dxa"/>
            <w:noWrap w:val="0"/>
            <w:tcMar>
              <w:top w:w="0" w:type="dxa"/>
              <w:left w:w="108" w:type="dxa"/>
              <w:bottom w:w="0" w:type="dxa"/>
              <w:right w:w="108" w:type="dxa"/>
            </w:tcMar>
            <w:hideMark/>
          </w:tcPr>
          <w:p w:rsidR="00D44002" w:rsidRPr="00F31CE3" w:rsidP="00F31CE3">
            <w:r w:rsidRPr="00F31CE3">
              <w:t>Equivalent</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9" w:history="1">
        <w:r w:rsidRPr="00F31CE3">
          <w:rPr>
            <w:rStyle w:val="Hyperlink"/>
          </w:rPr>
          <w:t>https://training.gov.au/training/details/CPC</w:t>
        </w:r>
      </w:hyperlink>
      <w:r w:rsidRPr="00F31CE3">
        <w:t>.</w:t>
      </w:r>
    </w:p>
    <w:p w:rsidR="00D44002" w:rsidRPr="00F31CE3" w:rsidP="00F31CE3"/>
    <w:sectPr w:rsidSect="00F31508">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8</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8</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CPC40120 Certificate IV in Building and Construction</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yperlink" Target="https://training.gov.au/training/details/CPC"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CPC40120 Certificate IV in Building and Construction</dc:title>
  <dc:subject>Release: 9</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2026-04-30T02:23:31Z</dcterms:created>
  <dcterms:modified xsi:type="dcterms:W3CDTF">2026-04-30T02:23:31Z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