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AC6CF" w14:textId="3D4BE1F1" w:rsidR="004B360D" w:rsidRDefault="004B360D" w:rsidP="00092081">
      <w:pPr>
        <w:ind w:left="720" w:hanging="360"/>
        <w:jc w:val="center"/>
        <w:rPr>
          <w:b/>
          <w:bCs/>
          <w:u w:val="single"/>
        </w:rPr>
      </w:pPr>
      <w:r w:rsidRPr="004B0CD9">
        <w:rPr>
          <w:b/>
          <w:bCs/>
          <w:u w:val="single"/>
        </w:rPr>
        <w:t xml:space="preserve">Eight Principles </w:t>
      </w:r>
      <w:r w:rsidR="008B39D8" w:rsidRPr="004B0CD9">
        <w:rPr>
          <w:b/>
          <w:bCs/>
          <w:u w:val="single"/>
        </w:rPr>
        <w:t>o</w:t>
      </w:r>
      <w:r w:rsidRPr="004B0CD9">
        <w:rPr>
          <w:b/>
          <w:bCs/>
          <w:u w:val="single"/>
        </w:rPr>
        <w:t>f Effective Treatment That Reflect Generally Accepted Standards of Care</w:t>
      </w:r>
      <w:r w:rsidR="00417567" w:rsidRPr="00417567">
        <w:rPr>
          <w:b/>
          <w:bCs/>
        </w:rPr>
        <w:t xml:space="preserve"> </w:t>
      </w:r>
      <w:r w:rsidR="00417567" w:rsidRPr="00417567">
        <w:rPr>
          <w:rStyle w:val="EndnoteReference"/>
        </w:rPr>
        <w:endnoteReference w:id="1"/>
      </w:r>
      <w:r w:rsidR="00417567" w:rsidRPr="00417567">
        <w:t xml:space="preserve"> </w:t>
      </w:r>
      <w:r w:rsidR="00417567" w:rsidRPr="00417567">
        <w:rPr>
          <w:rStyle w:val="EndnoteReference"/>
        </w:rPr>
        <w:endnoteReference w:id="2"/>
      </w:r>
    </w:p>
    <w:p w14:paraId="4CABF5B7" w14:textId="77777777" w:rsidR="009A2025" w:rsidRDefault="009A2025" w:rsidP="009A2025">
      <w:pPr>
        <w:contextualSpacing/>
      </w:pPr>
    </w:p>
    <w:p w14:paraId="65F9B3AB" w14:textId="6498957E" w:rsidR="00092081" w:rsidRDefault="00B85F0E" w:rsidP="009A2025">
      <w:pPr>
        <w:contextualSpacing/>
      </w:pPr>
      <w:r w:rsidRPr="004B360D">
        <w:t>Effective Treatment for outpatient, IOPs and residential programs:</w:t>
      </w:r>
    </w:p>
    <w:p w14:paraId="014FA0EA" w14:textId="77777777" w:rsidR="00740993" w:rsidRPr="004B360D" w:rsidRDefault="00740993" w:rsidP="00740993">
      <w:pPr>
        <w:ind w:left="360" w:hanging="360"/>
        <w:contextualSpacing/>
      </w:pPr>
    </w:p>
    <w:p w14:paraId="0D8336E6" w14:textId="7F16B7F1" w:rsidR="00D61176" w:rsidRPr="00D61176" w:rsidRDefault="00CC5C31" w:rsidP="00D61176">
      <w:pPr>
        <w:pStyle w:val="Bodytext60"/>
        <w:numPr>
          <w:ilvl w:val="0"/>
          <w:numId w:val="1"/>
        </w:numPr>
        <w:shd w:val="clear" w:color="auto" w:fill="auto"/>
        <w:spacing w:before="0" w:after="160" w:line="259" w:lineRule="auto"/>
        <w:rPr>
          <w:b/>
          <w:color w:val="000000" w:themeColor="text1"/>
          <w:sz w:val="22"/>
        </w:rPr>
      </w:pPr>
      <w:r w:rsidRPr="00736443">
        <w:rPr>
          <w:b/>
          <w:color w:val="000000" w:themeColor="text1"/>
          <w:sz w:val="22"/>
        </w:rPr>
        <w:t xml:space="preserve">The determination of the appropriate level of care for patients with mental health and/or substance use disorders should be </w:t>
      </w:r>
      <w:r w:rsidR="00770802" w:rsidRPr="00736443">
        <w:rPr>
          <w:b/>
          <w:color w:val="000000" w:themeColor="text1"/>
          <w:sz w:val="22"/>
        </w:rPr>
        <w:t>based on</w:t>
      </w:r>
      <w:r w:rsidRPr="00736443">
        <w:rPr>
          <w:b/>
          <w:color w:val="000000" w:themeColor="text1"/>
          <w:sz w:val="22"/>
        </w:rPr>
        <w:t xml:space="preserve"> a multidimensional assessment that </w:t>
      </w:r>
      <w:r w:rsidR="00770802" w:rsidRPr="00736443">
        <w:rPr>
          <w:b/>
          <w:color w:val="000000" w:themeColor="text1"/>
          <w:sz w:val="22"/>
        </w:rPr>
        <w:t>considers</w:t>
      </w:r>
      <w:r w:rsidRPr="00736443">
        <w:rPr>
          <w:b/>
          <w:color w:val="000000" w:themeColor="text1"/>
          <w:sz w:val="22"/>
        </w:rPr>
        <w:t xml:space="preserve"> a wide variety of information about the patient. </w:t>
      </w:r>
    </w:p>
    <w:p w14:paraId="556CAE6B" w14:textId="77777777" w:rsidR="008C678C" w:rsidRDefault="008C678C" w:rsidP="00D61176">
      <w:pPr>
        <w:pStyle w:val="Bodytext60"/>
        <w:numPr>
          <w:ilvl w:val="0"/>
          <w:numId w:val="3"/>
        </w:numPr>
        <w:shd w:val="clear" w:color="auto" w:fill="auto"/>
        <w:spacing w:before="120" w:after="160" w:line="259" w:lineRule="auto"/>
        <w:rPr>
          <w:bCs/>
          <w:color w:val="000000" w:themeColor="text1"/>
          <w:sz w:val="22"/>
        </w:rPr>
      </w:pPr>
      <w:r w:rsidRPr="008C678C">
        <w:rPr>
          <w:bCs/>
          <w:color w:val="000000" w:themeColor="text1"/>
          <w:sz w:val="22"/>
        </w:rPr>
        <w:t xml:space="preserve">American Association for Community Psychiatry: LOCUS 20 (Level of Care Utilization System), 2016 Available at: https://sites.google.com/view/aacp123/resources/locus </w:t>
      </w:r>
    </w:p>
    <w:p w14:paraId="320F7CDA" w14:textId="53574130" w:rsidR="008C678C" w:rsidRDefault="008C678C" w:rsidP="00092081">
      <w:pPr>
        <w:pStyle w:val="Bodytext60"/>
        <w:numPr>
          <w:ilvl w:val="0"/>
          <w:numId w:val="3"/>
        </w:numPr>
        <w:shd w:val="clear" w:color="auto" w:fill="auto"/>
        <w:spacing w:before="120" w:after="160" w:line="259" w:lineRule="auto"/>
        <w:rPr>
          <w:bCs/>
          <w:color w:val="000000" w:themeColor="text1"/>
          <w:sz w:val="22"/>
        </w:rPr>
      </w:pPr>
      <w:r w:rsidRPr="008C678C">
        <w:rPr>
          <w:bCs/>
          <w:color w:val="000000" w:themeColor="text1"/>
          <w:sz w:val="22"/>
        </w:rPr>
        <w:t>American Association for Community Psychiatry: CALOCUS 20 (Child and Adolescent Level of Care Utilization System), 2019 Available at:</w:t>
      </w:r>
      <w:r>
        <w:rPr>
          <w:bCs/>
          <w:color w:val="000000" w:themeColor="text1"/>
          <w:sz w:val="22"/>
        </w:rPr>
        <w:t xml:space="preserve"> </w:t>
      </w:r>
      <w:r w:rsidRPr="008C678C">
        <w:rPr>
          <w:bCs/>
          <w:color w:val="000000" w:themeColor="text1"/>
          <w:sz w:val="22"/>
        </w:rPr>
        <w:t xml:space="preserve">https://sites.google.com/view/aacp123/resources/locus </w:t>
      </w:r>
    </w:p>
    <w:p w14:paraId="06AC6CEE" w14:textId="161801F3" w:rsidR="00770802" w:rsidRDefault="00770802" w:rsidP="00092081">
      <w:pPr>
        <w:pStyle w:val="Bodytext60"/>
        <w:numPr>
          <w:ilvl w:val="0"/>
          <w:numId w:val="3"/>
        </w:numPr>
        <w:shd w:val="clear" w:color="auto" w:fill="auto"/>
        <w:spacing w:before="120" w:after="160" w:line="259" w:lineRule="auto"/>
        <w:rPr>
          <w:bCs/>
          <w:color w:val="000000" w:themeColor="text1"/>
          <w:sz w:val="22"/>
        </w:rPr>
      </w:pPr>
      <w:proofErr w:type="spellStart"/>
      <w:r w:rsidRPr="00770802">
        <w:rPr>
          <w:bCs/>
          <w:color w:val="000000" w:themeColor="text1"/>
          <w:sz w:val="22"/>
        </w:rPr>
        <w:t>Mee</w:t>
      </w:r>
      <w:proofErr w:type="spellEnd"/>
      <w:r w:rsidRPr="00770802">
        <w:rPr>
          <w:bCs/>
          <w:color w:val="000000" w:themeColor="text1"/>
          <w:sz w:val="22"/>
        </w:rPr>
        <w:t>-Lee, D., &amp; Shulman, G. (2014). The ASAM criteria and matching patients to treatment. </w:t>
      </w:r>
      <w:r w:rsidRPr="00770802">
        <w:rPr>
          <w:bCs/>
          <w:i/>
          <w:iCs/>
          <w:color w:val="000000" w:themeColor="text1"/>
          <w:sz w:val="22"/>
        </w:rPr>
        <w:t>The ASAM Principles of Addiction Medicine. 5th ed. China: Wolters Kluwer Health</w:t>
      </w:r>
      <w:r w:rsidRPr="00770802">
        <w:rPr>
          <w:bCs/>
          <w:color w:val="000000" w:themeColor="text1"/>
          <w:sz w:val="22"/>
        </w:rPr>
        <w:t>.</w:t>
      </w:r>
    </w:p>
    <w:p w14:paraId="164D01CB" w14:textId="6FB34F7D" w:rsidR="00092081" w:rsidRDefault="00770802" w:rsidP="00092081">
      <w:pPr>
        <w:pStyle w:val="Bodytext60"/>
        <w:numPr>
          <w:ilvl w:val="0"/>
          <w:numId w:val="3"/>
        </w:numPr>
        <w:shd w:val="clear" w:color="auto" w:fill="auto"/>
        <w:spacing w:before="120" w:after="160" w:line="259" w:lineRule="auto"/>
        <w:rPr>
          <w:bCs/>
          <w:color w:val="000000" w:themeColor="text1"/>
          <w:sz w:val="22"/>
        </w:rPr>
      </w:pPr>
      <w:r w:rsidRPr="00770802">
        <w:rPr>
          <w:bCs/>
          <w:color w:val="000000" w:themeColor="text1"/>
          <w:sz w:val="22"/>
        </w:rPr>
        <w:t xml:space="preserve">American Psychiatric Association. (2020). </w:t>
      </w:r>
      <w:r w:rsidRPr="00770802">
        <w:rPr>
          <w:bCs/>
          <w:i/>
          <w:iCs/>
          <w:color w:val="000000" w:themeColor="text1"/>
          <w:sz w:val="22"/>
        </w:rPr>
        <w:t>Level of Care Criteria for Acute Psychiatric Treatment</w:t>
      </w:r>
      <w:r w:rsidRPr="00770802">
        <w:rPr>
          <w:bCs/>
          <w:color w:val="000000" w:themeColor="text1"/>
          <w:sz w:val="22"/>
        </w:rPr>
        <w:t xml:space="preserve"> [Position Statement]. </w:t>
      </w:r>
      <w:r w:rsidR="00092081" w:rsidRPr="00092081">
        <w:rPr>
          <w:bCs/>
          <w:color w:val="000000" w:themeColor="text1"/>
          <w:sz w:val="22"/>
        </w:rPr>
        <w:t>https://www.psychiatry.org/File%20Library/About-APA/Organization-Documents-Policies/Policies/Position-Continuing-Care-Criteria.pdf</w:t>
      </w:r>
    </w:p>
    <w:p w14:paraId="7EDEA97C" w14:textId="77777777" w:rsidR="00092081" w:rsidRPr="00092081" w:rsidRDefault="00092081" w:rsidP="00092081">
      <w:pPr>
        <w:pStyle w:val="Bodytext60"/>
        <w:shd w:val="clear" w:color="auto" w:fill="auto"/>
        <w:spacing w:before="0" w:after="160" w:line="259" w:lineRule="auto"/>
        <w:contextualSpacing/>
        <w:rPr>
          <w:bCs/>
          <w:color w:val="000000" w:themeColor="text1"/>
          <w:sz w:val="22"/>
        </w:rPr>
      </w:pPr>
    </w:p>
    <w:p w14:paraId="5D969E7C" w14:textId="2016091E" w:rsidR="00B222BD" w:rsidRPr="00736443" w:rsidRDefault="00B222BD" w:rsidP="00092081">
      <w:pPr>
        <w:pStyle w:val="Bodytext60"/>
        <w:numPr>
          <w:ilvl w:val="0"/>
          <w:numId w:val="1"/>
        </w:numPr>
        <w:shd w:val="clear" w:color="auto" w:fill="auto"/>
        <w:spacing w:before="0" w:after="160" w:line="259" w:lineRule="auto"/>
        <w:rPr>
          <w:b/>
          <w:color w:val="000000" w:themeColor="text1"/>
          <w:sz w:val="22"/>
        </w:rPr>
      </w:pPr>
      <w:r w:rsidRPr="00736443">
        <w:rPr>
          <w:b/>
          <w:color w:val="000000" w:themeColor="text1"/>
          <w:sz w:val="22"/>
        </w:rPr>
        <w:t xml:space="preserve">Effective treatment requires treatment of co-occurring behavioral health disorders and/or medical conditions in a coordinated manner that considers the interactions of the disorders and conditions and their implications for determining the appropriate level of </w:t>
      </w:r>
      <w:proofErr w:type="gramStart"/>
      <w:r w:rsidRPr="00736443">
        <w:rPr>
          <w:b/>
          <w:color w:val="000000" w:themeColor="text1"/>
          <w:sz w:val="22"/>
        </w:rPr>
        <w:t>care;</w:t>
      </w:r>
      <w:proofErr w:type="gramEnd"/>
    </w:p>
    <w:p w14:paraId="08687CFF" w14:textId="1F54AB5A" w:rsidR="00770802" w:rsidRDefault="00770802" w:rsidP="00092081">
      <w:pPr>
        <w:pStyle w:val="Bodytext60"/>
        <w:numPr>
          <w:ilvl w:val="0"/>
          <w:numId w:val="4"/>
        </w:numPr>
        <w:shd w:val="clear" w:color="auto" w:fill="auto"/>
        <w:spacing w:before="0" w:after="160" w:line="259" w:lineRule="auto"/>
        <w:rPr>
          <w:bCs/>
          <w:color w:val="000000" w:themeColor="text1"/>
          <w:sz w:val="22"/>
        </w:rPr>
      </w:pPr>
      <w:proofErr w:type="spellStart"/>
      <w:r w:rsidRPr="00770802">
        <w:rPr>
          <w:bCs/>
          <w:color w:val="000000" w:themeColor="text1"/>
          <w:sz w:val="22"/>
        </w:rPr>
        <w:t>Druss</w:t>
      </w:r>
      <w:proofErr w:type="spellEnd"/>
      <w:r w:rsidRPr="00770802">
        <w:rPr>
          <w:bCs/>
          <w:color w:val="000000" w:themeColor="text1"/>
          <w:sz w:val="22"/>
        </w:rPr>
        <w:t xml:space="preserve">, B.G. &amp; Reisinger-Walker, E. (2011). </w:t>
      </w:r>
      <w:r w:rsidRPr="00770802">
        <w:rPr>
          <w:bCs/>
          <w:i/>
          <w:iCs/>
          <w:color w:val="000000" w:themeColor="text1"/>
          <w:sz w:val="22"/>
        </w:rPr>
        <w:t>Mental disorders and medical comorbidity</w:t>
      </w:r>
      <w:r w:rsidRPr="00770802">
        <w:rPr>
          <w:bCs/>
          <w:color w:val="000000" w:themeColor="text1"/>
          <w:sz w:val="22"/>
        </w:rPr>
        <w:t xml:space="preserve"> [Research Synthesis Policy Brief No. 21]. Robert Wood Johnson Foundation, Princeton. http://www.rwjf.org/files/research/ 71883.mentalhealth.report.pdf </w:t>
      </w:r>
    </w:p>
    <w:p w14:paraId="0E3E5D90" w14:textId="422CFBD6" w:rsidR="00770802" w:rsidRDefault="00770802" w:rsidP="00092081">
      <w:pPr>
        <w:pStyle w:val="Bodytext60"/>
        <w:numPr>
          <w:ilvl w:val="0"/>
          <w:numId w:val="4"/>
        </w:numPr>
        <w:shd w:val="clear" w:color="auto" w:fill="auto"/>
        <w:spacing w:before="0" w:after="160" w:line="259" w:lineRule="auto"/>
        <w:rPr>
          <w:bCs/>
          <w:color w:val="000000" w:themeColor="text1"/>
          <w:sz w:val="22"/>
        </w:rPr>
      </w:pPr>
      <w:r w:rsidRPr="00770802">
        <w:rPr>
          <w:bCs/>
          <w:color w:val="000000" w:themeColor="text1"/>
          <w:sz w:val="22"/>
        </w:rPr>
        <w:t>Dennis, M. &amp; Scott, C.K. (2007). Managing addiction as a chronic condition. </w:t>
      </w:r>
      <w:r w:rsidRPr="00770802">
        <w:rPr>
          <w:bCs/>
          <w:i/>
          <w:iCs/>
          <w:color w:val="000000" w:themeColor="text1"/>
          <w:sz w:val="22"/>
        </w:rPr>
        <w:t>Addiction Science &amp; Clinical Practice, 4</w:t>
      </w:r>
      <w:r w:rsidRPr="00770802">
        <w:rPr>
          <w:bCs/>
          <w:color w:val="000000" w:themeColor="text1"/>
          <w:sz w:val="22"/>
        </w:rPr>
        <w:t>, 45-55. doi:10.1151/ascp074145</w:t>
      </w:r>
    </w:p>
    <w:p w14:paraId="36604C10" w14:textId="6402AC2C" w:rsidR="00E07F15" w:rsidRDefault="00736443" w:rsidP="00740993">
      <w:pPr>
        <w:pStyle w:val="Bodytext60"/>
        <w:numPr>
          <w:ilvl w:val="0"/>
          <w:numId w:val="4"/>
        </w:numPr>
        <w:shd w:val="clear" w:color="auto" w:fill="auto"/>
        <w:spacing w:before="120" w:after="160" w:line="259" w:lineRule="auto"/>
        <w:rPr>
          <w:bCs/>
          <w:color w:val="000000" w:themeColor="text1"/>
          <w:sz w:val="22"/>
        </w:rPr>
      </w:pPr>
      <w:r w:rsidRPr="008C678C">
        <w:rPr>
          <w:bCs/>
          <w:color w:val="000000" w:themeColor="text1"/>
          <w:sz w:val="22"/>
        </w:rPr>
        <w:t xml:space="preserve">American Association for Community Psychiatry: LOCUS 20 (Level of Care Utilization System), 2016 Available at: https://sites.google.com/view/aacp123/resources/locus </w:t>
      </w:r>
    </w:p>
    <w:p w14:paraId="5594038D" w14:textId="77777777" w:rsidR="00740993" w:rsidRPr="00740993" w:rsidRDefault="00740993" w:rsidP="00740993">
      <w:pPr>
        <w:pStyle w:val="Bodytext60"/>
        <w:shd w:val="clear" w:color="auto" w:fill="auto"/>
        <w:spacing w:before="0" w:after="160" w:line="259" w:lineRule="auto"/>
        <w:contextualSpacing/>
        <w:rPr>
          <w:bCs/>
          <w:color w:val="000000" w:themeColor="text1"/>
          <w:sz w:val="22"/>
        </w:rPr>
      </w:pPr>
    </w:p>
    <w:p w14:paraId="61D734A3" w14:textId="48DACA3E" w:rsidR="00CC5C31" w:rsidRPr="00736443" w:rsidRDefault="00CC5C31" w:rsidP="00092081">
      <w:pPr>
        <w:pStyle w:val="Bodytext60"/>
        <w:numPr>
          <w:ilvl w:val="0"/>
          <w:numId w:val="1"/>
        </w:numPr>
        <w:shd w:val="clear" w:color="auto" w:fill="auto"/>
        <w:spacing w:before="0" w:after="160" w:line="259" w:lineRule="auto"/>
        <w:rPr>
          <w:b/>
          <w:color w:val="000000" w:themeColor="text1"/>
          <w:sz w:val="22"/>
        </w:rPr>
      </w:pPr>
      <w:r w:rsidRPr="00736443">
        <w:rPr>
          <w:b/>
          <w:color w:val="000000" w:themeColor="text1"/>
          <w:sz w:val="22"/>
        </w:rPr>
        <w:t xml:space="preserve">Effective treatment requires treatment of the individual's underlying condition and is not limited to alleviation of the individual's current </w:t>
      </w:r>
      <w:proofErr w:type="gramStart"/>
      <w:r w:rsidRPr="00736443">
        <w:rPr>
          <w:b/>
          <w:color w:val="000000" w:themeColor="text1"/>
          <w:sz w:val="22"/>
        </w:rPr>
        <w:t>symptoms;</w:t>
      </w:r>
      <w:proofErr w:type="gramEnd"/>
      <w:r w:rsidRPr="00736443">
        <w:rPr>
          <w:b/>
          <w:color w:val="000000" w:themeColor="text1"/>
          <w:sz w:val="22"/>
        </w:rPr>
        <w:t xml:space="preserve"> </w:t>
      </w:r>
    </w:p>
    <w:p w14:paraId="0C8D8385" w14:textId="00CF5727" w:rsidR="00E8093E" w:rsidRDefault="00E8093E" w:rsidP="00092081">
      <w:pPr>
        <w:pStyle w:val="Bodytext60"/>
        <w:numPr>
          <w:ilvl w:val="0"/>
          <w:numId w:val="5"/>
        </w:numPr>
        <w:shd w:val="clear" w:color="auto" w:fill="auto"/>
        <w:spacing w:before="0" w:after="160" w:line="259" w:lineRule="auto"/>
        <w:rPr>
          <w:bCs/>
          <w:color w:val="000000" w:themeColor="text1"/>
          <w:sz w:val="22"/>
        </w:rPr>
      </w:pPr>
      <w:r w:rsidRPr="00E8093E">
        <w:rPr>
          <w:bCs/>
          <w:color w:val="000000" w:themeColor="text1"/>
          <w:sz w:val="22"/>
        </w:rPr>
        <w:t xml:space="preserve">SAMHSA. (2012). </w:t>
      </w:r>
      <w:r w:rsidRPr="00E8093E">
        <w:rPr>
          <w:bCs/>
          <w:i/>
          <w:iCs/>
          <w:color w:val="000000" w:themeColor="text1"/>
          <w:sz w:val="22"/>
        </w:rPr>
        <w:t>SAMHSA’s Working Definition of Recovery: 10 Guiding Principles of Recovery</w:t>
      </w:r>
      <w:r w:rsidRPr="00E8093E">
        <w:rPr>
          <w:bCs/>
          <w:color w:val="000000" w:themeColor="text1"/>
          <w:sz w:val="22"/>
        </w:rPr>
        <w:t xml:space="preserve"> [Brochure]. https://store.samhsa.gov/sites/default/files/d7/priv/pep12-recdef.pdf</w:t>
      </w:r>
      <w:r w:rsidRPr="00E8093E">
        <w:rPr>
          <w:bCs/>
          <w:i/>
          <w:iCs/>
          <w:color w:val="000000" w:themeColor="text1"/>
          <w:sz w:val="22"/>
        </w:rPr>
        <w:t xml:space="preserve"> </w:t>
      </w:r>
      <w:r w:rsidRPr="00E8093E">
        <w:rPr>
          <w:bCs/>
          <w:color w:val="000000" w:themeColor="text1"/>
          <w:sz w:val="22"/>
        </w:rPr>
        <w:t xml:space="preserve"> </w:t>
      </w:r>
    </w:p>
    <w:p w14:paraId="28660B6C" w14:textId="1FD6ED3A" w:rsidR="00736443" w:rsidRDefault="00E8093E" w:rsidP="00092081">
      <w:pPr>
        <w:pStyle w:val="Bodytext60"/>
        <w:numPr>
          <w:ilvl w:val="0"/>
          <w:numId w:val="5"/>
        </w:numPr>
        <w:shd w:val="clear" w:color="auto" w:fill="auto"/>
        <w:spacing w:before="0" w:after="160" w:line="259" w:lineRule="auto"/>
        <w:rPr>
          <w:bCs/>
          <w:color w:val="000000" w:themeColor="text1"/>
          <w:sz w:val="22"/>
        </w:rPr>
      </w:pPr>
      <w:r w:rsidRPr="00E8093E">
        <w:rPr>
          <w:bCs/>
          <w:color w:val="000000" w:themeColor="text1"/>
          <w:sz w:val="22"/>
        </w:rPr>
        <w:t xml:space="preserve">American Psychiatric Association. (2018). </w:t>
      </w:r>
      <w:r w:rsidRPr="00E8093E">
        <w:rPr>
          <w:bCs/>
          <w:i/>
          <w:iCs/>
          <w:color w:val="000000" w:themeColor="text1"/>
          <w:sz w:val="22"/>
        </w:rPr>
        <w:t xml:space="preserve">Use of the Principles of Recovery </w:t>
      </w:r>
      <w:r w:rsidRPr="00E8093E">
        <w:rPr>
          <w:bCs/>
          <w:color w:val="000000" w:themeColor="text1"/>
          <w:sz w:val="22"/>
        </w:rPr>
        <w:t xml:space="preserve">[Position Statement]. </w:t>
      </w:r>
      <w:r w:rsidR="00740993" w:rsidRPr="00740993">
        <w:rPr>
          <w:bCs/>
          <w:color w:val="000000" w:themeColor="text1"/>
          <w:sz w:val="22"/>
        </w:rPr>
        <w:t>https://www.psychiatry.org/File%20Library/About-APA/Organization-Documents-Policies/Policies/Position-Use-of-the-Principles-of-Recovery.pdf</w:t>
      </w:r>
    </w:p>
    <w:p w14:paraId="58A15EA4" w14:textId="2755BBEF" w:rsidR="00740993" w:rsidRDefault="00740993" w:rsidP="00740993">
      <w:pPr>
        <w:pStyle w:val="Bodytext60"/>
        <w:shd w:val="clear" w:color="auto" w:fill="auto"/>
        <w:spacing w:before="0" w:after="160" w:line="259" w:lineRule="auto"/>
        <w:rPr>
          <w:bCs/>
          <w:color w:val="000000" w:themeColor="text1"/>
          <w:sz w:val="22"/>
        </w:rPr>
      </w:pPr>
    </w:p>
    <w:p w14:paraId="1F179445" w14:textId="77777777" w:rsidR="00740993" w:rsidRPr="00B7177C" w:rsidRDefault="00740993" w:rsidP="00740993">
      <w:pPr>
        <w:pStyle w:val="Bodytext60"/>
        <w:shd w:val="clear" w:color="auto" w:fill="auto"/>
        <w:spacing w:before="0" w:after="160" w:line="259" w:lineRule="auto"/>
        <w:rPr>
          <w:bCs/>
          <w:color w:val="000000" w:themeColor="text1"/>
          <w:sz w:val="22"/>
        </w:rPr>
      </w:pPr>
    </w:p>
    <w:p w14:paraId="75EC996E" w14:textId="6C940C96" w:rsidR="005923AD" w:rsidRPr="00736443" w:rsidRDefault="005923AD" w:rsidP="00092081">
      <w:pPr>
        <w:pStyle w:val="Bodytext60"/>
        <w:numPr>
          <w:ilvl w:val="0"/>
          <w:numId w:val="1"/>
        </w:numPr>
        <w:shd w:val="clear" w:color="auto" w:fill="auto"/>
        <w:spacing w:before="0" w:after="160" w:line="259" w:lineRule="auto"/>
        <w:rPr>
          <w:b/>
          <w:color w:val="000000" w:themeColor="text1"/>
          <w:sz w:val="22"/>
        </w:rPr>
      </w:pPr>
      <w:r w:rsidRPr="00736443">
        <w:rPr>
          <w:b/>
          <w:color w:val="000000" w:themeColor="text1"/>
          <w:sz w:val="22"/>
        </w:rPr>
        <w:lastRenderedPageBreak/>
        <w:t xml:space="preserve">The appropriate duration of treatment for behavioral health disorders is based on the individual needs of the patient; there is no specific limit on the duration of such </w:t>
      </w:r>
      <w:proofErr w:type="gramStart"/>
      <w:r w:rsidRPr="00736443">
        <w:rPr>
          <w:b/>
          <w:color w:val="000000" w:themeColor="text1"/>
          <w:sz w:val="22"/>
        </w:rPr>
        <w:t>treatment;</w:t>
      </w:r>
      <w:proofErr w:type="gramEnd"/>
      <w:r w:rsidRPr="00736443">
        <w:rPr>
          <w:b/>
          <w:color w:val="000000" w:themeColor="text1"/>
          <w:sz w:val="22"/>
        </w:rPr>
        <w:t xml:space="preserve"> </w:t>
      </w:r>
    </w:p>
    <w:p w14:paraId="06B3CAC9" w14:textId="3B3CF6A6" w:rsidR="00E8093E" w:rsidRDefault="00E8093E" w:rsidP="00092081">
      <w:pPr>
        <w:pStyle w:val="Bodytext60"/>
        <w:numPr>
          <w:ilvl w:val="0"/>
          <w:numId w:val="6"/>
        </w:numPr>
        <w:shd w:val="clear" w:color="auto" w:fill="auto"/>
        <w:spacing w:before="0" w:after="160" w:line="259" w:lineRule="auto"/>
        <w:rPr>
          <w:bCs/>
          <w:color w:val="000000" w:themeColor="text1"/>
          <w:sz w:val="22"/>
        </w:rPr>
      </w:pPr>
      <w:r w:rsidRPr="00E8093E">
        <w:rPr>
          <w:bCs/>
          <w:color w:val="000000" w:themeColor="text1"/>
          <w:sz w:val="22"/>
        </w:rPr>
        <w:t>U.S. Centers for Medicare &amp; Medicaid Services. (Revised 12/31/20). Medicare benefit policy manual chapter 6 - hospital services covered under Part B (CMS Publication No. 100-02). https://www.cms.gov/Regulations-and-Guidance/Guidance/Manuals/Downloads/bp102c06.pdf</w:t>
      </w:r>
    </w:p>
    <w:p w14:paraId="0DAE37EB" w14:textId="5A0F29F4" w:rsidR="00E8093E" w:rsidRDefault="00E8093E" w:rsidP="00092081">
      <w:pPr>
        <w:pStyle w:val="Bodytext60"/>
        <w:numPr>
          <w:ilvl w:val="0"/>
          <w:numId w:val="6"/>
        </w:numPr>
        <w:shd w:val="clear" w:color="auto" w:fill="auto"/>
        <w:spacing w:before="0" w:after="160" w:line="259" w:lineRule="auto"/>
        <w:rPr>
          <w:bCs/>
          <w:color w:val="000000" w:themeColor="text1"/>
          <w:sz w:val="22"/>
        </w:rPr>
      </w:pPr>
      <w:r w:rsidRPr="00E8093E">
        <w:rPr>
          <w:bCs/>
          <w:color w:val="000000" w:themeColor="text1"/>
          <w:sz w:val="22"/>
        </w:rPr>
        <w:t xml:space="preserve">Lazar, S.G., Bendat, M., Gabbard, G., Levy, K., McWilliams, N., Plakun, E.M., </w:t>
      </w:r>
      <w:proofErr w:type="spellStart"/>
      <w:r w:rsidRPr="00E8093E">
        <w:rPr>
          <w:bCs/>
          <w:color w:val="000000" w:themeColor="text1"/>
          <w:sz w:val="22"/>
        </w:rPr>
        <w:t>Shedler</w:t>
      </w:r>
      <w:proofErr w:type="spellEnd"/>
      <w:r w:rsidRPr="00E8093E">
        <w:rPr>
          <w:bCs/>
          <w:color w:val="000000" w:themeColor="text1"/>
          <w:sz w:val="22"/>
        </w:rPr>
        <w:t>, J., &amp; Yeomans, F. (2018). Clinical necessity guidelines for psychotherapy, insurance medical necessity and utilization review protocols, and mental health parity. </w:t>
      </w:r>
      <w:r w:rsidRPr="00E8093E">
        <w:rPr>
          <w:bCs/>
          <w:i/>
          <w:iCs/>
          <w:color w:val="000000" w:themeColor="text1"/>
          <w:sz w:val="22"/>
        </w:rPr>
        <w:t>Journal of Psychiatric Practice</w:t>
      </w:r>
      <w:r w:rsidRPr="00E8093E">
        <w:rPr>
          <w:bCs/>
          <w:color w:val="000000" w:themeColor="text1"/>
          <w:sz w:val="22"/>
        </w:rPr>
        <w:t>, </w:t>
      </w:r>
      <w:r w:rsidRPr="00E8093E">
        <w:rPr>
          <w:bCs/>
          <w:i/>
          <w:iCs/>
          <w:color w:val="000000" w:themeColor="text1"/>
          <w:sz w:val="22"/>
        </w:rPr>
        <w:t>24</w:t>
      </w:r>
      <w:r w:rsidRPr="00E8093E">
        <w:rPr>
          <w:bCs/>
          <w:color w:val="000000" w:themeColor="text1"/>
          <w:sz w:val="22"/>
        </w:rPr>
        <w:t>(3), 179-193. doi:10.1097/PRA.0000000000000309</w:t>
      </w:r>
    </w:p>
    <w:p w14:paraId="12C95780" w14:textId="63EA6544" w:rsidR="00E8093E" w:rsidRDefault="00E8093E" w:rsidP="00092081">
      <w:pPr>
        <w:pStyle w:val="Bodytext60"/>
        <w:numPr>
          <w:ilvl w:val="0"/>
          <w:numId w:val="6"/>
        </w:numPr>
        <w:shd w:val="clear" w:color="auto" w:fill="auto"/>
        <w:spacing w:before="0" w:after="160" w:line="259" w:lineRule="auto"/>
        <w:rPr>
          <w:bCs/>
          <w:color w:val="000000" w:themeColor="text1"/>
          <w:sz w:val="22"/>
        </w:rPr>
      </w:pPr>
      <w:r w:rsidRPr="00E8093E">
        <w:rPr>
          <w:bCs/>
          <w:color w:val="000000" w:themeColor="text1"/>
          <w:sz w:val="22"/>
        </w:rPr>
        <w:t xml:space="preserve">American Psychiatric Association. (2020). </w:t>
      </w:r>
      <w:r w:rsidRPr="00E8093E">
        <w:rPr>
          <w:bCs/>
          <w:i/>
          <w:iCs/>
          <w:color w:val="000000" w:themeColor="text1"/>
          <w:sz w:val="22"/>
        </w:rPr>
        <w:t>Level of Care Criteria for Acute Psychiatric Treatment</w:t>
      </w:r>
      <w:r w:rsidRPr="00E8093E">
        <w:rPr>
          <w:bCs/>
          <w:color w:val="000000" w:themeColor="text1"/>
          <w:sz w:val="22"/>
        </w:rPr>
        <w:t xml:space="preserve"> [Position Statement]. https://www.psychiatry.org/File%20Library/About-APA/Organization-Documents-Policies/Policies/Position-Continuing-Care-Criteria.pdf</w:t>
      </w:r>
    </w:p>
    <w:p w14:paraId="6B7EF722" w14:textId="416B6B4E" w:rsidR="00E8093E" w:rsidRDefault="00E8093E" w:rsidP="00092081">
      <w:pPr>
        <w:pStyle w:val="Bodytext60"/>
        <w:numPr>
          <w:ilvl w:val="0"/>
          <w:numId w:val="6"/>
        </w:numPr>
        <w:shd w:val="clear" w:color="auto" w:fill="auto"/>
        <w:spacing w:before="0" w:after="160" w:line="259" w:lineRule="auto"/>
        <w:rPr>
          <w:bCs/>
          <w:color w:val="000000" w:themeColor="text1"/>
          <w:sz w:val="22"/>
        </w:rPr>
      </w:pPr>
      <w:r w:rsidRPr="00E8093E">
        <w:rPr>
          <w:bCs/>
          <w:color w:val="000000" w:themeColor="text1"/>
          <w:sz w:val="22"/>
        </w:rPr>
        <w:t xml:space="preserve">American Psychiatric Association. (2018). </w:t>
      </w:r>
      <w:r w:rsidRPr="00E8093E">
        <w:rPr>
          <w:bCs/>
          <w:i/>
          <w:iCs/>
          <w:color w:val="000000" w:themeColor="text1"/>
          <w:sz w:val="22"/>
        </w:rPr>
        <w:t xml:space="preserve">Use of the Principles of Recovery </w:t>
      </w:r>
      <w:r w:rsidRPr="00E8093E">
        <w:rPr>
          <w:bCs/>
          <w:color w:val="000000" w:themeColor="text1"/>
          <w:sz w:val="22"/>
        </w:rPr>
        <w:t xml:space="preserve">[Position Statement]. </w:t>
      </w:r>
      <w:r w:rsidR="00E07F15" w:rsidRPr="00E07F15">
        <w:rPr>
          <w:bCs/>
          <w:color w:val="000000" w:themeColor="text1"/>
          <w:sz w:val="22"/>
        </w:rPr>
        <w:t>https://www.psychiatry.org/File%20Library/About-APA/Organization-Documents-Policies/Policies/Position-Use-of-the-Principles-of-Recovery.pdf</w:t>
      </w:r>
    </w:p>
    <w:p w14:paraId="2FD891D1" w14:textId="77777777" w:rsidR="00E07F15" w:rsidRPr="005923AD" w:rsidRDefault="00E07F15" w:rsidP="00D61176">
      <w:pPr>
        <w:pStyle w:val="Bodytext60"/>
        <w:shd w:val="clear" w:color="auto" w:fill="auto"/>
        <w:spacing w:before="0" w:after="160" w:line="259" w:lineRule="auto"/>
        <w:contextualSpacing/>
        <w:rPr>
          <w:bCs/>
          <w:color w:val="000000" w:themeColor="text1"/>
          <w:sz w:val="22"/>
        </w:rPr>
      </w:pPr>
    </w:p>
    <w:p w14:paraId="764ADCE6" w14:textId="69CFD721" w:rsidR="00B222BD" w:rsidRPr="00736443" w:rsidRDefault="00B222BD" w:rsidP="00092081">
      <w:pPr>
        <w:pStyle w:val="Bodytext60"/>
        <w:numPr>
          <w:ilvl w:val="0"/>
          <w:numId w:val="1"/>
        </w:numPr>
        <w:shd w:val="clear" w:color="auto" w:fill="auto"/>
        <w:spacing w:before="0" w:after="160" w:line="259" w:lineRule="auto"/>
        <w:rPr>
          <w:b/>
          <w:color w:val="000000" w:themeColor="text1"/>
          <w:sz w:val="22"/>
        </w:rPr>
      </w:pPr>
      <w:r w:rsidRPr="00736443">
        <w:rPr>
          <w:b/>
          <w:color w:val="000000" w:themeColor="text1"/>
          <w:sz w:val="22"/>
        </w:rPr>
        <w:t xml:space="preserve">Patients should receive treatment for mental health and substance use disorders at the least intensive and restrictive level of care that is safe and </w:t>
      </w:r>
      <w:proofErr w:type="gramStart"/>
      <w:r w:rsidRPr="00736443">
        <w:rPr>
          <w:b/>
          <w:color w:val="000000" w:themeColor="text1"/>
          <w:sz w:val="22"/>
        </w:rPr>
        <w:t>effective;</w:t>
      </w:r>
      <w:proofErr w:type="gramEnd"/>
      <w:r w:rsidRPr="00736443">
        <w:rPr>
          <w:b/>
          <w:color w:val="000000" w:themeColor="text1"/>
          <w:sz w:val="22"/>
        </w:rPr>
        <w:t xml:space="preserve"> </w:t>
      </w:r>
    </w:p>
    <w:p w14:paraId="657CEFBE" w14:textId="4AF67A5D" w:rsidR="00214660" w:rsidRDefault="00214660" w:rsidP="00092081">
      <w:pPr>
        <w:pStyle w:val="Bodytext60"/>
        <w:numPr>
          <w:ilvl w:val="0"/>
          <w:numId w:val="7"/>
        </w:numPr>
        <w:shd w:val="clear" w:color="auto" w:fill="auto"/>
        <w:spacing w:before="0" w:after="160" w:line="259" w:lineRule="auto"/>
        <w:rPr>
          <w:bCs/>
          <w:color w:val="000000" w:themeColor="text1"/>
          <w:sz w:val="22"/>
        </w:rPr>
      </w:pPr>
      <w:r w:rsidRPr="00214660">
        <w:rPr>
          <w:bCs/>
          <w:color w:val="000000" w:themeColor="text1"/>
          <w:sz w:val="22"/>
        </w:rPr>
        <w:t>Plakun, E.M. (2019). Psychotherapy and advocacy: Four freedoms as fundamental patient rights. </w:t>
      </w:r>
      <w:r w:rsidRPr="00214660">
        <w:rPr>
          <w:bCs/>
          <w:i/>
          <w:iCs/>
          <w:color w:val="000000" w:themeColor="text1"/>
          <w:sz w:val="22"/>
        </w:rPr>
        <w:t>Journal of Psychiatric Practice,</w:t>
      </w:r>
      <w:r w:rsidRPr="00214660">
        <w:rPr>
          <w:bCs/>
          <w:color w:val="000000" w:themeColor="text1"/>
          <w:sz w:val="22"/>
        </w:rPr>
        <w:t> </w:t>
      </w:r>
      <w:r w:rsidRPr="00214660">
        <w:rPr>
          <w:bCs/>
          <w:i/>
          <w:iCs/>
          <w:color w:val="000000" w:themeColor="text1"/>
          <w:sz w:val="22"/>
        </w:rPr>
        <w:t>25</w:t>
      </w:r>
      <w:r w:rsidRPr="00214660">
        <w:rPr>
          <w:bCs/>
          <w:color w:val="000000" w:themeColor="text1"/>
          <w:sz w:val="22"/>
        </w:rPr>
        <w:t>(2), 128-131. doi:10.1097/PRA.0000000000000366</w:t>
      </w:r>
    </w:p>
    <w:p w14:paraId="6CC1140E" w14:textId="309DBFF0" w:rsidR="00214660" w:rsidRDefault="00214660" w:rsidP="00092081">
      <w:pPr>
        <w:pStyle w:val="Bodytext60"/>
        <w:numPr>
          <w:ilvl w:val="0"/>
          <w:numId w:val="7"/>
        </w:numPr>
        <w:shd w:val="clear" w:color="auto" w:fill="auto"/>
        <w:spacing w:before="0" w:after="160" w:line="259" w:lineRule="auto"/>
        <w:rPr>
          <w:bCs/>
          <w:color w:val="000000" w:themeColor="text1"/>
          <w:sz w:val="22"/>
        </w:rPr>
      </w:pPr>
      <w:proofErr w:type="spellStart"/>
      <w:r w:rsidRPr="00214660">
        <w:rPr>
          <w:bCs/>
          <w:color w:val="000000" w:themeColor="text1"/>
          <w:sz w:val="22"/>
        </w:rPr>
        <w:t>Mee</w:t>
      </w:r>
      <w:proofErr w:type="spellEnd"/>
      <w:r w:rsidRPr="00214660">
        <w:rPr>
          <w:bCs/>
          <w:color w:val="000000" w:themeColor="text1"/>
          <w:sz w:val="22"/>
        </w:rPr>
        <w:t>-Lee, D., &amp; Shulman, G. (2014). The ASAM criteria and matching patients to treatment. </w:t>
      </w:r>
      <w:r w:rsidRPr="00214660">
        <w:rPr>
          <w:bCs/>
          <w:i/>
          <w:iCs/>
          <w:color w:val="000000" w:themeColor="text1"/>
          <w:sz w:val="22"/>
        </w:rPr>
        <w:t>The ASAM Principles of Addiction Medicine. 5th ed. China: Wolters Kluwer Health</w:t>
      </w:r>
      <w:r w:rsidRPr="00214660">
        <w:rPr>
          <w:bCs/>
          <w:color w:val="000000" w:themeColor="text1"/>
          <w:sz w:val="22"/>
        </w:rPr>
        <w:t>.</w:t>
      </w:r>
    </w:p>
    <w:p w14:paraId="6FDB17FF" w14:textId="1D5812F6" w:rsidR="00CC4679" w:rsidRDefault="00214660" w:rsidP="00092081">
      <w:pPr>
        <w:pStyle w:val="Bodytext60"/>
        <w:numPr>
          <w:ilvl w:val="0"/>
          <w:numId w:val="7"/>
        </w:numPr>
        <w:shd w:val="clear" w:color="auto" w:fill="auto"/>
        <w:spacing w:before="0" w:after="160" w:line="259" w:lineRule="auto"/>
        <w:rPr>
          <w:bCs/>
          <w:color w:val="000000" w:themeColor="text1"/>
          <w:sz w:val="22"/>
        </w:rPr>
      </w:pPr>
      <w:r w:rsidRPr="00214660">
        <w:rPr>
          <w:bCs/>
          <w:color w:val="000000" w:themeColor="text1"/>
          <w:sz w:val="22"/>
        </w:rPr>
        <w:t xml:space="preserve">Lazar, S.G., Bendat, M., Gabbard, G., Levy, K., McWilliams, N., Plakun, E.M., </w:t>
      </w:r>
      <w:proofErr w:type="spellStart"/>
      <w:r w:rsidRPr="00214660">
        <w:rPr>
          <w:bCs/>
          <w:color w:val="000000" w:themeColor="text1"/>
          <w:sz w:val="22"/>
        </w:rPr>
        <w:t>Shedler</w:t>
      </w:r>
      <w:proofErr w:type="spellEnd"/>
      <w:r w:rsidRPr="00214660">
        <w:rPr>
          <w:bCs/>
          <w:color w:val="000000" w:themeColor="text1"/>
          <w:sz w:val="22"/>
        </w:rPr>
        <w:t>, J., &amp; Yeomans, F. (2018). Clinical necessity guidelines for psychotherapy, insurance medical necessity and utilization review protocols, and mental health parity. </w:t>
      </w:r>
      <w:r w:rsidRPr="00214660">
        <w:rPr>
          <w:bCs/>
          <w:i/>
          <w:iCs/>
          <w:color w:val="000000" w:themeColor="text1"/>
          <w:sz w:val="22"/>
        </w:rPr>
        <w:t>Journal of Psychiatric Practice</w:t>
      </w:r>
      <w:r w:rsidRPr="00214660">
        <w:rPr>
          <w:bCs/>
          <w:color w:val="000000" w:themeColor="text1"/>
          <w:sz w:val="22"/>
        </w:rPr>
        <w:t>, </w:t>
      </w:r>
      <w:r w:rsidRPr="00214660">
        <w:rPr>
          <w:bCs/>
          <w:i/>
          <w:iCs/>
          <w:color w:val="000000" w:themeColor="text1"/>
          <w:sz w:val="22"/>
        </w:rPr>
        <w:t>24</w:t>
      </w:r>
      <w:r w:rsidRPr="00214660">
        <w:rPr>
          <w:bCs/>
          <w:color w:val="000000" w:themeColor="text1"/>
          <w:sz w:val="22"/>
        </w:rPr>
        <w:t>(3), 179-193. doi:10.1097/PRA.0000000000000309</w:t>
      </w:r>
    </w:p>
    <w:p w14:paraId="56DC19DE" w14:textId="77777777" w:rsidR="00D61176" w:rsidRPr="00D61176" w:rsidRDefault="00D61176" w:rsidP="00D61176">
      <w:pPr>
        <w:pStyle w:val="Bodytext60"/>
        <w:shd w:val="clear" w:color="auto" w:fill="auto"/>
        <w:spacing w:before="0" w:after="160" w:line="259" w:lineRule="auto"/>
        <w:contextualSpacing/>
        <w:rPr>
          <w:bCs/>
          <w:color w:val="000000" w:themeColor="text1"/>
          <w:sz w:val="22"/>
        </w:rPr>
      </w:pPr>
    </w:p>
    <w:p w14:paraId="518C8C7B" w14:textId="0B4E461E" w:rsidR="00B222BD" w:rsidRPr="00736443" w:rsidRDefault="00B222BD" w:rsidP="00092081">
      <w:pPr>
        <w:pStyle w:val="Bodytext60"/>
        <w:numPr>
          <w:ilvl w:val="0"/>
          <w:numId w:val="1"/>
        </w:numPr>
        <w:shd w:val="clear" w:color="auto" w:fill="auto"/>
        <w:spacing w:before="0" w:after="160" w:line="259" w:lineRule="auto"/>
        <w:rPr>
          <w:b/>
          <w:color w:val="000000" w:themeColor="text1"/>
          <w:sz w:val="22"/>
        </w:rPr>
      </w:pPr>
      <w:r w:rsidRPr="00736443">
        <w:rPr>
          <w:b/>
          <w:color w:val="000000" w:themeColor="text1"/>
          <w:sz w:val="22"/>
        </w:rPr>
        <w:t xml:space="preserve">Effective treatment of mental health and substance use disorders includes services needed to maintain functioning or prevent </w:t>
      </w:r>
      <w:proofErr w:type="gramStart"/>
      <w:r w:rsidRPr="00736443">
        <w:rPr>
          <w:b/>
          <w:color w:val="000000" w:themeColor="text1"/>
          <w:sz w:val="22"/>
        </w:rPr>
        <w:t>deterioration;</w:t>
      </w:r>
      <w:proofErr w:type="gramEnd"/>
      <w:r w:rsidRPr="00736443">
        <w:rPr>
          <w:b/>
          <w:color w:val="000000" w:themeColor="text1"/>
          <w:sz w:val="22"/>
        </w:rPr>
        <w:t xml:space="preserve"> </w:t>
      </w:r>
    </w:p>
    <w:p w14:paraId="54E4A398" w14:textId="572EC8A7" w:rsidR="00157253" w:rsidRDefault="00157253" w:rsidP="00092081">
      <w:pPr>
        <w:pStyle w:val="Bodytext60"/>
        <w:numPr>
          <w:ilvl w:val="0"/>
          <w:numId w:val="8"/>
        </w:numPr>
        <w:shd w:val="clear" w:color="auto" w:fill="auto"/>
        <w:spacing w:before="0" w:after="160" w:line="259" w:lineRule="auto"/>
        <w:rPr>
          <w:bCs/>
          <w:color w:val="000000" w:themeColor="text1"/>
          <w:sz w:val="22"/>
        </w:rPr>
      </w:pPr>
      <w:r w:rsidRPr="00157253">
        <w:rPr>
          <w:bCs/>
          <w:color w:val="000000" w:themeColor="text1"/>
          <w:sz w:val="22"/>
        </w:rPr>
        <w:t xml:space="preserve">U.S. Centers for Medicare &amp; Medicaid Services. (Revised 12/31/20). Medicare benefit policy manual chapter 6 - hospital services covered under Part B (CMS Publication No. 100-02). </w:t>
      </w:r>
      <w:r w:rsidRPr="00B212E3">
        <w:rPr>
          <w:bCs/>
          <w:color w:val="000000" w:themeColor="text1"/>
          <w:sz w:val="22"/>
        </w:rPr>
        <w:t>https://www.cms.gov/Regulations-and-Guidance/Guidance/Manuals/Downloads/bp102c06.pdf</w:t>
      </w:r>
    </w:p>
    <w:p w14:paraId="5ED24A42" w14:textId="1B87EDCF" w:rsidR="00157253" w:rsidRDefault="00157253" w:rsidP="00092081">
      <w:pPr>
        <w:pStyle w:val="Bodytext60"/>
        <w:numPr>
          <w:ilvl w:val="0"/>
          <w:numId w:val="8"/>
        </w:numPr>
        <w:shd w:val="clear" w:color="auto" w:fill="auto"/>
        <w:spacing w:before="0" w:after="160" w:line="259" w:lineRule="auto"/>
        <w:rPr>
          <w:bCs/>
          <w:color w:val="000000" w:themeColor="text1"/>
          <w:sz w:val="22"/>
        </w:rPr>
      </w:pPr>
      <w:r w:rsidRPr="00157253">
        <w:rPr>
          <w:bCs/>
          <w:color w:val="000000" w:themeColor="text1"/>
          <w:sz w:val="22"/>
        </w:rPr>
        <w:t xml:space="preserve">SAMHSA. (2012). </w:t>
      </w:r>
      <w:r w:rsidRPr="00157253">
        <w:rPr>
          <w:bCs/>
          <w:i/>
          <w:iCs/>
          <w:color w:val="000000" w:themeColor="text1"/>
          <w:sz w:val="22"/>
        </w:rPr>
        <w:t>SAMHSA’s Working Definition of Recovery: 10 Guiding Principles of Recovery</w:t>
      </w:r>
      <w:r w:rsidRPr="00157253">
        <w:rPr>
          <w:bCs/>
          <w:color w:val="000000" w:themeColor="text1"/>
          <w:sz w:val="22"/>
        </w:rPr>
        <w:t xml:space="preserve"> [Brochure]. https://store.samhsa.gov/sites/default/files/d7/priv/pep12-recdef.pdf</w:t>
      </w:r>
      <w:r w:rsidRPr="00157253">
        <w:rPr>
          <w:bCs/>
          <w:i/>
          <w:iCs/>
          <w:color w:val="000000" w:themeColor="text1"/>
          <w:sz w:val="22"/>
        </w:rPr>
        <w:t xml:space="preserve"> </w:t>
      </w:r>
      <w:r w:rsidRPr="00157253">
        <w:rPr>
          <w:bCs/>
          <w:color w:val="000000" w:themeColor="text1"/>
          <w:sz w:val="22"/>
        </w:rPr>
        <w:t xml:space="preserve"> </w:t>
      </w:r>
    </w:p>
    <w:p w14:paraId="538E65CF" w14:textId="6681EE88" w:rsidR="00736443" w:rsidRDefault="00736443" w:rsidP="00092081">
      <w:pPr>
        <w:pStyle w:val="Bodytext60"/>
        <w:numPr>
          <w:ilvl w:val="0"/>
          <w:numId w:val="8"/>
        </w:numPr>
        <w:shd w:val="clear" w:color="auto" w:fill="auto"/>
        <w:spacing w:before="120" w:after="160" w:line="259" w:lineRule="auto"/>
        <w:rPr>
          <w:bCs/>
          <w:color w:val="000000" w:themeColor="text1"/>
          <w:sz w:val="22"/>
        </w:rPr>
      </w:pPr>
      <w:r w:rsidRPr="008C678C">
        <w:rPr>
          <w:bCs/>
          <w:color w:val="000000" w:themeColor="text1"/>
          <w:sz w:val="22"/>
        </w:rPr>
        <w:t xml:space="preserve">American Association for Community Psychiatry: LOCUS 20 (Level of Care Utilization System), 2016 Available at: </w:t>
      </w:r>
      <w:r w:rsidR="00CC4679" w:rsidRPr="00CC4679">
        <w:rPr>
          <w:bCs/>
          <w:color w:val="000000" w:themeColor="text1"/>
          <w:sz w:val="22"/>
        </w:rPr>
        <w:t>https://sites.google.com/view/aacp123/resources/locus</w:t>
      </w:r>
      <w:r w:rsidRPr="008C678C">
        <w:rPr>
          <w:bCs/>
          <w:color w:val="000000" w:themeColor="text1"/>
          <w:sz w:val="22"/>
        </w:rPr>
        <w:t xml:space="preserve"> </w:t>
      </w:r>
    </w:p>
    <w:p w14:paraId="5227DE4C" w14:textId="54760930" w:rsidR="00CC4679" w:rsidRDefault="00CC4679" w:rsidP="00092081">
      <w:pPr>
        <w:pStyle w:val="Bodytext60"/>
        <w:shd w:val="clear" w:color="auto" w:fill="auto"/>
        <w:spacing w:before="120" w:after="160" w:line="259" w:lineRule="auto"/>
        <w:ind w:left="720"/>
        <w:rPr>
          <w:bCs/>
          <w:color w:val="000000" w:themeColor="text1"/>
          <w:sz w:val="22"/>
        </w:rPr>
      </w:pPr>
    </w:p>
    <w:p w14:paraId="4F4B6555" w14:textId="77777777" w:rsidR="00D61176" w:rsidRDefault="00D61176" w:rsidP="00092081">
      <w:pPr>
        <w:pStyle w:val="Bodytext60"/>
        <w:shd w:val="clear" w:color="auto" w:fill="auto"/>
        <w:spacing w:before="120" w:after="160" w:line="259" w:lineRule="auto"/>
        <w:ind w:left="720"/>
        <w:rPr>
          <w:bCs/>
          <w:color w:val="000000" w:themeColor="text1"/>
          <w:sz w:val="22"/>
        </w:rPr>
      </w:pPr>
    </w:p>
    <w:p w14:paraId="0E07E286" w14:textId="7B76978A" w:rsidR="002D209F" w:rsidRPr="001E3B2F" w:rsidRDefault="002D209F" w:rsidP="00092081">
      <w:pPr>
        <w:pStyle w:val="Bodytext60"/>
        <w:numPr>
          <w:ilvl w:val="0"/>
          <w:numId w:val="1"/>
        </w:numPr>
        <w:shd w:val="clear" w:color="auto" w:fill="auto"/>
        <w:spacing w:before="0" w:after="160" w:line="259" w:lineRule="auto"/>
        <w:rPr>
          <w:b/>
          <w:color w:val="000000" w:themeColor="text1"/>
          <w:sz w:val="22"/>
        </w:rPr>
      </w:pPr>
      <w:r w:rsidRPr="001E3B2F">
        <w:rPr>
          <w:b/>
          <w:color w:val="000000" w:themeColor="text1"/>
          <w:sz w:val="22"/>
        </w:rPr>
        <w:lastRenderedPageBreak/>
        <w:t xml:space="preserve">When there is ambiguity as to the appropriate level of care, the practitioner should err on the side of caution by placing the patient in a higher level of care; </w:t>
      </w:r>
      <w:r w:rsidR="001E3B2F">
        <w:rPr>
          <w:b/>
          <w:color w:val="000000" w:themeColor="text1"/>
          <w:sz w:val="22"/>
        </w:rPr>
        <w:t>and</w:t>
      </w:r>
    </w:p>
    <w:p w14:paraId="18E49F8D" w14:textId="77777777" w:rsidR="00736443" w:rsidRDefault="00736443" w:rsidP="00092081">
      <w:pPr>
        <w:pStyle w:val="Bodytext60"/>
        <w:numPr>
          <w:ilvl w:val="0"/>
          <w:numId w:val="9"/>
        </w:numPr>
        <w:shd w:val="clear" w:color="auto" w:fill="auto"/>
        <w:spacing w:before="120" w:after="160" w:line="259" w:lineRule="auto"/>
        <w:rPr>
          <w:bCs/>
          <w:color w:val="000000" w:themeColor="text1"/>
          <w:sz w:val="22"/>
        </w:rPr>
      </w:pPr>
      <w:r w:rsidRPr="008C678C">
        <w:rPr>
          <w:bCs/>
          <w:color w:val="000000" w:themeColor="text1"/>
          <w:sz w:val="22"/>
        </w:rPr>
        <w:t xml:space="preserve">American Association for Community Psychiatry: LOCUS 20 (Level of Care Utilization System), 2016 Available at: https://sites.google.com/view/aacp123/resources/locus </w:t>
      </w:r>
    </w:p>
    <w:p w14:paraId="04B978CD" w14:textId="77777777" w:rsidR="00E07F15" w:rsidRPr="002D209F" w:rsidRDefault="00E07F15" w:rsidP="00D61176">
      <w:pPr>
        <w:pStyle w:val="Bodytext60"/>
        <w:shd w:val="clear" w:color="auto" w:fill="auto"/>
        <w:spacing w:before="0" w:after="160" w:line="259" w:lineRule="auto"/>
        <w:contextualSpacing/>
        <w:rPr>
          <w:bCs/>
          <w:color w:val="000000" w:themeColor="text1"/>
          <w:sz w:val="22"/>
        </w:rPr>
      </w:pPr>
    </w:p>
    <w:p w14:paraId="5873DF65" w14:textId="45481080" w:rsidR="00B222BD" w:rsidRPr="00E07F15" w:rsidRDefault="00B222BD" w:rsidP="00092081">
      <w:pPr>
        <w:pStyle w:val="Bodytext60"/>
        <w:numPr>
          <w:ilvl w:val="0"/>
          <w:numId w:val="1"/>
        </w:numPr>
        <w:shd w:val="clear" w:color="auto" w:fill="auto"/>
        <w:spacing w:before="0" w:after="160" w:line="259" w:lineRule="auto"/>
        <w:rPr>
          <w:b/>
          <w:color w:val="000000" w:themeColor="text1"/>
          <w:sz w:val="22"/>
        </w:rPr>
      </w:pPr>
      <w:r w:rsidRPr="00E07F15">
        <w:rPr>
          <w:b/>
          <w:color w:val="000000" w:themeColor="text1"/>
          <w:sz w:val="22"/>
        </w:rPr>
        <w:t xml:space="preserve">The unique needs of children and adolescents must be </w:t>
      </w:r>
      <w:proofErr w:type="gramStart"/>
      <w:r w:rsidRPr="00E07F15">
        <w:rPr>
          <w:b/>
          <w:color w:val="000000" w:themeColor="text1"/>
          <w:sz w:val="22"/>
        </w:rPr>
        <w:t>taken into account</w:t>
      </w:r>
      <w:proofErr w:type="gramEnd"/>
      <w:r w:rsidRPr="00E07F15">
        <w:rPr>
          <w:b/>
          <w:color w:val="000000" w:themeColor="text1"/>
          <w:sz w:val="22"/>
        </w:rPr>
        <w:t xml:space="preserve"> when making level of care decisions involving their treatment for mental health or substance use disorders</w:t>
      </w:r>
      <w:r w:rsidR="001E3B2F" w:rsidRPr="00E07F15">
        <w:rPr>
          <w:b/>
          <w:color w:val="000000" w:themeColor="text1"/>
          <w:sz w:val="22"/>
        </w:rPr>
        <w:t>.</w:t>
      </w:r>
    </w:p>
    <w:p w14:paraId="73A67EA0" w14:textId="7F4D8D68" w:rsidR="006E7FA2" w:rsidRDefault="006E7FA2" w:rsidP="00092081">
      <w:pPr>
        <w:rPr>
          <w:bCs/>
        </w:rPr>
      </w:pPr>
    </w:p>
    <w:p w14:paraId="2FFAA86C" w14:textId="77777777" w:rsidR="000422F8" w:rsidRDefault="000422F8" w:rsidP="00092081">
      <w:pPr>
        <w:rPr>
          <w:bCs/>
          <w:u w:val="single"/>
        </w:rPr>
      </w:pPr>
    </w:p>
    <w:sectPr w:rsidR="000422F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4725A" w14:textId="77777777" w:rsidR="00EC749B" w:rsidRDefault="00EC749B" w:rsidP="00417567">
      <w:pPr>
        <w:spacing w:after="0" w:line="240" w:lineRule="auto"/>
      </w:pPr>
      <w:r>
        <w:separator/>
      </w:r>
    </w:p>
  </w:endnote>
  <w:endnote w:type="continuationSeparator" w:id="0">
    <w:p w14:paraId="18FE8545" w14:textId="77777777" w:rsidR="00EC749B" w:rsidRDefault="00EC749B" w:rsidP="00417567">
      <w:pPr>
        <w:spacing w:after="0" w:line="240" w:lineRule="auto"/>
      </w:pPr>
      <w:r>
        <w:continuationSeparator/>
      </w:r>
    </w:p>
  </w:endnote>
  <w:endnote w:id="1">
    <w:p w14:paraId="5B2FE24A" w14:textId="77777777" w:rsidR="00417567" w:rsidRPr="00417567" w:rsidRDefault="00417567" w:rsidP="00417567">
      <w:pPr>
        <w:pStyle w:val="EndnoteText"/>
        <w:rPr>
          <w:b/>
          <w:bCs/>
          <w:sz w:val="22"/>
          <w:szCs w:val="22"/>
        </w:rPr>
      </w:pPr>
      <w:r w:rsidRPr="00417567">
        <w:rPr>
          <w:rStyle w:val="EndnoteReference"/>
          <w:sz w:val="22"/>
          <w:szCs w:val="22"/>
        </w:rPr>
        <w:endnoteRef/>
      </w:r>
      <w:r w:rsidRPr="00417567">
        <w:rPr>
          <w:sz w:val="22"/>
          <w:szCs w:val="22"/>
        </w:rPr>
        <w:t xml:space="preserve"> </w:t>
      </w:r>
      <w:r w:rsidRPr="00417567">
        <w:rPr>
          <w:i/>
          <w:iCs/>
          <w:sz w:val="22"/>
          <w:szCs w:val="22"/>
        </w:rPr>
        <w:t>Wit v. United Behavioral Health</w:t>
      </w:r>
      <w:r w:rsidRPr="00417567">
        <w:rPr>
          <w:sz w:val="22"/>
          <w:szCs w:val="22"/>
        </w:rPr>
        <w:t xml:space="preserve">. Brief amicus curiae of American Psychiatric Association, American Medical Association, California Medical Association, Southern California Psychiatric Society, Northern California Psychiatric Society, Orange County Psychiatric Society, Central California Psychiatric Society and San Diego Psychiatric Society. 5 May 2021. https://www.psychiatry.org/File%20Library/Psychiatrists/Directories/Library-and-Archive/amicus-briefs/amicus-2021-Wit-v-United-Behavioral-Health-Nos-20-17363-20-17364-21-15193021-15194.pdf. </w:t>
      </w:r>
    </w:p>
    <w:p w14:paraId="10BBA564" w14:textId="5709081A" w:rsidR="00417567" w:rsidRPr="00417567" w:rsidRDefault="00417567">
      <w:pPr>
        <w:pStyle w:val="EndnoteText"/>
        <w:rPr>
          <w:sz w:val="22"/>
          <w:szCs w:val="22"/>
        </w:rPr>
      </w:pPr>
    </w:p>
  </w:endnote>
  <w:endnote w:id="2">
    <w:p w14:paraId="3FFE1C53" w14:textId="100F300B" w:rsidR="00417567" w:rsidRDefault="00417567">
      <w:pPr>
        <w:pStyle w:val="EndnoteText"/>
      </w:pPr>
      <w:r w:rsidRPr="00417567">
        <w:rPr>
          <w:rStyle w:val="EndnoteReference"/>
          <w:sz w:val="22"/>
          <w:szCs w:val="22"/>
        </w:rPr>
        <w:endnoteRef/>
      </w:r>
      <w:r w:rsidRPr="00417567">
        <w:rPr>
          <w:sz w:val="22"/>
          <w:szCs w:val="22"/>
        </w:rPr>
        <w:t xml:space="preserve"> </w:t>
      </w:r>
      <w:r w:rsidRPr="00417567">
        <w:rPr>
          <w:sz w:val="22"/>
          <w:szCs w:val="22"/>
        </w:rPr>
        <w:t xml:space="preserve">The National Council for Behavioral Health. (2019). </w:t>
      </w:r>
      <w:r w:rsidRPr="00417567">
        <w:rPr>
          <w:i/>
          <w:iCs/>
          <w:sz w:val="22"/>
          <w:szCs w:val="22"/>
        </w:rPr>
        <w:t>Generally Accepted Standards of Care for Behavioral Health</w:t>
      </w:r>
      <w:r w:rsidRPr="00417567">
        <w:rPr>
          <w:sz w:val="22"/>
          <w:szCs w:val="22"/>
        </w:rPr>
        <w:t xml:space="preserve"> [Position Statement]. https://www.thenationalcouncil.org/wp-content/uploads/2022/02/MDI-Wit-v-UBH-Position-Statement.pdf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05F8A" w14:textId="77777777" w:rsidR="00EC749B" w:rsidRDefault="00EC749B" w:rsidP="00417567">
      <w:pPr>
        <w:spacing w:after="0" w:line="240" w:lineRule="auto"/>
      </w:pPr>
      <w:r>
        <w:separator/>
      </w:r>
    </w:p>
  </w:footnote>
  <w:footnote w:type="continuationSeparator" w:id="0">
    <w:p w14:paraId="14A4C94E" w14:textId="77777777" w:rsidR="00EC749B" w:rsidRDefault="00EC749B" w:rsidP="00417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36C"/>
    <w:multiLevelType w:val="hybridMultilevel"/>
    <w:tmpl w:val="29EC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5A36"/>
    <w:multiLevelType w:val="hybridMultilevel"/>
    <w:tmpl w:val="36ACB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3474D"/>
    <w:multiLevelType w:val="hybridMultilevel"/>
    <w:tmpl w:val="2822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5554C"/>
    <w:multiLevelType w:val="hybridMultilevel"/>
    <w:tmpl w:val="F9E20D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8F4F3C"/>
    <w:multiLevelType w:val="hybridMultilevel"/>
    <w:tmpl w:val="F1EA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A5F14"/>
    <w:multiLevelType w:val="hybridMultilevel"/>
    <w:tmpl w:val="8678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6099B"/>
    <w:multiLevelType w:val="hybridMultilevel"/>
    <w:tmpl w:val="6F76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B119A"/>
    <w:multiLevelType w:val="hybridMultilevel"/>
    <w:tmpl w:val="3A820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3F12F4"/>
    <w:multiLevelType w:val="hybridMultilevel"/>
    <w:tmpl w:val="F1588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E05F6E"/>
    <w:multiLevelType w:val="hybridMultilevel"/>
    <w:tmpl w:val="102A9B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645530"/>
    <w:multiLevelType w:val="hybridMultilevel"/>
    <w:tmpl w:val="B1C0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4"/>
  </w:num>
  <w:num w:numId="5">
    <w:abstractNumId w:val="5"/>
  </w:num>
  <w:num w:numId="6">
    <w:abstractNumId w:val="6"/>
  </w:num>
  <w:num w:numId="7">
    <w:abstractNumId w:val="1"/>
  </w:num>
  <w:num w:numId="8">
    <w:abstractNumId w:val="10"/>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2BD"/>
    <w:rsid w:val="00016DBF"/>
    <w:rsid w:val="000422F8"/>
    <w:rsid w:val="00092081"/>
    <w:rsid w:val="000D407B"/>
    <w:rsid w:val="00111698"/>
    <w:rsid w:val="00157253"/>
    <w:rsid w:val="001E3B2F"/>
    <w:rsid w:val="00207C94"/>
    <w:rsid w:val="00214660"/>
    <w:rsid w:val="002639E1"/>
    <w:rsid w:val="00277553"/>
    <w:rsid w:val="002A0D03"/>
    <w:rsid w:val="002D209F"/>
    <w:rsid w:val="002E50F3"/>
    <w:rsid w:val="003971A5"/>
    <w:rsid w:val="00417567"/>
    <w:rsid w:val="004B0CD9"/>
    <w:rsid w:val="004B360D"/>
    <w:rsid w:val="004F7746"/>
    <w:rsid w:val="005923AD"/>
    <w:rsid w:val="005E647F"/>
    <w:rsid w:val="006932EF"/>
    <w:rsid w:val="006E7FA2"/>
    <w:rsid w:val="007129B3"/>
    <w:rsid w:val="0073096F"/>
    <w:rsid w:val="00736443"/>
    <w:rsid w:val="00740993"/>
    <w:rsid w:val="00767202"/>
    <w:rsid w:val="00767F08"/>
    <w:rsid w:val="00770802"/>
    <w:rsid w:val="007E15D2"/>
    <w:rsid w:val="008B39D8"/>
    <w:rsid w:val="008C678C"/>
    <w:rsid w:val="00923A10"/>
    <w:rsid w:val="009A2025"/>
    <w:rsid w:val="00AD15C8"/>
    <w:rsid w:val="00AD33DC"/>
    <w:rsid w:val="00B033A8"/>
    <w:rsid w:val="00B212E3"/>
    <w:rsid w:val="00B222BD"/>
    <w:rsid w:val="00B7177C"/>
    <w:rsid w:val="00B85F0E"/>
    <w:rsid w:val="00C20D5B"/>
    <w:rsid w:val="00CA5E19"/>
    <w:rsid w:val="00CC4679"/>
    <w:rsid w:val="00CC5C31"/>
    <w:rsid w:val="00CC7759"/>
    <w:rsid w:val="00CE2311"/>
    <w:rsid w:val="00D61176"/>
    <w:rsid w:val="00D95F80"/>
    <w:rsid w:val="00E07F15"/>
    <w:rsid w:val="00E8093E"/>
    <w:rsid w:val="00EC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C2C7"/>
  <w15:chartTrackingRefBased/>
  <w15:docId w15:val="{8DDC107F-D393-465F-AF8A-2E1ABC1D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6">
    <w:name w:val="Body text (6)_"/>
    <w:link w:val="Bodytext60"/>
    <w:rsid w:val="00B222BD"/>
    <w:rPr>
      <w:sz w:val="24"/>
      <w:shd w:val="clear" w:color="auto" w:fill="FFFFFF"/>
    </w:rPr>
  </w:style>
  <w:style w:type="paragraph" w:customStyle="1" w:styleId="Bodytext60">
    <w:name w:val="Body text (6)"/>
    <w:basedOn w:val="Normal"/>
    <w:link w:val="Bodytext6"/>
    <w:rsid w:val="00B222BD"/>
    <w:pPr>
      <w:widowControl w:val="0"/>
      <w:shd w:val="clear" w:color="auto" w:fill="FFFFFF"/>
      <w:spacing w:before="1200" w:after="320" w:line="295" w:lineRule="exact"/>
    </w:pPr>
    <w:rPr>
      <w:sz w:val="24"/>
    </w:rPr>
  </w:style>
  <w:style w:type="paragraph" w:styleId="EndnoteText">
    <w:name w:val="endnote text"/>
    <w:basedOn w:val="Normal"/>
    <w:link w:val="EndnoteTextChar"/>
    <w:uiPriority w:val="99"/>
    <w:semiHidden/>
    <w:unhideWhenUsed/>
    <w:rsid w:val="007309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096F"/>
    <w:rPr>
      <w:sz w:val="20"/>
      <w:szCs w:val="20"/>
    </w:rPr>
  </w:style>
  <w:style w:type="character" w:styleId="Hyperlink">
    <w:name w:val="Hyperlink"/>
    <w:basedOn w:val="DefaultParagraphFont"/>
    <w:uiPriority w:val="99"/>
    <w:unhideWhenUsed/>
    <w:rsid w:val="00770802"/>
    <w:rPr>
      <w:color w:val="0563C1" w:themeColor="hyperlink"/>
      <w:u w:val="single"/>
    </w:rPr>
  </w:style>
  <w:style w:type="character" w:styleId="UnresolvedMention">
    <w:name w:val="Unresolved Mention"/>
    <w:basedOn w:val="DefaultParagraphFont"/>
    <w:uiPriority w:val="99"/>
    <w:semiHidden/>
    <w:unhideWhenUsed/>
    <w:rsid w:val="00770802"/>
    <w:rPr>
      <w:color w:val="605E5C"/>
      <w:shd w:val="clear" w:color="auto" w:fill="E1DFDD"/>
    </w:rPr>
  </w:style>
  <w:style w:type="character" w:styleId="FollowedHyperlink">
    <w:name w:val="FollowedHyperlink"/>
    <w:basedOn w:val="DefaultParagraphFont"/>
    <w:uiPriority w:val="99"/>
    <w:semiHidden/>
    <w:unhideWhenUsed/>
    <w:rsid w:val="00770802"/>
    <w:rPr>
      <w:color w:val="954F72" w:themeColor="followedHyperlink"/>
      <w:u w:val="single"/>
    </w:rPr>
  </w:style>
  <w:style w:type="character" w:styleId="EndnoteReference">
    <w:name w:val="endnote reference"/>
    <w:basedOn w:val="DefaultParagraphFont"/>
    <w:uiPriority w:val="99"/>
    <w:semiHidden/>
    <w:unhideWhenUsed/>
    <w:rsid w:val="004175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02560">
      <w:bodyDiv w:val="1"/>
      <w:marLeft w:val="0"/>
      <w:marRight w:val="0"/>
      <w:marTop w:val="0"/>
      <w:marBottom w:val="0"/>
      <w:divBdr>
        <w:top w:val="none" w:sz="0" w:space="0" w:color="auto"/>
        <w:left w:val="none" w:sz="0" w:space="0" w:color="auto"/>
        <w:bottom w:val="none" w:sz="0" w:space="0" w:color="auto"/>
        <w:right w:val="none" w:sz="0" w:space="0" w:color="auto"/>
      </w:divBdr>
    </w:div>
    <w:div w:id="184104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8A1AA7EE57CE4C8BF5A2640BE58742" ma:contentTypeVersion="16" ma:contentTypeDescription="Create a new document." ma:contentTypeScope="" ma:versionID="f8291e5d8446fc38071fb61f8f1844ec">
  <xsd:schema xmlns:xsd="http://www.w3.org/2001/XMLSchema" xmlns:xs="http://www.w3.org/2001/XMLSchema" xmlns:p="http://schemas.microsoft.com/office/2006/metadata/properties" xmlns:ns2="97e7e814-9c0d-49ca-90ac-2c022dc1a8f1" xmlns:ns3="72073ce4-0586-42cb-8c4d-ba2f7afe5caa" targetNamespace="http://schemas.microsoft.com/office/2006/metadata/properties" ma:root="true" ma:fieldsID="ed671f222076f8cdd010e466085f0a4b" ns2:_="" ns3:_="">
    <xsd:import namespace="97e7e814-9c0d-49ca-90ac-2c022dc1a8f1"/>
    <xsd:import namespace="72073ce4-0586-42cb-8c4d-ba2f7afe5c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7e814-9c0d-49ca-90ac-2c022dc1a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bfda5c-7e40-4da9-a303-cc8f6616f8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073ce4-0586-42cb-8c4d-ba2f7afe5c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775d71-76ed-4ef9-ab55-9178cd0c87c3}" ma:internalName="TaxCatchAll" ma:showField="CatchAllData" ma:web="72073ce4-0586-42cb-8c4d-ba2f7afe5c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2073ce4-0586-42cb-8c4d-ba2f7afe5caa" xsi:nil="true"/>
    <lcf76f155ced4ddcb4097134ff3c332f xmlns="97e7e814-9c0d-49ca-90ac-2c022dc1a8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540492-24F6-413C-9EB3-10C974E967CF}">
  <ds:schemaRefs>
    <ds:schemaRef ds:uri="http://schemas.openxmlformats.org/officeDocument/2006/bibliography"/>
  </ds:schemaRefs>
</ds:datastoreItem>
</file>

<file path=customXml/itemProps2.xml><?xml version="1.0" encoding="utf-8"?>
<ds:datastoreItem xmlns:ds="http://schemas.openxmlformats.org/officeDocument/2006/customXml" ds:itemID="{DEAFEBCF-8F9B-4D34-AB64-F7C1D195DD5D}"/>
</file>

<file path=customXml/itemProps3.xml><?xml version="1.0" encoding="utf-8"?>
<ds:datastoreItem xmlns:ds="http://schemas.openxmlformats.org/officeDocument/2006/customXml" ds:itemID="{01EE5F72-FD8B-41DF-AA61-CCEB7A021E5B}"/>
</file>

<file path=customXml/itemProps4.xml><?xml version="1.0" encoding="utf-8"?>
<ds:datastoreItem xmlns:ds="http://schemas.openxmlformats.org/officeDocument/2006/customXml" ds:itemID="{26ACB831-AE8D-4387-9A49-5BF6ADBB0353}"/>
</file>

<file path=docProps/app.xml><?xml version="1.0" encoding="utf-8"?>
<Properties xmlns="http://schemas.openxmlformats.org/officeDocument/2006/extended-properties" xmlns:vt="http://schemas.openxmlformats.org/officeDocument/2006/docPropsVTypes">
  <Template>Normal</Template>
  <TotalTime>15</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Kate</dc:creator>
  <cp:keywords/>
  <dc:description/>
  <cp:lastModifiedBy>Gallagher, Kate</cp:lastModifiedBy>
  <cp:revision>11</cp:revision>
  <dcterms:created xsi:type="dcterms:W3CDTF">2022-05-14T15:40:00Z</dcterms:created>
  <dcterms:modified xsi:type="dcterms:W3CDTF">2022-08-27T18:31:00Z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0x010100B88A1AA7EE57CE4C8BF5A2640BE58742</vt:lpwstr>
  </property>
</Properties>
</file>