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1E59" w14:textId="4E1FDEA9" w:rsidR="00F51399" w:rsidRDefault="00920A21" w:rsidP="00920A21">
      <w:pPr>
        <w:jc w:val="center"/>
        <w:rPr>
          <w:b/>
          <w:bCs/>
        </w:rPr>
      </w:pPr>
      <w:r w:rsidRPr="00920A21">
        <w:rPr>
          <w:b/>
          <w:bCs/>
        </w:rPr>
        <w:t xml:space="preserve">Appendix </w:t>
      </w:r>
      <w:r w:rsidR="004F7DED">
        <w:rPr>
          <w:b/>
          <w:bCs/>
        </w:rPr>
        <w:t>C</w:t>
      </w:r>
      <w:r>
        <w:rPr>
          <w:b/>
          <w:bCs/>
        </w:rPr>
        <w:t>:</w:t>
      </w:r>
      <w:r w:rsidRPr="00920A21">
        <w:rPr>
          <w:b/>
          <w:bCs/>
        </w:rPr>
        <w:t xml:space="preserve"> </w:t>
      </w:r>
      <w:r>
        <w:rPr>
          <w:b/>
          <w:bCs/>
        </w:rPr>
        <w:t>S</w:t>
      </w:r>
      <w:r w:rsidRPr="00920A21">
        <w:rPr>
          <w:b/>
          <w:bCs/>
        </w:rPr>
        <w:t xml:space="preserve">ample </w:t>
      </w:r>
      <w:r>
        <w:rPr>
          <w:b/>
          <w:bCs/>
        </w:rPr>
        <w:t>M</w:t>
      </w:r>
      <w:r w:rsidRPr="00920A21">
        <w:rPr>
          <w:b/>
          <w:bCs/>
        </w:rPr>
        <w:t xml:space="preserve">edical </w:t>
      </w:r>
      <w:r>
        <w:rPr>
          <w:b/>
          <w:bCs/>
        </w:rPr>
        <w:t>N</w:t>
      </w:r>
      <w:r w:rsidRPr="00920A21">
        <w:rPr>
          <w:b/>
          <w:bCs/>
        </w:rPr>
        <w:t xml:space="preserve">ecessity </w:t>
      </w:r>
      <w:r>
        <w:rPr>
          <w:b/>
          <w:bCs/>
        </w:rPr>
        <w:t>L</w:t>
      </w:r>
      <w:r w:rsidRPr="00920A21">
        <w:rPr>
          <w:b/>
          <w:bCs/>
        </w:rPr>
        <w:t>etter</w:t>
      </w:r>
      <w:r w:rsidR="000C6B31">
        <w:rPr>
          <w:b/>
          <w:bCs/>
        </w:rPr>
        <w:t xml:space="preserve"> – Outpatient</w:t>
      </w:r>
      <w:r w:rsidR="0084172A">
        <w:rPr>
          <w:b/>
          <w:bCs/>
        </w:rPr>
        <w:t xml:space="preserve"> Services</w:t>
      </w:r>
      <w:r w:rsidR="000C6B31">
        <w:rPr>
          <w:b/>
          <w:bCs/>
        </w:rPr>
        <w:t xml:space="preserve"> </w:t>
      </w:r>
    </w:p>
    <w:p w14:paraId="3FC38210" w14:textId="77777777" w:rsidR="00B43804" w:rsidRDefault="00B43804" w:rsidP="00310BBB">
      <w:pPr>
        <w:widowControl w:val="0"/>
        <w:spacing w:after="0" w:line="240" w:lineRule="auto"/>
        <w:rPr>
          <w:b/>
          <w:bCs/>
        </w:rPr>
      </w:pPr>
    </w:p>
    <w:p w14:paraId="357011A0" w14:textId="22E17EA0" w:rsidR="00310BBB" w:rsidRPr="00310BBB" w:rsidRDefault="00310BBB" w:rsidP="00310BBB">
      <w:pPr>
        <w:widowControl w:val="0"/>
        <w:spacing w:after="0" w:line="240" w:lineRule="auto"/>
        <w:rPr>
          <w:rFonts w:eastAsia="Trebuchet MS"/>
          <w:color w:val="000000" w:themeColor="text1"/>
        </w:rPr>
      </w:pPr>
      <w:r w:rsidRPr="00310BBB">
        <w:rPr>
          <w:rFonts w:eastAsia="Trebuchet MS"/>
          <w:color w:val="000000" w:themeColor="text1"/>
          <w:highlight w:val="yellow"/>
        </w:rPr>
        <w:t>Date</w:t>
      </w:r>
    </w:p>
    <w:p w14:paraId="2760F7F9" w14:textId="77777777" w:rsidR="00310BBB" w:rsidRPr="00310BBB" w:rsidRDefault="00310BBB" w:rsidP="00310BBB">
      <w:pPr>
        <w:widowControl w:val="0"/>
        <w:spacing w:after="0" w:line="240" w:lineRule="auto"/>
        <w:rPr>
          <w:rFonts w:eastAsia="Trebuchet MS"/>
          <w:color w:val="000000" w:themeColor="text1"/>
        </w:rPr>
      </w:pPr>
    </w:p>
    <w:p w14:paraId="4E15E4EC" w14:textId="77777777" w:rsidR="00310BBB" w:rsidRPr="00310BBB" w:rsidRDefault="00310BBB" w:rsidP="00310BBB">
      <w:pPr>
        <w:spacing w:after="0" w:line="240" w:lineRule="auto"/>
        <w:rPr>
          <w:rFonts w:eastAsia="Times New Roman"/>
        </w:rPr>
      </w:pPr>
    </w:p>
    <w:p w14:paraId="38FC06EE" w14:textId="77777777" w:rsidR="00310BBB" w:rsidRPr="00310BBB" w:rsidRDefault="00310BBB" w:rsidP="00310BBB">
      <w:pPr>
        <w:contextualSpacing/>
        <w:rPr>
          <w:rFonts w:eastAsia="Times New Roman"/>
        </w:rPr>
      </w:pPr>
      <w:r w:rsidRPr="00310BBB">
        <w:rPr>
          <w:rFonts w:eastAsia="Times New Roman"/>
        </w:rPr>
        <w:t>Member: Jane Doe</w:t>
      </w:r>
    </w:p>
    <w:p w14:paraId="37A2A018" w14:textId="77777777" w:rsidR="00310BBB" w:rsidRPr="00310BBB" w:rsidRDefault="00310BBB" w:rsidP="00310BBB">
      <w:pPr>
        <w:contextualSpacing/>
        <w:rPr>
          <w:rFonts w:eastAsia="Times New Roman"/>
        </w:rPr>
      </w:pPr>
      <w:r w:rsidRPr="00310BBB">
        <w:rPr>
          <w:rFonts w:eastAsia="Times New Roman"/>
        </w:rPr>
        <w:t>Member DOB: [</w:t>
      </w:r>
      <w:r w:rsidRPr="00310BBB">
        <w:rPr>
          <w:rFonts w:eastAsia="Times New Roman"/>
          <w:highlight w:val="yellow"/>
        </w:rPr>
        <w:t>insert</w:t>
      </w:r>
      <w:r w:rsidRPr="00310BBB">
        <w:rPr>
          <w:rFonts w:eastAsia="Times New Roman"/>
        </w:rPr>
        <w:t>]</w:t>
      </w:r>
    </w:p>
    <w:p w14:paraId="74E48511" w14:textId="77777777" w:rsidR="00310BBB" w:rsidRPr="00310BBB" w:rsidRDefault="00310BBB" w:rsidP="00310BBB">
      <w:pPr>
        <w:spacing w:after="0" w:line="240" w:lineRule="auto"/>
        <w:rPr>
          <w:rFonts w:eastAsia="Times New Roman"/>
        </w:rPr>
      </w:pPr>
    </w:p>
    <w:p w14:paraId="7DD1E0E5" w14:textId="77777777" w:rsidR="00310BBB" w:rsidRPr="00310BBB" w:rsidRDefault="00310BBB" w:rsidP="00310BBB">
      <w:pPr>
        <w:spacing w:after="0" w:line="240" w:lineRule="auto"/>
        <w:rPr>
          <w:rFonts w:eastAsia="Times New Roman"/>
        </w:rPr>
      </w:pPr>
      <w:r w:rsidRPr="00310BBB">
        <w:rPr>
          <w:rFonts w:eastAsia="Times New Roman"/>
        </w:rPr>
        <w:t xml:space="preserve"> </w:t>
      </w:r>
    </w:p>
    <w:p w14:paraId="77ADBDFB" w14:textId="77777777" w:rsidR="00310BBB" w:rsidRPr="00310BBB" w:rsidRDefault="00310BBB" w:rsidP="00310BBB">
      <w:pPr>
        <w:widowControl w:val="0"/>
        <w:rPr>
          <w:color w:val="000000" w:themeColor="text1"/>
        </w:rPr>
      </w:pPr>
      <w:r w:rsidRPr="00310BBB">
        <w:rPr>
          <w:color w:val="000000" w:themeColor="text1"/>
        </w:rPr>
        <w:t xml:space="preserve">To Whom It May Concern:   </w:t>
      </w:r>
    </w:p>
    <w:p w14:paraId="4EEC6C17" w14:textId="2D8B9DA4" w:rsidR="00F36B40" w:rsidRDefault="00310BBB" w:rsidP="00310BBB">
      <w:r w:rsidRPr="00310BBB">
        <w:t xml:space="preserve">This letter describes my clinical assessment and the medically necessary treatment for Ms. Jane Doe.  </w:t>
      </w:r>
      <w:r w:rsidR="00F36B40">
        <w:t xml:space="preserve">I have been treating </w:t>
      </w:r>
      <w:r w:rsidR="00F36B40" w:rsidRPr="00310BBB">
        <w:t>Ms. Doe</w:t>
      </w:r>
      <w:r w:rsidR="00F36B40">
        <w:t xml:space="preserve"> since</w:t>
      </w:r>
      <w:r w:rsidR="00AB69A9">
        <w:t xml:space="preserve"> approximately</w:t>
      </w:r>
      <w:r w:rsidR="00F36B40">
        <w:t xml:space="preserve"> </w:t>
      </w:r>
      <w:r w:rsidR="00F36B40" w:rsidRPr="00310BBB">
        <w:t>[</w:t>
      </w:r>
      <w:r w:rsidR="00F36B40" w:rsidRPr="00310BBB">
        <w:rPr>
          <w:highlight w:val="yellow"/>
        </w:rPr>
        <w:t>insert</w:t>
      </w:r>
      <w:r w:rsidR="00F36B40" w:rsidRPr="00F36B40">
        <w:rPr>
          <w:highlight w:val="yellow"/>
        </w:rPr>
        <w:t xml:space="preserve"> date</w:t>
      </w:r>
      <w:r w:rsidR="00F36B40" w:rsidRPr="00310BBB">
        <w:t>].</w:t>
      </w:r>
      <w:r w:rsidR="00C82F33">
        <w:t xml:space="preserve">  </w:t>
      </w:r>
    </w:p>
    <w:p w14:paraId="744A0E9A" w14:textId="0FD0D6BC" w:rsidR="001146CB" w:rsidRDefault="001146CB" w:rsidP="001146CB">
      <w:r w:rsidRPr="00D05223">
        <w:t xml:space="preserve">I am a </w:t>
      </w:r>
      <w:r w:rsidR="00B00D12">
        <w:t>[</w:t>
      </w:r>
      <w:r w:rsidR="007E0A84" w:rsidRPr="007E0A84">
        <w:rPr>
          <w:highlight w:val="yellow"/>
        </w:rPr>
        <w:t>insert professional guild</w:t>
      </w:r>
      <w:r w:rsidR="00B00D12">
        <w:t>]</w:t>
      </w:r>
      <w:r w:rsidR="00B00D12" w:rsidRPr="00D05223">
        <w:t xml:space="preserve"> </w:t>
      </w:r>
      <w:r w:rsidRPr="00D05223">
        <w:t>and have been in practice for over</w:t>
      </w:r>
      <w:r>
        <w:t xml:space="preserve"> [</w:t>
      </w:r>
      <w:r w:rsidRPr="00404473">
        <w:rPr>
          <w:highlight w:val="yellow"/>
        </w:rPr>
        <w:t>insert</w:t>
      </w:r>
      <w:r>
        <w:t xml:space="preserve">] </w:t>
      </w:r>
      <w:r w:rsidRPr="00D05223">
        <w:t>years.  I was educated at [</w:t>
      </w:r>
      <w:r w:rsidRPr="009338A9">
        <w:rPr>
          <w:highlight w:val="yellow"/>
        </w:rPr>
        <w:t>insert name of university, medical school, etc.</w:t>
      </w:r>
      <w:r w:rsidRPr="00D05223">
        <w:t>], interned at the [</w:t>
      </w:r>
      <w:r w:rsidR="00A04D4B" w:rsidRPr="009338A9">
        <w:rPr>
          <w:highlight w:val="yellow"/>
        </w:rPr>
        <w:t xml:space="preserve">as applicable, </w:t>
      </w:r>
      <w:r w:rsidRPr="009338A9">
        <w:rPr>
          <w:highlight w:val="yellow"/>
        </w:rPr>
        <w:t xml:space="preserve">insert name of </w:t>
      </w:r>
      <w:r w:rsidR="00A04D4B" w:rsidRPr="009338A9">
        <w:rPr>
          <w:highlight w:val="yellow"/>
        </w:rPr>
        <w:t xml:space="preserve">internship </w:t>
      </w:r>
      <w:r w:rsidRPr="009338A9">
        <w:rPr>
          <w:highlight w:val="yellow"/>
        </w:rPr>
        <w:t>program/hospital, etc.</w:t>
      </w:r>
      <w:r w:rsidRPr="00D05223">
        <w:t xml:space="preserve">], and completed a </w:t>
      </w:r>
      <w:r>
        <w:t>[</w:t>
      </w:r>
      <w:r w:rsidRPr="00404473">
        <w:rPr>
          <w:highlight w:val="yellow"/>
        </w:rPr>
        <w:t>insert</w:t>
      </w:r>
      <w:r>
        <w:t xml:space="preserve">] </w:t>
      </w:r>
      <w:r w:rsidRPr="00D05223">
        <w:t>year fellowship at [</w:t>
      </w:r>
      <w:r w:rsidR="00A04D4B" w:rsidRPr="00B00D12">
        <w:rPr>
          <w:highlight w:val="yellow"/>
        </w:rPr>
        <w:t xml:space="preserve">as applicable, </w:t>
      </w:r>
      <w:r w:rsidRPr="009338A9">
        <w:rPr>
          <w:highlight w:val="yellow"/>
        </w:rPr>
        <w:t>insert name of fellowship, residency training program, etc.</w:t>
      </w:r>
      <w:r w:rsidRPr="00D05223">
        <w:t xml:space="preserve">].  I specialize in working with adult patients, like </w:t>
      </w:r>
      <w:r>
        <w:t>M</w:t>
      </w:r>
      <w:r w:rsidR="00E82C55">
        <w:t>s</w:t>
      </w:r>
      <w:r>
        <w:t>.</w:t>
      </w:r>
      <w:r w:rsidRPr="00D05223">
        <w:t xml:space="preserve"> Doe, who </w:t>
      </w:r>
      <w:r w:rsidR="00FA7B0A">
        <w:t xml:space="preserve">have </w:t>
      </w:r>
      <w:r w:rsidR="00FA7B0A" w:rsidRPr="00FA7B0A">
        <w:t xml:space="preserve">experienced childhood adversity and trauma which has manifested into </w:t>
      </w:r>
      <w:r w:rsidR="00FA7B0A">
        <w:t>chronic</w:t>
      </w:r>
      <w:r w:rsidR="00114763">
        <w:t xml:space="preserve"> and complex</w:t>
      </w:r>
      <w:r w:rsidR="00FA7B0A">
        <w:t xml:space="preserve"> psychiatric symptoms</w:t>
      </w:r>
      <w:r w:rsidR="00721B42">
        <w:t xml:space="preserve">.  </w:t>
      </w:r>
      <w:r>
        <w:t>I</w:t>
      </w:r>
      <w:r w:rsidRPr="00D05223">
        <w:t xml:space="preserve"> have authored several publications pertaining to these issues.</w:t>
      </w:r>
      <w:r w:rsidRPr="00D05223">
        <w:rPr>
          <w:vertAlign w:val="superscript"/>
        </w:rPr>
        <w:footnoteReference w:id="1"/>
      </w:r>
      <w:r w:rsidRPr="00D05223">
        <w:t xml:space="preserve">  </w:t>
      </w:r>
    </w:p>
    <w:p w14:paraId="58DFBA09" w14:textId="6A7A4B29" w:rsidR="004E3E31" w:rsidRDefault="00F12225" w:rsidP="00005CEC">
      <w:r w:rsidRPr="00F12225">
        <w:t xml:space="preserve">Ms. Doe </w:t>
      </w:r>
      <w:r w:rsidR="0075327E">
        <w:t xml:space="preserve">is </w:t>
      </w:r>
      <w:r w:rsidR="0075327E" w:rsidRPr="0075327E">
        <w:t>diagnosed with posttraumatic stress disorder (F43.10)</w:t>
      </w:r>
      <w:r w:rsidR="0075327E">
        <w:t xml:space="preserve">, </w:t>
      </w:r>
      <w:r w:rsidR="0075327E" w:rsidRPr="0075327E">
        <w:t xml:space="preserve">generalized anxiety disorder (F41.1), </w:t>
      </w:r>
      <w:r>
        <w:t xml:space="preserve">and borderline personality disorder </w:t>
      </w:r>
      <w:r w:rsidRPr="00F12225">
        <w:t>(F60.3)</w:t>
      </w:r>
      <w:r>
        <w:t xml:space="preserve">.  Her </w:t>
      </w:r>
      <w:r w:rsidRPr="006952C0">
        <w:t>symptoms cause clinically significant distress and impairment in her social, occupational, family role,</w:t>
      </w:r>
      <w:r w:rsidR="007B5D18">
        <w:t xml:space="preserve"> and</w:t>
      </w:r>
      <w:r w:rsidRPr="006952C0">
        <w:t xml:space="preserve"> recreational</w:t>
      </w:r>
      <w:r w:rsidR="007B5D18">
        <w:t xml:space="preserve"> </w:t>
      </w:r>
      <w:r w:rsidRPr="006952C0">
        <w:t xml:space="preserve">functioning as evidenced by </w:t>
      </w:r>
      <w:r>
        <w:t>interpersonal conflicts</w:t>
      </w:r>
      <w:r w:rsidR="006F25B8">
        <w:t xml:space="preserve"> with friends and work colleagues</w:t>
      </w:r>
      <w:r w:rsidR="000E621B">
        <w:t xml:space="preserve">, </w:t>
      </w:r>
      <w:r>
        <w:t>family discord,</w:t>
      </w:r>
      <w:r w:rsidR="007B5D18">
        <w:t xml:space="preserve"> intermittent</w:t>
      </w:r>
      <w:r>
        <w:t xml:space="preserve"> social </w:t>
      </w:r>
      <w:r w:rsidR="000E621B">
        <w:t>withdrawal</w:t>
      </w:r>
      <w:r w:rsidR="006F25B8">
        <w:t>, and difficulty performing at expected levels in work</w:t>
      </w:r>
      <w:r w:rsidR="000E621B">
        <w:t>.</w:t>
      </w:r>
      <w:r w:rsidR="008C0127">
        <w:t xml:space="preserve">  </w:t>
      </w:r>
      <w:r w:rsidR="008C0127" w:rsidRPr="008C0127">
        <w:t>I provide twice weekly outpatient psychotherapy</w:t>
      </w:r>
      <w:r w:rsidR="008C0127">
        <w:t xml:space="preserve"> which is </w:t>
      </w:r>
      <w:r w:rsidR="008C0127" w:rsidRPr="008C0127">
        <w:t>medically necessary</w:t>
      </w:r>
      <w:r w:rsidR="008C0127">
        <w:t xml:space="preserve"> to </w:t>
      </w:r>
      <w:r w:rsidR="00F65E3C">
        <w:t>treat Ms. Doe’s mental health conditions in a safe and effective manner</w:t>
      </w:r>
      <w:r w:rsidR="008C0127" w:rsidRPr="008C0127">
        <w:t>.</w:t>
      </w:r>
      <w:r w:rsidR="00CE384D">
        <w:t xml:space="preserve">  Ms. Doe</w:t>
      </w:r>
      <w:r w:rsidR="004E3E31">
        <w:t xml:space="preserve"> has</w:t>
      </w:r>
      <w:r w:rsidR="000949D3">
        <w:t xml:space="preserve"> </w:t>
      </w:r>
      <w:r w:rsidR="004E3E31">
        <w:t>been unable to</w:t>
      </w:r>
      <w:r w:rsidR="000949D3">
        <w:t xml:space="preserve"> </w:t>
      </w:r>
      <w:r w:rsidR="004E3E31">
        <w:t>function adequately between session</w:t>
      </w:r>
      <w:r w:rsidR="000D248C">
        <w:t>s</w:t>
      </w:r>
      <w:r w:rsidR="004E3E31">
        <w:t xml:space="preserve"> at a lower frequency.  </w:t>
      </w:r>
      <w:r w:rsidR="00CE384D">
        <w:t xml:space="preserve"> </w:t>
      </w:r>
    </w:p>
    <w:p w14:paraId="15B71AAB" w14:textId="550D1AD5" w:rsidR="006E00EB" w:rsidRDefault="005A5613" w:rsidP="006E00EB">
      <w:r w:rsidRPr="005A5613">
        <w:t xml:space="preserve">As you are likely aware, </w:t>
      </w:r>
      <w:r>
        <w:t>t</w:t>
      </w:r>
      <w:r w:rsidR="006E00EB" w:rsidRPr="006E00EB">
        <w:t xml:space="preserve">he Paul Wellstone and Pete Domenici Mental Health Parity and Addiction Equity Act of 2008 (the “Federal Parity Act”) is an insurance nondiscrimination law designed to protect patients who seek treatment for mental health and substance use disorders.  </w:t>
      </w:r>
      <w:r w:rsidR="00D27760">
        <w:t>[</w:t>
      </w:r>
      <w:r w:rsidR="006E00EB" w:rsidRPr="006E00EB">
        <w:rPr>
          <w:highlight w:val="yellow"/>
        </w:rPr>
        <w:t>I</w:t>
      </w:r>
      <w:r w:rsidR="00D27760">
        <w:rPr>
          <w:highlight w:val="yellow"/>
        </w:rPr>
        <w:t>nsert I</w:t>
      </w:r>
      <w:r w:rsidR="006E00EB" w:rsidRPr="006E00EB">
        <w:rPr>
          <w:highlight w:val="yellow"/>
        </w:rPr>
        <w:t>nsurance Company</w:t>
      </w:r>
      <w:r w:rsidR="00D27760">
        <w:t>]</w:t>
      </w:r>
      <w:r w:rsidR="006E00EB" w:rsidRPr="006E00EB">
        <w:t xml:space="preserve"> and their contracted third-party plan administrators are bound by federal and state antidiscrimination laws that protect patients with mental health and substance use conditions and provide for their access to needed medical care.  The Final Rules under the Federal Parity Act, issued in 2013 and effective in 2014, expressly forbids insurers from impeding access to medically necessary and contractually obligated mental health services.</w:t>
      </w:r>
      <w:r w:rsidR="006E00EB" w:rsidRPr="006E00EB">
        <w:rPr>
          <w:vertAlign w:val="superscript"/>
        </w:rPr>
        <w:footnoteReference w:id="2"/>
      </w:r>
      <w:r w:rsidR="006E00EB" w:rsidRPr="006E00EB">
        <w:t xml:space="preserve"> </w:t>
      </w:r>
      <w:r w:rsidR="006E00EB" w:rsidRPr="006E00EB">
        <w:rPr>
          <w:vertAlign w:val="superscript"/>
        </w:rPr>
        <w:footnoteReference w:id="3"/>
      </w:r>
    </w:p>
    <w:p w14:paraId="3BC8ACC1" w14:textId="4B6E94D9" w:rsidR="005B0822" w:rsidRPr="005B0822" w:rsidRDefault="005B0822" w:rsidP="005B0822">
      <w:r w:rsidRPr="005B0822">
        <w:t>In all areas of medicine, there is no single source of generally accepted standards of care.  Rather, generally accepted standards of care are derived from multiple sources such as practice guidelines from professional organizations, guidelines and materials distributed by government agencies, and evidence-</w:t>
      </w:r>
      <w:r w:rsidRPr="005B0822">
        <w:lastRenderedPageBreak/>
        <w:t>based peer-reviewed studies in academic journals.</w:t>
      </w:r>
      <w:r w:rsidRPr="005B0822">
        <w:rPr>
          <w:vertAlign w:val="superscript"/>
        </w:rPr>
        <w:endnoteReference w:id="1"/>
      </w:r>
      <w:r w:rsidRPr="005B0822">
        <w:t xml:space="preserve">  </w:t>
      </w:r>
      <w:bookmarkStart w:id="0" w:name="_Hlk99609032"/>
      <w:bookmarkStart w:id="1" w:name="_Hlk99467096"/>
      <w:r w:rsidRPr="005B0822">
        <w:t xml:space="preserve">Behavioral health experts and leading medical specialty groups </w:t>
      </w:r>
      <w:bookmarkEnd w:id="0"/>
      <w:r w:rsidRPr="005B0822">
        <w:t>such as the American Medical Association, the American Psychiatric Association, and the National Council for Mental Wellbeing,</w:t>
      </w:r>
      <w:r w:rsidRPr="005B0822">
        <w:rPr>
          <w:vertAlign w:val="superscript"/>
        </w:rPr>
        <w:footnoteReference w:id="4"/>
      </w:r>
      <w:r w:rsidRPr="005B0822">
        <w:t xml:space="preserve"> among others, have coalesced around </w:t>
      </w:r>
      <w:r w:rsidRPr="00720BBC">
        <w:rPr>
          <w:b/>
          <w:bCs/>
        </w:rPr>
        <w:t>eight principles of effective treatment</w:t>
      </w:r>
      <w:r w:rsidRPr="005B0822">
        <w:t xml:space="preserve"> that reflect generally accepted standards of care</w:t>
      </w:r>
      <w:bookmarkEnd w:id="1"/>
      <w:r w:rsidRPr="005B0822">
        <w:t>.</w:t>
      </w:r>
      <w:r w:rsidRPr="005B0822">
        <w:rPr>
          <w:vertAlign w:val="superscript"/>
        </w:rPr>
        <w:endnoteReference w:id="2"/>
      </w:r>
      <w:r w:rsidRPr="005B0822">
        <w:t xml:space="preserve"> </w:t>
      </w:r>
      <w:r w:rsidRPr="005B0822">
        <w:rPr>
          <w:vertAlign w:val="superscript"/>
        </w:rPr>
        <w:endnoteReference w:id="3"/>
      </w:r>
      <w:r w:rsidRPr="005B0822">
        <w:t xml:space="preserve">  These standards are consistent with non-profit professional sources of accepted standards, such as the Level of Care Utilization System for Psychiatric and Addiction Services (LOCUS) and the American Society for Addiction Medicine Treatment Criteria for Addictive, Substance Related and Co-Occurring Conditions (ASAM Criteria) that evaluate medical necessity for treatment throughout the continuum of care.</w:t>
      </w:r>
      <w:r w:rsidR="00720BBC">
        <w:t xml:space="preserve">  </w:t>
      </w:r>
      <w:r w:rsidR="00720BBC" w:rsidRPr="009945F3">
        <w:t>Following these standards is seen as best medical practice</w:t>
      </w:r>
      <w:r w:rsidR="00720BBC" w:rsidRPr="00720BBC">
        <w:t xml:space="preserve">.  </w:t>
      </w:r>
    </w:p>
    <w:p w14:paraId="5D01D7A4" w14:textId="735DD687" w:rsidR="009C0687" w:rsidRPr="007B5D18" w:rsidRDefault="009C0687" w:rsidP="009C0687">
      <w:r w:rsidRPr="009C0687">
        <w:t xml:space="preserve">My determination as to the medically appropriate level of care reflects an overall assessment of Ms. Doe based on clinical observation, a review of her medical records, and use of the LOCUS criteria for determining level of care.  The LOCUS is a nationally used third-party guide developed by the American Association of Community Psychiatrists that assesses service needs over six dimensions and six defined levels of resource intensity.  Based on the following LOCUS scores, Ms. Doe meets criteria for </w:t>
      </w:r>
      <w:r w:rsidRPr="009C0687">
        <w:rPr>
          <w:b/>
          <w:bCs/>
        </w:rPr>
        <w:t xml:space="preserve">Level </w:t>
      </w:r>
      <w:r>
        <w:rPr>
          <w:b/>
          <w:bCs/>
        </w:rPr>
        <w:t>Two</w:t>
      </w:r>
      <w:r w:rsidRPr="009C0687">
        <w:rPr>
          <w:b/>
          <w:bCs/>
        </w:rPr>
        <w:t xml:space="preserve"> – </w:t>
      </w:r>
      <w:r>
        <w:rPr>
          <w:b/>
          <w:bCs/>
        </w:rPr>
        <w:t>Low Intensity Community Based</w:t>
      </w:r>
      <w:r w:rsidRPr="009C0687">
        <w:rPr>
          <w:b/>
          <w:bCs/>
        </w:rPr>
        <w:t xml:space="preserve"> Services</w:t>
      </w:r>
      <w:r w:rsidRPr="009C0687">
        <w:t>, which</w:t>
      </w:r>
      <w:r>
        <w:t xml:space="preserve"> I am providing through twice weekly outpatient psychotherapy.  </w:t>
      </w:r>
      <w:r w:rsidRPr="007B5D18">
        <w:t>Here are her full scores</w:t>
      </w:r>
      <w:r>
        <w:t xml:space="preserve">.  </w:t>
      </w:r>
      <w:r w:rsidRPr="007B5D18">
        <w:t>Please note that I am certified by the American Association of Community Psychiatrists (AACP) to score the LOCUS and generated these scores via an electronic scoring algorithm [LOCUS Version 20] licensed by Deerfield Solutions, LLC., on behalf of the AACP.</w:t>
      </w:r>
      <w:r w:rsidR="009F5A49">
        <w:rPr>
          <w:rStyle w:val="FootnoteReference"/>
        </w:rPr>
        <w:footnoteReference w:id="5"/>
      </w:r>
      <w:r w:rsidRPr="007B5D18">
        <w:t xml:space="preserve"> </w:t>
      </w:r>
    </w:p>
    <w:p w14:paraId="2B336071" w14:textId="77777777" w:rsidR="00B33DA3" w:rsidRPr="00B33DA3" w:rsidRDefault="00B33DA3" w:rsidP="00B33DA3">
      <w:pPr>
        <w:contextualSpacing/>
      </w:pPr>
      <w:r w:rsidRPr="00B33DA3">
        <w:t>Dimension I: Risk of Harm - Level [</w:t>
      </w:r>
      <w:r w:rsidRPr="00B33DA3">
        <w:rPr>
          <w:highlight w:val="yellow"/>
        </w:rPr>
        <w:t>insert</w:t>
      </w:r>
      <w:r w:rsidRPr="00B33DA3">
        <w:t>] – [</w:t>
      </w:r>
      <w:r w:rsidRPr="00B33DA3">
        <w:rPr>
          <w:highlight w:val="yellow"/>
        </w:rPr>
        <w:t>insert</w:t>
      </w:r>
      <w:r w:rsidRPr="00B33DA3">
        <w:t>] Risk of Harm: Meets criterion [</w:t>
      </w:r>
      <w:r w:rsidRPr="00B33DA3">
        <w:rPr>
          <w:highlight w:val="yellow"/>
        </w:rPr>
        <w:t>insert</w:t>
      </w:r>
      <w:r w:rsidRPr="00B33DA3">
        <w:t>]</w:t>
      </w:r>
    </w:p>
    <w:p w14:paraId="6D07AB36" w14:textId="77777777" w:rsidR="00B33DA3" w:rsidRPr="00B33DA3" w:rsidRDefault="00B33DA3" w:rsidP="00B33DA3">
      <w:pPr>
        <w:contextualSpacing/>
      </w:pPr>
      <w:r w:rsidRPr="00B33DA3">
        <w:t>Dimension Il: Functional Status - Level [</w:t>
      </w:r>
      <w:r w:rsidRPr="00B33DA3">
        <w:rPr>
          <w:highlight w:val="yellow"/>
        </w:rPr>
        <w:t>insert</w:t>
      </w:r>
      <w:r w:rsidRPr="00B33DA3">
        <w:t>] – [</w:t>
      </w:r>
      <w:r w:rsidRPr="00B33DA3">
        <w:rPr>
          <w:highlight w:val="yellow"/>
        </w:rPr>
        <w:t>insert</w:t>
      </w:r>
      <w:r w:rsidRPr="00B33DA3">
        <w:t>] Impairment: Meets criterion [</w:t>
      </w:r>
      <w:r w:rsidRPr="00B33DA3">
        <w:rPr>
          <w:highlight w:val="yellow"/>
        </w:rPr>
        <w:t>insert</w:t>
      </w:r>
      <w:r w:rsidRPr="00B33DA3">
        <w:t xml:space="preserve">]  </w:t>
      </w:r>
    </w:p>
    <w:p w14:paraId="5A40207D" w14:textId="77777777" w:rsidR="00B33DA3" w:rsidRPr="00B33DA3" w:rsidRDefault="00B33DA3" w:rsidP="00B33DA3">
      <w:pPr>
        <w:contextualSpacing/>
      </w:pPr>
      <w:r w:rsidRPr="00B33DA3">
        <w:t>Dimension III: Medical, Addictive, and Psychiatric Co-Morbidity - Level [</w:t>
      </w:r>
      <w:r w:rsidRPr="00B33DA3">
        <w:rPr>
          <w:highlight w:val="yellow"/>
        </w:rPr>
        <w:t>insert</w:t>
      </w:r>
      <w:r w:rsidRPr="00B33DA3">
        <w:t>] – [</w:t>
      </w:r>
      <w:r w:rsidRPr="00B33DA3">
        <w:rPr>
          <w:highlight w:val="yellow"/>
        </w:rPr>
        <w:t>insert</w:t>
      </w:r>
      <w:r w:rsidRPr="00B33DA3">
        <w:t>] Co-morbidity: Meets criterion [</w:t>
      </w:r>
      <w:r w:rsidRPr="00B33DA3">
        <w:rPr>
          <w:highlight w:val="yellow"/>
        </w:rPr>
        <w:t>insert</w:t>
      </w:r>
      <w:r w:rsidRPr="00B33DA3">
        <w:t>]</w:t>
      </w:r>
    </w:p>
    <w:p w14:paraId="692B4E93" w14:textId="77777777" w:rsidR="00B33DA3" w:rsidRPr="00B33DA3" w:rsidRDefault="00B33DA3" w:rsidP="00B33DA3">
      <w:pPr>
        <w:contextualSpacing/>
      </w:pPr>
      <w:r w:rsidRPr="00B33DA3">
        <w:t>Dimension IV: Recovery Environment A) Level of Stress - Level [</w:t>
      </w:r>
      <w:r w:rsidRPr="00B33DA3">
        <w:rPr>
          <w:highlight w:val="yellow"/>
        </w:rPr>
        <w:t>insert</w:t>
      </w:r>
      <w:r w:rsidRPr="00B33DA3">
        <w:t>] – [</w:t>
      </w:r>
      <w:r w:rsidRPr="00B33DA3">
        <w:rPr>
          <w:highlight w:val="yellow"/>
        </w:rPr>
        <w:t>insert</w:t>
      </w:r>
      <w:r w:rsidRPr="00B33DA3">
        <w:t>] Stressful Environment: Meets criterion [</w:t>
      </w:r>
      <w:r w:rsidRPr="00B33DA3">
        <w:rPr>
          <w:highlight w:val="yellow"/>
        </w:rPr>
        <w:t>insert</w:t>
      </w:r>
      <w:r w:rsidRPr="00B33DA3">
        <w:t>]</w:t>
      </w:r>
    </w:p>
    <w:p w14:paraId="3D723E36" w14:textId="77777777" w:rsidR="00B33DA3" w:rsidRPr="00B33DA3" w:rsidRDefault="00B33DA3" w:rsidP="00B33DA3">
      <w:pPr>
        <w:contextualSpacing/>
      </w:pPr>
      <w:r w:rsidRPr="00B33DA3">
        <w:t>Dimension IV: Recovery Environment B) Level of Support - Level [</w:t>
      </w:r>
      <w:r w:rsidRPr="00B33DA3">
        <w:rPr>
          <w:highlight w:val="yellow"/>
        </w:rPr>
        <w:t>insert</w:t>
      </w:r>
      <w:r w:rsidRPr="00B33DA3">
        <w:t>] – [</w:t>
      </w:r>
      <w:r w:rsidRPr="00B33DA3">
        <w:rPr>
          <w:highlight w:val="yellow"/>
        </w:rPr>
        <w:t>insert</w:t>
      </w:r>
      <w:r w:rsidRPr="00B33DA3">
        <w:t>] Support in Environment: Meets criterion [</w:t>
      </w:r>
      <w:r w:rsidRPr="00B33DA3">
        <w:rPr>
          <w:highlight w:val="yellow"/>
        </w:rPr>
        <w:t>insert</w:t>
      </w:r>
      <w:r w:rsidRPr="00B33DA3">
        <w:t>]</w:t>
      </w:r>
    </w:p>
    <w:p w14:paraId="62C96B2B" w14:textId="77777777" w:rsidR="00B33DA3" w:rsidRPr="00B33DA3" w:rsidRDefault="00B33DA3" w:rsidP="00B33DA3">
      <w:pPr>
        <w:contextualSpacing/>
      </w:pPr>
      <w:r w:rsidRPr="00B33DA3">
        <w:t>Dimension V: Treatment and Recovery History - Level [</w:t>
      </w:r>
      <w:r w:rsidRPr="00B33DA3">
        <w:rPr>
          <w:highlight w:val="yellow"/>
        </w:rPr>
        <w:t>insert</w:t>
      </w:r>
      <w:r w:rsidRPr="00B33DA3">
        <w:t>] – [</w:t>
      </w:r>
      <w:r w:rsidRPr="00B33DA3">
        <w:rPr>
          <w:highlight w:val="yellow"/>
        </w:rPr>
        <w:t>insert</w:t>
      </w:r>
      <w:r w:rsidRPr="00B33DA3">
        <w:t>] Response to Treatment and Recovery Management: Meets criterion [</w:t>
      </w:r>
      <w:r w:rsidRPr="00B33DA3">
        <w:rPr>
          <w:highlight w:val="yellow"/>
        </w:rPr>
        <w:t>insert</w:t>
      </w:r>
      <w:r w:rsidRPr="00B33DA3">
        <w:t>]</w:t>
      </w:r>
    </w:p>
    <w:p w14:paraId="64212A62" w14:textId="77777777" w:rsidR="00B33DA3" w:rsidRPr="00B33DA3" w:rsidRDefault="00B33DA3" w:rsidP="00B33DA3">
      <w:pPr>
        <w:contextualSpacing/>
      </w:pPr>
      <w:r w:rsidRPr="00B33DA3">
        <w:t>Dimension VI: Engagement - Level [</w:t>
      </w:r>
      <w:r w:rsidRPr="00B33DA3">
        <w:rPr>
          <w:highlight w:val="yellow"/>
        </w:rPr>
        <w:t>insert</w:t>
      </w:r>
      <w:r w:rsidRPr="00B33DA3">
        <w:t>] – [</w:t>
      </w:r>
      <w:r w:rsidRPr="00B33DA3">
        <w:rPr>
          <w:highlight w:val="yellow"/>
        </w:rPr>
        <w:t>insert</w:t>
      </w:r>
      <w:r w:rsidRPr="00B33DA3">
        <w:t>] Engagement and Recovery: Meets criterion [</w:t>
      </w:r>
      <w:r w:rsidRPr="00B33DA3">
        <w:rPr>
          <w:highlight w:val="yellow"/>
        </w:rPr>
        <w:t>insert</w:t>
      </w:r>
      <w:r w:rsidRPr="00B33DA3">
        <w:t>]</w:t>
      </w:r>
    </w:p>
    <w:p w14:paraId="75853F70" w14:textId="77777777" w:rsidR="002D5776" w:rsidRDefault="002D5776" w:rsidP="007B5D18"/>
    <w:p w14:paraId="2CB25EA8" w14:textId="68B524F5" w:rsidR="00EB2490" w:rsidRPr="00EB2490" w:rsidRDefault="00EB2490" w:rsidP="00EB2490">
      <w:bookmarkStart w:id="2" w:name="_Hlk112405007"/>
      <w:r w:rsidRPr="00EB2490">
        <w:t xml:space="preserve">As demonstrated, there are good clinical reasons to believe that twice weekly outpatient psychotherapy is medically necessary and consistent with generally accepted standards of effective treatment.  In line with generally accepted standards of effective treatment, my treatment plan is based on a </w:t>
      </w:r>
      <w:r w:rsidRPr="00EB2490">
        <w:rPr>
          <w:b/>
          <w:bCs/>
        </w:rPr>
        <w:t>multidimensional assessment</w:t>
      </w:r>
      <w:r w:rsidRPr="00EB2490">
        <w:t xml:space="preserve"> that accounts for a wide variety of information about M</w:t>
      </w:r>
      <w:r w:rsidR="00DB1F15">
        <w:t>s</w:t>
      </w:r>
      <w:r w:rsidRPr="00EB2490">
        <w:t>. Doe;</w:t>
      </w:r>
      <w:r w:rsidRPr="00EB2490">
        <w:rPr>
          <w:vertAlign w:val="superscript"/>
        </w:rPr>
        <w:endnoteReference w:id="4"/>
      </w:r>
      <w:r w:rsidRPr="00EB2490">
        <w:t xml:space="preserve"> </w:t>
      </w:r>
      <w:r w:rsidRPr="00EB2490">
        <w:rPr>
          <w:vertAlign w:val="superscript"/>
        </w:rPr>
        <w:endnoteReference w:id="5"/>
      </w:r>
      <w:r w:rsidRPr="00EB2490">
        <w:t xml:space="preserve"> </w:t>
      </w:r>
      <w:r w:rsidRPr="00EB2490">
        <w:rPr>
          <w:vertAlign w:val="superscript"/>
        </w:rPr>
        <w:endnoteReference w:id="6"/>
      </w:r>
      <w:r w:rsidRPr="00EB2490">
        <w:t xml:space="preserve"> </w:t>
      </w:r>
      <w:r w:rsidRPr="00EB2490">
        <w:rPr>
          <w:vertAlign w:val="superscript"/>
        </w:rPr>
        <w:endnoteReference w:id="7"/>
      </w:r>
      <w:r w:rsidRPr="00EB2490">
        <w:t xml:space="preserve"> includes treatment of </w:t>
      </w:r>
      <w:r w:rsidRPr="00EB2490">
        <w:rPr>
          <w:b/>
          <w:bCs/>
        </w:rPr>
        <w:t>underlying conditions</w:t>
      </w:r>
      <w:r w:rsidRPr="00EB2490">
        <w:t xml:space="preserve"> (e.g., early adversity, trauma, chronicity) </w:t>
      </w:r>
      <w:r w:rsidRPr="00EB2490">
        <w:rPr>
          <w:b/>
          <w:bCs/>
        </w:rPr>
        <w:t>and is not limited to alleviation of current symptoms</w:t>
      </w:r>
      <w:r w:rsidRPr="00EB2490">
        <w:t>;</w:t>
      </w:r>
      <w:r w:rsidRPr="00EB2490">
        <w:rPr>
          <w:vertAlign w:val="superscript"/>
        </w:rPr>
        <w:endnoteReference w:id="8"/>
      </w:r>
      <w:r w:rsidRPr="00EB2490">
        <w:t xml:space="preserve"> </w:t>
      </w:r>
      <w:r w:rsidRPr="00EB2490">
        <w:rPr>
          <w:vertAlign w:val="superscript"/>
        </w:rPr>
        <w:endnoteReference w:id="9"/>
      </w:r>
      <w:r w:rsidRPr="00EB2490">
        <w:t xml:space="preserve"> considers M</w:t>
      </w:r>
      <w:r w:rsidR="00DB1F15">
        <w:t>s</w:t>
      </w:r>
      <w:r w:rsidRPr="00EB2490">
        <w:t xml:space="preserve">. Doe’s </w:t>
      </w:r>
      <w:r w:rsidRPr="00EB2490">
        <w:rPr>
          <w:b/>
        </w:rPr>
        <w:t>individual needs without arbitrary limits on the duration of such treatment</w:t>
      </w:r>
      <w:r w:rsidRPr="00EB2490">
        <w:t>;</w:t>
      </w:r>
      <w:r w:rsidRPr="00EB2490">
        <w:rPr>
          <w:vertAlign w:val="superscript"/>
        </w:rPr>
        <w:endnoteReference w:id="10"/>
      </w:r>
      <w:r w:rsidRPr="00EB2490">
        <w:t xml:space="preserve"> </w:t>
      </w:r>
      <w:r w:rsidRPr="00EB2490">
        <w:rPr>
          <w:vertAlign w:val="superscript"/>
        </w:rPr>
        <w:endnoteReference w:id="11"/>
      </w:r>
      <w:r w:rsidRPr="00EB2490">
        <w:t xml:space="preserve"> </w:t>
      </w:r>
      <w:r w:rsidRPr="00EB2490">
        <w:rPr>
          <w:vertAlign w:val="superscript"/>
        </w:rPr>
        <w:endnoteReference w:id="12"/>
      </w:r>
      <w:r w:rsidRPr="00EB2490">
        <w:t xml:space="preserve"> </w:t>
      </w:r>
      <w:r w:rsidRPr="00EB2490">
        <w:rPr>
          <w:vertAlign w:val="superscript"/>
        </w:rPr>
        <w:endnoteReference w:id="13"/>
      </w:r>
      <w:r w:rsidRPr="00EB2490">
        <w:t xml:space="preserve"> includes services needed to </w:t>
      </w:r>
      <w:r w:rsidRPr="00EB2490">
        <w:rPr>
          <w:b/>
          <w:bCs/>
        </w:rPr>
        <w:t>improve functioning, maintain day-to-day functioning, and to prevent deterioration</w:t>
      </w:r>
      <w:r w:rsidRPr="00EB2490">
        <w:t>;</w:t>
      </w:r>
      <w:r w:rsidRPr="00EB2490">
        <w:rPr>
          <w:vertAlign w:val="superscript"/>
        </w:rPr>
        <w:endnoteReference w:id="14"/>
      </w:r>
      <w:r w:rsidRPr="00EB2490">
        <w:t xml:space="preserve"> </w:t>
      </w:r>
      <w:r w:rsidRPr="00EB2490">
        <w:rPr>
          <w:vertAlign w:val="superscript"/>
        </w:rPr>
        <w:endnoteReference w:id="15"/>
      </w:r>
      <w:r w:rsidRPr="00EB2490">
        <w:t xml:space="preserve"> </w:t>
      </w:r>
      <w:r w:rsidRPr="00EB2490">
        <w:rPr>
          <w:vertAlign w:val="superscript"/>
        </w:rPr>
        <w:endnoteReference w:id="16"/>
      </w:r>
      <w:r w:rsidRPr="00EB2490">
        <w:t xml:space="preserve"> places M</w:t>
      </w:r>
      <w:r w:rsidR="00DB1F15">
        <w:t>s</w:t>
      </w:r>
      <w:r w:rsidRPr="00EB2490">
        <w:t xml:space="preserve">. Doe in the </w:t>
      </w:r>
      <w:r w:rsidRPr="00EB2490">
        <w:rPr>
          <w:b/>
          <w:bCs/>
        </w:rPr>
        <w:t>least intensive and restrictive level of care that is both safe and effective</w:t>
      </w:r>
      <w:r w:rsidRPr="00EB2490">
        <w:t>;</w:t>
      </w:r>
      <w:r w:rsidRPr="00EB2490">
        <w:rPr>
          <w:vertAlign w:val="superscript"/>
        </w:rPr>
        <w:endnoteReference w:id="17"/>
      </w:r>
      <w:r w:rsidRPr="00EB2490">
        <w:t xml:space="preserve"> </w:t>
      </w:r>
      <w:r w:rsidRPr="00EB2490">
        <w:rPr>
          <w:vertAlign w:val="superscript"/>
        </w:rPr>
        <w:endnoteReference w:id="18"/>
      </w:r>
      <w:r w:rsidRPr="00EB2490">
        <w:t xml:space="preserve"> </w:t>
      </w:r>
      <w:r w:rsidRPr="00EB2490">
        <w:rPr>
          <w:vertAlign w:val="superscript"/>
        </w:rPr>
        <w:endnoteReference w:id="19"/>
      </w:r>
      <w:r w:rsidRPr="00EB2490">
        <w:t xml:space="preserve"> and </w:t>
      </w:r>
      <w:r w:rsidRPr="00EB2490">
        <w:rPr>
          <w:b/>
          <w:bCs/>
        </w:rPr>
        <w:t>errs on the side of caution</w:t>
      </w:r>
      <w:r w:rsidRPr="00EB2490">
        <w:t xml:space="preserve"> in determining level of care.</w:t>
      </w:r>
      <w:r w:rsidRPr="00EB2490">
        <w:rPr>
          <w:vertAlign w:val="superscript"/>
        </w:rPr>
        <w:endnoteReference w:id="20"/>
      </w:r>
      <w:r w:rsidRPr="00EB2490">
        <w:t xml:space="preserve">  </w:t>
      </w:r>
    </w:p>
    <w:bookmarkEnd w:id="2"/>
    <w:p w14:paraId="51E61F15" w14:textId="2628C264" w:rsidR="00EB2490" w:rsidRPr="00EB2490" w:rsidRDefault="00EB2490" w:rsidP="00EB2490">
      <w:r w:rsidRPr="00EB2490">
        <w:lastRenderedPageBreak/>
        <w:t>The appropriate level of care for M</w:t>
      </w:r>
      <w:r w:rsidR="00FE72CD">
        <w:t>s</w:t>
      </w:r>
      <w:r w:rsidRPr="00EB2490">
        <w:t>. Doe reflects my professional assessment for its treatment efficacy, patient safety, and overall management of h</w:t>
      </w:r>
      <w:r w:rsidR="00FE72CD">
        <w:t>er</w:t>
      </w:r>
      <w:r w:rsidRPr="00EB2490">
        <w:t xml:space="preserve"> behavioral health needs.  It is my professional opinion that M</w:t>
      </w:r>
      <w:r w:rsidR="00FE72CD">
        <w:t>s</w:t>
      </w:r>
      <w:r w:rsidRPr="00EB2490">
        <w:t xml:space="preserve">. Doe’s condition would deteriorate </w:t>
      </w:r>
      <w:r w:rsidR="00FE72CD">
        <w:t>if her</w:t>
      </w:r>
      <w:r w:rsidRPr="00EB2490">
        <w:t xml:space="preserve"> current treatment services were prematurely withdrawn.  </w:t>
      </w:r>
      <w:r w:rsidR="00BF4D2B" w:rsidRPr="009945F3">
        <w:t>I trust you are committed to upholding your legal and ethical responsibility as M</w:t>
      </w:r>
      <w:r w:rsidR="00BF4D2B">
        <w:t>s</w:t>
      </w:r>
      <w:r w:rsidR="00BF4D2B" w:rsidRPr="009945F3">
        <w:t>. Doe’s fiduciary.</w:t>
      </w:r>
      <w:r w:rsidR="00BF4D2B" w:rsidRPr="00BF4D2B">
        <w:t xml:space="preserve">  </w:t>
      </w:r>
      <w:r w:rsidR="00BF4D2B" w:rsidRPr="00BF4D2B">
        <w:rPr>
          <w:bCs/>
        </w:rPr>
        <w:t xml:space="preserve">I am sure </w:t>
      </w:r>
      <w:r w:rsidR="00BF4D2B" w:rsidRPr="00BF4D2B">
        <w:t>M</w:t>
      </w:r>
      <w:r w:rsidR="00BF4D2B">
        <w:t>s</w:t>
      </w:r>
      <w:r w:rsidR="00BF4D2B" w:rsidRPr="00BF4D2B">
        <w:t>. Doe</w:t>
      </w:r>
      <w:r w:rsidR="00BF4D2B" w:rsidRPr="00BF4D2B">
        <w:rPr>
          <w:bCs/>
        </w:rPr>
        <w:t xml:space="preserve"> will expect you to honor the terms of h</w:t>
      </w:r>
      <w:r w:rsidR="00BF4D2B">
        <w:rPr>
          <w:bCs/>
        </w:rPr>
        <w:t>er</w:t>
      </w:r>
      <w:r w:rsidR="00BF4D2B" w:rsidRPr="00BF4D2B">
        <w:rPr>
          <w:bCs/>
        </w:rPr>
        <w:t xml:space="preserve"> Plan. </w:t>
      </w:r>
      <w:r w:rsidRPr="00EB2490">
        <w:t xml:space="preserve"> </w:t>
      </w:r>
    </w:p>
    <w:p w14:paraId="0958C6D6" w14:textId="1C6F7B12" w:rsidR="00AD5E14" w:rsidRDefault="00AD5E14" w:rsidP="008467D8"/>
    <w:p w14:paraId="62A741AB" w14:textId="2DD0C80D" w:rsidR="008467D8" w:rsidRDefault="008467D8" w:rsidP="008467D8">
      <w:r w:rsidRPr="00E00C6A">
        <w:t xml:space="preserve">Should you have any questions, please do not hesitate to contact me. </w:t>
      </w:r>
    </w:p>
    <w:p w14:paraId="458F31EF" w14:textId="091AFA8E" w:rsidR="008467D8" w:rsidRDefault="008467D8" w:rsidP="008467D8">
      <w:pPr>
        <w:autoSpaceDE w:val="0"/>
        <w:autoSpaceDN w:val="0"/>
        <w:adjustRightInd w:val="0"/>
      </w:pPr>
    </w:p>
    <w:p w14:paraId="6B0AC3C5" w14:textId="77777777" w:rsidR="00EE3C18" w:rsidRDefault="00EE3C18" w:rsidP="008467D8">
      <w:pPr>
        <w:autoSpaceDE w:val="0"/>
        <w:autoSpaceDN w:val="0"/>
        <w:adjustRightInd w:val="0"/>
      </w:pPr>
    </w:p>
    <w:p w14:paraId="217B7E7C" w14:textId="77777777" w:rsidR="008467D8" w:rsidRPr="00855BA7" w:rsidRDefault="008467D8" w:rsidP="008467D8">
      <w:pPr>
        <w:autoSpaceDE w:val="0"/>
        <w:autoSpaceDN w:val="0"/>
        <w:adjustRightInd w:val="0"/>
      </w:pPr>
      <w:r w:rsidRPr="00855BA7">
        <w:t>Sincerely,</w:t>
      </w:r>
    </w:p>
    <w:p w14:paraId="19B01AAA" w14:textId="6C281F38" w:rsidR="008467D8" w:rsidRDefault="008467D8" w:rsidP="008467D8"/>
    <w:p w14:paraId="21F920ED" w14:textId="6D70F3E5" w:rsidR="00900794" w:rsidRDefault="00900794" w:rsidP="008467D8"/>
    <w:p w14:paraId="21498331" w14:textId="77777777" w:rsidR="00900794" w:rsidRDefault="00900794" w:rsidP="008467D8"/>
    <w:p w14:paraId="13FBA767" w14:textId="77777777" w:rsidR="008467D8" w:rsidRDefault="008467D8" w:rsidP="008467D8">
      <w:r w:rsidRPr="00855BA7">
        <w:t>[signature]</w:t>
      </w:r>
    </w:p>
    <w:p w14:paraId="6AA72648" w14:textId="77777777" w:rsidR="008467D8" w:rsidRDefault="008467D8" w:rsidP="007B5D18"/>
    <w:p w14:paraId="332907EE" w14:textId="77777777" w:rsidR="009C0687" w:rsidRDefault="009C0687" w:rsidP="007B5D18"/>
    <w:p w14:paraId="5D3070CC" w14:textId="77777777" w:rsidR="007B5D18" w:rsidRPr="006E00EB" w:rsidRDefault="007B5D18" w:rsidP="006E00EB"/>
    <w:p w14:paraId="01837C27" w14:textId="6ED676B0" w:rsidR="00005CEC" w:rsidRPr="00005CEC" w:rsidRDefault="006A6AB2" w:rsidP="00005CEC">
      <w:r>
        <w:t xml:space="preserve"> </w:t>
      </w:r>
      <w:r w:rsidR="00BD63C7" w:rsidRPr="00310BBB">
        <w:t xml:space="preserve"> </w:t>
      </w:r>
      <w:r w:rsidR="00005CEC" w:rsidRPr="00005CEC">
        <w:t xml:space="preserve">    </w:t>
      </w:r>
    </w:p>
    <w:p w14:paraId="1EACB9E7" w14:textId="77777777" w:rsidR="00205888" w:rsidRDefault="00205888" w:rsidP="00F36B40"/>
    <w:p w14:paraId="221C10FA" w14:textId="6E47D069" w:rsidR="003C6AE8" w:rsidRDefault="003C6AE8">
      <w:r>
        <w:br w:type="page"/>
      </w:r>
    </w:p>
    <w:p w14:paraId="54134860" w14:textId="77777777" w:rsidR="00310BBB" w:rsidRDefault="00310BBB" w:rsidP="003C6AE8">
      <w:pPr>
        <w:spacing w:after="0" w:line="240" w:lineRule="auto"/>
      </w:pPr>
    </w:p>
    <w:sectPr w:rsidR="00310BBB">
      <w:footerReference w:type="default" r:id="rId8"/>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3858" w14:textId="77777777" w:rsidR="006770E5" w:rsidRDefault="006770E5" w:rsidP="006A6AB2">
      <w:pPr>
        <w:spacing w:after="0" w:line="240" w:lineRule="auto"/>
      </w:pPr>
      <w:r>
        <w:separator/>
      </w:r>
    </w:p>
  </w:endnote>
  <w:endnote w:type="continuationSeparator" w:id="0">
    <w:p w14:paraId="14C76A0C" w14:textId="77777777" w:rsidR="006770E5" w:rsidRDefault="006770E5" w:rsidP="006A6AB2">
      <w:pPr>
        <w:spacing w:after="0" w:line="240" w:lineRule="auto"/>
      </w:pPr>
      <w:r>
        <w:continuationSeparator/>
      </w:r>
    </w:p>
  </w:endnote>
  <w:endnote w:id="1">
    <w:p w14:paraId="154160AE" w14:textId="77777777" w:rsidR="005B0822" w:rsidRPr="000C5928" w:rsidRDefault="005B0822" w:rsidP="006526F1">
      <w:pPr>
        <w:pStyle w:val="EndnoteText"/>
        <w:rPr>
          <w:sz w:val="22"/>
          <w:szCs w:val="22"/>
        </w:rPr>
      </w:pPr>
      <w:r w:rsidRPr="000C5928">
        <w:rPr>
          <w:rStyle w:val="EndnoteReference"/>
          <w:sz w:val="22"/>
          <w:szCs w:val="22"/>
        </w:rPr>
        <w:endnoteRef/>
      </w:r>
      <w:r w:rsidRPr="000C5928">
        <w:rPr>
          <w:sz w:val="22"/>
          <w:szCs w:val="22"/>
        </w:rPr>
        <w:t xml:space="preserve"> Some sources of generally accepted standards include: </w:t>
      </w:r>
    </w:p>
    <w:p w14:paraId="0826C1AA" w14:textId="77777777" w:rsidR="005B0822" w:rsidRPr="000C5928" w:rsidRDefault="005B0822" w:rsidP="006526F1">
      <w:pPr>
        <w:pStyle w:val="EndnoteText"/>
        <w:ind w:left="720"/>
        <w:rPr>
          <w:sz w:val="22"/>
          <w:szCs w:val="22"/>
        </w:rPr>
      </w:pPr>
      <w:r w:rsidRPr="000C5928">
        <w:rPr>
          <w:sz w:val="22"/>
          <w:szCs w:val="22"/>
        </w:rPr>
        <w:t xml:space="preserve">American Association for Community Psychiatrists Level of Care Utilization System (LOCUS); American Association for Community Psychiatrists Child and Adolescent Level of Care Utilization System (CALOCUS); American Society of Addiction Medicine (ASAM) Criteria; Principles of Care for Treatment of Children and Adolescents with Mental Illnesses in Residential Treatment Centers; Medicare benefit policy manual (CMS Publication No. 100-02); American Psychiatric Association Clinical Practice Guidelines </w:t>
      </w:r>
    </w:p>
  </w:endnote>
  <w:endnote w:id="2">
    <w:p w14:paraId="51E0510D" w14:textId="77777777" w:rsidR="005B0822" w:rsidRPr="005E2C7D" w:rsidRDefault="005B0822" w:rsidP="006526F1">
      <w:pPr>
        <w:spacing w:after="0" w:line="240" w:lineRule="auto"/>
        <w:rPr>
          <w:b/>
          <w:bCs/>
        </w:rPr>
      </w:pPr>
      <w:r>
        <w:rPr>
          <w:rStyle w:val="EndnoteReference"/>
        </w:rPr>
        <w:endnoteRef/>
      </w:r>
      <w:r>
        <w:t xml:space="preserve"> </w:t>
      </w:r>
      <w:r w:rsidRPr="005E2C7D">
        <w:rPr>
          <w:i/>
          <w:iCs/>
        </w:rPr>
        <w:t>Wit v. United Behavioral Health</w:t>
      </w:r>
      <w:r w:rsidRPr="005E2C7D">
        <w:t xml:space="preserve">. Brief amicus curiae of American Psychiatric Association, American Medical Association, California Medical Association, Southern California Psychiatric Society, Northern California Psychiatric Society, Orange County Psychiatric Society, Central California Psychiatric Society </w:t>
      </w:r>
      <w:r>
        <w:t>a</w:t>
      </w:r>
      <w:r w:rsidRPr="005E2C7D">
        <w:t xml:space="preserve">nd San Diego Psychiatric Society. 5 May 2021. https://www.psychiatry.org/File%20Library/Psychiatrists/Directories/Library-and-Archive/amicus-briefs/amicus-2021-Wit-v-United-Behavioral-Health-Nos-20-17363-20-17364-21-15193021-15194.pdf. </w:t>
      </w:r>
    </w:p>
  </w:endnote>
  <w:endnote w:id="3">
    <w:p w14:paraId="259245B4" w14:textId="36D42F97" w:rsidR="005B0822" w:rsidRPr="00246ACC" w:rsidRDefault="005B0822" w:rsidP="006526F1">
      <w:pPr>
        <w:spacing w:after="0" w:line="240" w:lineRule="auto"/>
      </w:pPr>
      <w:r>
        <w:rPr>
          <w:rStyle w:val="EndnoteReference"/>
        </w:rPr>
        <w:endnoteRef/>
      </w:r>
      <w:r>
        <w:t xml:space="preserve"> </w:t>
      </w:r>
      <w:r w:rsidRPr="00246ACC">
        <w:t>The National</w:t>
      </w:r>
      <w:r w:rsidR="00190CA3">
        <w:t xml:space="preserve"> Council</w:t>
      </w:r>
      <w:r w:rsidRPr="00246ACC">
        <w:t xml:space="preserve"> for Behavioral Health. (2019). </w:t>
      </w:r>
      <w:r w:rsidRPr="00246ACC">
        <w:rPr>
          <w:i/>
          <w:iCs/>
        </w:rPr>
        <w:t>Generally Accepted Standards of Care for Behavioral Health</w:t>
      </w:r>
      <w:r w:rsidRPr="00246ACC">
        <w:t xml:space="preserve"> [Position Statement]. https://www.thenationalcouncil.org/wp-content/uploads/2022/02/MDI-Wit-v-UBH-Position-Statement.pdf</w:t>
      </w:r>
    </w:p>
  </w:endnote>
  <w:endnote w:id="4">
    <w:p w14:paraId="0443507C" w14:textId="77777777" w:rsidR="00EB2490" w:rsidRPr="00B35B5C" w:rsidRDefault="00EB2490" w:rsidP="00EB2490">
      <w:pPr>
        <w:pStyle w:val="EndnoteText"/>
        <w:rPr>
          <w:bCs/>
          <w:sz w:val="22"/>
          <w:szCs w:val="22"/>
        </w:rPr>
      </w:pPr>
      <w:r w:rsidRPr="00B35B5C">
        <w:rPr>
          <w:rStyle w:val="EndnoteReference"/>
          <w:sz w:val="22"/>
          <w:szCs w:val="22"/>
        </w:rPr>
        <w:endnoteRef/>
      </w:r>
      <w:r w:rsidRPr="00B35B5C">
        <w:rPr>
          <w:sz w:val="22"/>
          <w:szCs w:val="22"/>
        </w:rPr>
        <w:t xml:space="preserve"> </w:t>
      </w:r>
      <w:r w:rsidRPr="00B35B5C">
        <w:rPr>
          <w:bCs/>
          <w:sz w:val="22"/>
          <w:szCs w:val="22"/>
        </w:rPr>
        <w:t xml:space="preserve">American Association for Community Psychiatry: LOCUS 20 (Level of Care Utilization System), 2016 Available at: </w:t>
      </w:r>
      <w:r w:rsidRPr="00C905AB">
        <w:rPr>
          <w:bCs/>
          <w:sz w:val="22"/>
          <w:szCs w:val="22"/>
        </w:rPr>
        <w:t>https://sites.google.com/view/aacp123/resources/locus</w:t>
      </w:r>
      <w:r w:rsidRPr="00B35B5C">
        <w:rPr>
          <w:bCs/>
          <w:sz w:val="22"/>
          <w:szCs w:val="22"/>
        </w:rPr>
        <w:t xml:space="preserve"> </w:t>
      </w:r>
    </w:p>
  </w:endnote>
  <w:endnote w:id="5">
    <w:p w14:paraId="25734F15" w14:textId="77777777" w:rsidR="00EB2490" w:rsidRPr="00B35B5C" w:rsidRDefault="00EB2490" w:rsidP="00EB2490">
      <w:pPr>
        <w:spacing w:after="0" w:line="240" w:lineRule="auto"/>
        <w:rPr>
          <w:bCs/>
          <w:color w:val="000000" w:themeColor="text1"/>
        </w:rPr>
      </w:pPr>
      <w:r>
        <w:rPr>
          <w:rStyle w:val="EndnoteReference"/>
        </w:rPr>
        <w:endnoteRef/>
      </w:r>
      <w:r>
        <w:t xml:space="preserve"> </w:t>
      </w:r>
      <w:r w:rsidRPr="008C678C">
        <w:rPr>
          <w:bCs/>
          <w:color w:val="000000" w:themeColor="text1"/>
        </w:rPr>
        <w:t>American Association for Community Psychiatry: CALOCUS 20 (Child and Adolescent Level of Care Utilization System), 2019 Available at:</w:t>
      </w:r>
      <w:r>
        <w:rPr>
          <w:bCs/>
          <w:color w:val="000000" w:themeColor="text1"/>
        </w:rPr>
        <w:t xml:space="preserve"> </w:t>
      </w:r>
      <w:r w:rsidRPr="008C678C">
        <w:rPr>
          <w:bCs/>
          <w:color w:val="000000" w:themeColor="text1"/>
        </w:rPr>
        <w:t xml:space="preserve">https://sites.google.com/view/aacp123/resources/locus </w:t>
      </w:r>
    </w:p>
  </w:endnote>
  <w:endnote w:id="6">
    <w:p w14:paraId="53ADAEA5" w14:textId="77777777" w:rsidR="00EB2490" w:rsidRPr="00B35B5C" w:rsidRDefault="00EB2490" w:rsidP="00EB2490">
      <w:pPr>
        <w:spacing w:after="0" w:line="240" w:lineRule="auto"/>
        <w:rPr>
          <w:bCs/>
          <w:color w:val="000000" w:themeColor="text1"/>
        </w:rPr>
      </w:pPr>
      <w:r>
        <w:rPr>
          <w:rStyle w:val="EndnoteReference"/>
        </w:rPr>
        <w:endnoteRef/>
      </w:r>
      <w:r>
        <w:t xml:space="preserve"> </w:t>
      </w:r>
      <w:proofErr w:type="spellStart"/>
      <w:r w:rsidRPr="00770802">
        <w:rPr>
          <w:bCs/>
          <w:color w:val="000000" w:themeColor="text1"/>
        </w:rPr>
        <w:t>Mee</w:t>
      </w:r>
      <w:proofErr w:type="spellEnd"/>
      <w:r w:rsidRPr="00770802">
        <w:rPr>
          <w:bCs/>
          <w:color w:val="000000" w:themeColor="text1"/>
        </w:rPr>
        <w:t>-Lee, D., &amp; Shulman, G. (2014). The ASAM criteria and matching patients to treatment. </w:t>
      </w:r>
      <w:r w:rsidRPr="00770802">
        <w:rPr>
          <w:bCs/>
          <w:i/>
          <w:iCs/>
          <w:color w:val="000000" w:themeColor="text1"/>
        </w:rPr>
        <w:t>The ASAM Principles of Addiction Medicine. 5th ed. China: Wolters Kluwer Health</w:t>
      </w:r>
      <w:r w:rsidRPr="00770802">
        <w:rPr>
          <w:bCs/>
          <w:color w:val="000000" w:themeColor="text1"/>
        </w:rPr>
        <w:t>.</w:t>
      </w:r>
    </w:p>
  </w:endnote>
  <w:endnote w:id="7">
    <w:p w14:paraId="4911DDDC" w14:textId="77777777" w:rsidR="00EB2490" w:rsidRPr="006A52EC" w:rsidRDefault="00EB2490" w:rsidP="00EB2490">
      <w:pPr>
        <w:spacing w:after="0" w:line="240" w:lineRule="auto"/>
        <w:rPr>
          <w:bCs/>
          <w:color w:val="000000" w:themeColor="text1"/>
        </w:rPr>
      </w:pPr>
      <w:r>
        <w:rPr>
          <w:rStyle w:val="EndnoteReference"/>
        </w:rPr>
        <w:endnoteRef/>
      </w:r>
      <w:r>
        <w:t xml:space="preserve"> </w:t>
      </w:r>
      <w:r w:rsidRPr="00770802">
        <w:rPr>
          <w:bCs/>
          <w:color w:val="000000" w:themeColor="text1"/>
        </w:rPr>
        <w:t xml:space="preserve">American Psychiatric Association. (2020). </w:t>
      </w:r>
      <w:r w:rsidRPr="00770802">
        <w:rPr>
          <w:bCs/>
          <w:i/>
          <w:iCs/>
          <w:color w:val="000000" w:themeColor="text1"/>
        </w:rPr>
        <w:t>Level of Care Criteria for Acute Psychiatric Treatment</w:t>
      </w:r>
      <w:r w:rsidRPr="00770802">
        <w:rPr>
          <w:bCs/>
          <w:color w:val="000000" w:themeColor="text1"/>
        </w:rPr>
        <w:t xml:space="preserve"> [Position Statement]. </w:t>
      </w:r>
      <w:r w:rsidRPr="00767202">
        <w:rPr>
          <w:bCs/>
          <w:color w:val="000000" w:themeColor="text1"/>
        </w:rPr>
        <w:t>https://www.psychiatry.org/File%20Library/About-APA/Organization-Documents-Policies/Policies/Position-Continuing-Care-Criteria.pdf</w:t>
      </w:r>
    </w:p>
  </w:endnote>
  <w:endnote w:id="8">
    <w:p w14:paraId="3D6AF9DF" w14:textId="77777777" w:rsidR="00EB2490" w:rsidRPr="006A52EC" w:rsidRDefault="00EB2490" w:rsidP="00EB2490">
      <w:pPr>
        <w:spacing w:after="0" w:line="240" w:lineRule="auto"/>
        <w:rPr>
          <w:bCs/>
          <w:color w:val="000000" w:themeColor="text1"/>
        </w:rPr>
      </w:pPr>
      <w:r>
        <w:rPr>
          <w:rStyle w:val="EndnoteReference"/>
        </w:rPr>
        <w:endnoteRef/>
      </w:r>
      <w:r>
        <w:t xml:space="preserve"> </w:t>
      </w:r>
      <w:r w:rsidRPr="00E8093E">
        <w:rPr>
          <w:bCs/>
          <w:color w:val="000000" w:themeColor="text1"/>
        </w:rPr>
        <w:t xml:space="preserve">SAMHSA. (2012). </w:t>
      </w:r>
      <w:r w:rsidRPr="00E8093E">
        <w:rPr>
          <w:bCs/>
          <w:i/>
          <w:iCs/>
          <w:color w:val="000000" w:themeColor="text1"/>
        </w:rPr>
        <w:t>SAMHSA’s Working Definition of Recovery: 10 Guiding Principles of Recovery</w:t>
      </w:r>
      <w:r w:rsidRPr="00E8093E">
        <w:rPr>
          <w:bCs/>
          <w:color w:val="000000" w:themeColor="text1"/>
        </w:rPr>
        <w:t xml:space="preserve"> [Brochure]. https://store.samhsa.gov/sites/default/files/d7/priv/pep12-recdef.pdf</w:t>
      </w:r>
      <w:r w:rsidRPr="00E8093E">
        <w:rPr>
          <w:bCs/>
          <w:i/>
          <w:iCs/>
          <w:color w:val="000000" w:themeColor="text1"/>
        </w:rPr>
        <w:t xml:space="preserve"> </w:t>
      </w:r>
      <w:r w:rsidRPr="00E8093E">
        <w:rPr>
          <w:bCs/>
          <w:color w:val="000000" w:themeColor="text1"/>
        </w:rPr>
        <w:t xml:space="preserve"> </w:t>
      </w:r>
    </w:p>
  </w:endnote>
  <w:endnote w:id="9">
    <w:p w14:paraId="4C00AE16" w14:textId="77777777" w:rsidR="00EB2490" w:rsidRPr="00A22DB2" w:rsidRDefault="00EB2490" w:rsidP="00EB2490">
      <w:pPr>
        <w:spacing w:after="0" w:line="240" w:lineRule="auto"/>
        <w:rPr>
          <w:bCs/>
          <w:color w:val="000000" w:themeColor="text1"/>
        </w:rPr>
      </w:pPr>
      <w:r>
        <w:rPr>
          <w:rStyle w:val="EndnoteReference"/>
        </w:rPr>
        <w:endnoteRef/>
      </w:r>
      <w:r>
        <w:t xml:space="preserve"> </w:t>
      </w:r>
      <w:r w:rsidRPr="00E8093E">
        <w:rPr>
          <w:bCs/>
          <w:color w:val="000000" w:themeColor="text1"/>
        </w:rPr>
        <w:t xml:space="preserve">American Psychiatric Association. (2018). </w:t>
      </w:r>
      <w:r w:rsidRPr="00E8093E">
        <w:rPr>
          <w:bCs/>
          <w:i/>
          <w:iCs/>
          <w:color w:val="000000" w:themeColor="text1"/>
        </w:rPr>
        <w:t xml:space="preserve">Use of the Principles of Recovery </w:t>
      </w:r>
      <w:r w:rsidRPr="00E8093E">
        <w:rPr>
          <w:bCs/>
          <w:color w:val="000000" w:themeColor="text1"/>
        </w:rPr>
        <w:t xml:space="preserve">[Position Statement]. </w:t>
      </w:r>
      <w:r w:rsidRPr="00736443">
        <w:rPr>
          <w:bCs/>
          <w:color w:val="000000" w:themeColor="text1"/>
        </w:rPr>
        <w:t>https://www.psychiatry.org/File%20Library/About-APA/Organization-Documents-Policies/Policies/Position-Use-of-the-Principles-of-Recovery.pdf</w:t>
      </w:r>
    </w:p>
  </w:endnote>
  <w:endnote w:id="10">
    <w:p w14:paraId="5123662C" w14:textId="77777777" w:rsidR="00EB2490" w:rsidRPr="000C5928" w:rsidRDefault="00EB2490" w:rsidP="00EB2490">
      <w:pPr>
        <w:pStyle w:val="EndnoteText"/>
        <w:rPr>
          <w:sz w:val="22"/>
          <w:szCs w:val="22"/>
        </w:rPr>
      </w:pPr>
      <w:r w:rsidRPr="000C5928">
        <w:rPr>
          <w:rStyle w:val="EndnoteReference"/>
          <w:sz w:val="22"/>
          <w:szCs w:val="22"/>
        </w:rPr>
        <w:endnoteRef/>
      </w:r>
      <w:r w:rsidRPr="000C5928">
        <w:rPr>
          <w:sz w:val="22"/>
          <w:szCs w:val="22"/>
        </w:rPr>
        <w:t xml:space="preserve"> U.S. Centers for Medicare &amp; Medicaid Services. (Revised 12/31/20). Medicare benefit policy manual chapter 6 - hospital services covered under Part B (CMS Publication No. 100-02). https://www.cms.gov/Regulations-and-Guidance/Guidance/Manuals/Downloads/bp102c06.pdf</w:t>
      </w:r>
    </w:p>
  </w:endnote>
  <w:endnote w:id="11">
    <w:p w14:paraId="56137A34" w14:textId="77777777" w:rsidR="00EB2490" w:rsidRPr="000C5928" w:rsidRDefault="00EB2490" w:rsidP="00EB2490">
      <w:pPr>
        <w:pStyle w:val="EndnoteText"/>
        <w:rPr>
          <w:sz w:val="22"/>
          <w:szCs w:val="22"/>
        </w:rPr>
      </w:pPr>
      <w:r w:rsidRPr="000C5928">
        <w:rPr>
          <w:rStyle w:val="EndnoteReference"/>
          <w:sz w:val="22"/>
          <w:szCs w:val="22"/>
        </w:rPr>
        <w:endnoteRef/>
      </w:r>
      <w:r w:rsidRPr="000C5928">
        <w:rPr>
          <w:sz w:val="22"/>
          <w:szCs w:val="22"/>
        </w:rPr>
        <w:t xml:space="preserve"> Lazar, S.G., Bendat, M., Gabbard, G., Levy, K., McWilliams, N., Plakun, E.M., </w:t>
      </w:r>
      <w:proofErr w:type="spellStart"/>
      <w:r w:rsidRPr="000C5928">
        <w:rPr>
          <w:sz w:val="22"/>
          <w:szCs w:val="22"/>
        </w:rPr>
        <w:t>Shedler</w:t>
      </w:r>
      <w:proofErr w:type="spellEnd"/>
      <w:r w:rsidRPr="000C5928">
        <w:rPr>
          <w:sz w:val="22"/>
          <w:szCs w:val="22"/>
        </w:rPr>
        <w:t>, J., &amp; Yeomans, F. (2018). Clinical necessity guidelines for psychotherapy, insurance medical necessity and utilization review protocols, and mental health parity. </w:t>
      </w:r>
      <w:r w:rsidRPr="000C5928">
        <w:rPr>
          <w:i/>
          <w:iCs/>
          <w:sz w:val="22"/>
          <w:szCs w:val="22"/>
        </w:rPr>
        <w:t>Journal of Psychiatric Practice</w:t>
      </w:r>
      <w:r w:rsidRPr="000C5928">
        <w:rPr>
          <w:sz w:val="22"/>
          <w:szCs w:val="22"/>
        </w:rPr>
        <w:t>, </w:t>
      </w:r>
      <w:r w:rsidRPr="000C5928">
        <w:rPr>
          <w:i/>
          <w:iCs/>
          <w:sz w:val="22"/>
          <w:szCs w:val="22"/>
        </w:rPr>
        <w:t>24</w:t>
      </w:r>
      <w:r w:rsidRPr="000C5928">
        <w:rPr>
          <w:sz w:val="22"/>
          <w:szCs w:val="22"/>
        </w:rPr>
        <w:t>(3), 179-193. doi:10.1097/PRA.0000000000000309</w:t>
      </w:r>
    </w:p>
  </w:endnote>
  <w:endnote w:id="12">
    <w:p w14:paraId="4443FD06" w14:textId="17740FE9" w:rsidR="00EB2490" w:rsidRPr="000C5928" w:rsidRDefault="00EB2490" w:rsidP="00EB2490">
      <w:pPr>
        <w:pStyle w:val="EndnoteText"/>
        <w:rPr>
          <w:sz w:val="22"/>
          <w:szCs w:val="22"/>
        </w:rPr>
      </w:pPr>
      <w:r w:rsidRPr="000C5928">
        <w:rPr>
          <w:rStyle w:val="EndnoteReference"/>
          <w:sz w:val="22"/>
          <w:szCs w:val="22"/>
        </w:rPr>
        <w:endnoteRef/>
      </w:r>
      <w:r w:rsidRPr="000C5928">
        <w:rPr>
          <w:sz w:val="22"/>
          <w:szCs w:val="22"/>
        </w:rPr>
        <w:t xml:space="preserve"> APA, </w:t>
      </w:r>
      <w:r w:rsidRPr="000C5928">
        <w:rPr>
          <w:i/>
          <w:iCs/>
          <w:sz w:val="22"/>
          <w:szCs w:val="22"/>
        </w:rPr>
        <w:t>supra</w:t>
      </w:r>
      <w:r w:rsidRPr="000C5928">
        <w:rPr>
          <w:sz w:val="22"/>
          <w:szCs w:val="22"/>
        </w:rPr>
        <w:t xml:space="preserve"> note </w:t>
      </w:r>
      <w:r w:rsidR="00957B12">
        <w:rPr>
          <w:sz w:val="22"/>
          <w:szCs w:val="22"/>
        </w:rPr>
        <w:t>7</w:t>
      </w:r>
      <w:r w:rsidRPr="000C5928">
        <w:rPr>
          <w:sz w:val="22"/>
          <w:szCs w:val="22"/>
        </w:rPr>
        <w:t>.</w:t>
      </w:r>
    </w:p>
  </w:endnote>
  <w:endnote w:id="13">
    <w:p w14:paraId="7F4EAABD" w14:textId="137DF503" w:rsidR="00EB2490" w:rsidRPr="000C5928" w:rsidRDefault="00EB2490" w:rsidP="00EB2490">
      <w:pPr>
        <w:pStyle w:val="EndnoteText"/>
        <w:rPr>
          <w:sz w:val="22"/>
          <w:szCs w:val="22"/>
        </w:rPr>
      </w:pPr>
      <w:r w:rsidRPr="000C5928">
        <w:rPr>
          <w:rStyle w:val="EndnoteReference"/>
          <w:sz w:val="22"/>
          <w:szCs w:val="22"/>
        </w:rPr>
        <w:endnoteRef/>
      </w:r>
      <w:r w:rsidRPr="000C5928">
        <w:rPr>
          <w:sz w:val="22"/>
          <w:szCs w:val="22"/>
        </w:rPr>
        <w:t xml:space="preserve"> APA, </w:t>
      </w:r>
      <w:r w:rsidRPr="000C5928">
        <w:rPr>
          <w:i/>
          <w:iCs/>
          <w:sz w:val="22"/>
          <w:szCs w:val="22"/>
        </w:rPr>
        <w:t xml:space="preserve">supra </w:t>
      </w:r>
      <w:r w:rsidRPr="000C5928">
        <w:rPr>
          <w:sz w:val="22"/>
          <w:szCs w:val="22"/>
        </w:rPr>
        <w:t xml:space="preserve">note </w:t>
      </w:r>
      <w:r w:rsidR="00957B12">
        <w:rPr>
          <w:sz w:val="22"/>
          <w:szCs w:val="22"/>
        </w:rPr>
        <w:t>9</w:t>
      </w:r>
      <w:r w:rsidRPr="000C5928">
        <w:rPr>
          <w:sz w:val="22"/>
          <w:szCs w:val="22"/>
        </w:rPr>
        <w:t>.</w:t>
      </w:r>
    </w:p>
  </w:endnote>
  <w:endnote w:id="14">
    <w:p w14:paraId="07F91384" w14:textId="4D40E156" w:rsidR="00EB2490" w:rsidRPr="00535E64" w:rsidRDefault="00EB2490" w:rsidP="00EB2490">
      <w:pPr>
        <w:spacing w:after="0" w:line="240" w:lineRule="auto"/>
        <w:rPr>
          <w:bCs/>
          <w:color w:val="000000" w:themeColor="text1"/>
        </w:rPr>
      </w:pPr>
      <w:r>
        <w:rPr>
          <w:rStyle w:val="EndnoteReference"/>
        </w:rPr>
        <w:endnoteRef/>
      </w:r>
      <w:r>
        <w:t xml:space="preserve"> </w:t>
      </w:r>
      <w:r w:rsidR="00E06F9C">
        <w:t xml:space="preserve">CMS, </w:t>
      </w:r>
      <w:r w:rsidR="00E06F9C" w:rsidRPr="00E06F9C">
        <w:rPr>
          <w:bCs/>
          <w:i/>
          <w:iCs/>
          <w:color w:val="000000" w:themeColor="text1"/>
        </w:rPr>
        <w:t>supra</w:t>
      </w:r>
      <w:r w:rsidR="00E06F9C" w:rsidRPr="00E06F9C">
        <w:rPr>
          <w:bCs/>
          <w:color w:val="000000" w:themeColor="text1"/>
        </w:rPr>
        <w:t xml:space="preserve"> note 1</w:t>
      </w:r>
      <w:r w:rsidR="00E06F9C">
        <w:rPr>
          <w:bCs/>
          <w:color w:val="000000" w:themeColor="text1"/>
        </w:rPr>
        <w:t>0</w:t>
      </w:r>
      <w:r w:rsidR="00E06F9C" w:rsidRPr="00E06F9C">
        <w:rPr>
          <w:bCs/>
          <w:color w:val="000000" w:themeColor="text1"/>
        </w:rPr>
        <w:t>.</w:t>
      </w:r>
    </w:p>
  </w:endnote>
  <w:endnote w:id="15">
    <w:p w14:paraId="796E765B" w14:textId="7A5C2B72" w:rsidR="00EB2490" w:rsidRPr="00B430F4" w:rsidRDefault="00EB2490" w:rsidP="00EB2490">
      <w:pPr>
        <w:spacing w:after="0" w:line="240" w:lineRule="auto"/>
        <w:rPr>
          <w:bCs/>
          <w:color w:val="000000" w:themeColor="text1"/>
        </w:rPr>
      </w:pPr>
      <w:r>
        <w:rPr>
          <w:rStyle w:val="EndnoteReference"/>
        </w:rPr>
        <w:endnoteRef/>
      </w:r>
      <w:r>
        <w:t xml:space="preserve"> </w:t>
      </w:r>
      <w:r w:rsidRPr="000C5928">
        <w:t xml:space="preserve">SAMHSA, </w:t>
      </w:r>
      <w:r w:rsidRPr="000C5928">
        <w:rPr>
          <w:i/>
          <w:iCs/>
        </w:rPr>
        <w:t>supra</w:t>
      </w:r>
      <w:r w:rsidRPr="000C5928">
        <w:t xml:space="preserve"> note </w:t>
      </w:r>
      <w:r w:rsidR="00957B12">
        <w:t>8</w:t>
      </w:r>
      <w:r w:rsidRPr="000C5928">
        <w:t>.</w:t>
      </w:r>
    </w:p>
  </w:endnote>
  <w:endnote w:id="16">
    <w:p w14:paraId="1DBF853C" w14:textId="1FE81C2A" w:rsidR="00EB2490" w:rsidRPr="00AE51B6" w:rsidRDefault="00EB2490" w:rsidP="00EB2490">
      <w:pPr>
        <w:spacing w:after="0" w:line="240" w:lineRule="auto"/>
        <w:rPr>
          <w:bCs/>
          <w:color w:val="000000" w:themeColor="text1"/>
        </w:rPr>
      </w:pPr>
      <w:r>
        <w:rPr>
          <w:rStyle w:val="EndnoteReference"/>
        </w:rPr>
        <w:endnoteRef/>
      </w:r>
      <w:r>
        <w:t xml:space="preserve"> </w:t>
      </w:r>
      <w:r w:rsidRPr="000C5928">
        <w:t xml:space="preserve">LOCUS, </w:t>
      </w:r>
      <w:r w:rsidRPr="000C5928">
        <w:rPr>
          <w:i/>
          <w:iCs/>
        </w:rPr>
        <w:t xml:space="preserve">supra </w:t>
      </w:r>
      <w:r w:rsidRPr="000C5928">
        <w:t xml:space="preserve">note </w:t>
      </w:r>
      <w:r w:rsidR="00957B12">
        <w:t>4</w:t>
      </w:r>
      <w:r w:rsidRPr="000C5928">
        <w:t>.</w:t>
      </w:r>
    </w:p>
  </w:endnote>
  <w:endnote w:id="17">
    <w:p w14:paraId="57671228" w14:textId="77777777" w:rsidR="00EB2490" w:rsidRPr="00A22DB2" w:rsidRDefault="00EB2490" w:rsidP="00EB2490">
      <w:pPr>
        <w:spacing w:after="0" w:line="240" w:lineRule="auto"/>
        <w:rPr>
          <w:bCs/>
          <w:color w:val="000000" w:themeColor="text1"/>
        </w:rPr>
      </w:pPr>
      <w:r>
        <w:rPr>
          <w:rStyle w:val="EndnoteReference"/>
        </w:rPr>
        <w:endnoteRef/>
      </w:r>
      <w:r>
        <w:t xml:space="preserve"> </w:t>
      </w:r>
      <w:r w:rsidRPr="00214660">
        <w:rPr>
          <w:bCs/>
          <w:color w:val="000000" w:themeColor="text1"/>
        </w:rPr>
        <w:t>Plakun, E.M. (2019). Psychotherapy and advocacy: Four freedoms as fundamental patient rights. </w:t>
      </w:r>
      <w:r w:rsidRPr="00214660">
        <w:rPr>
          <w:bCs/>
          <w:i/>
          <w:iCs/>
          <w:color w:val="000000" w:themeColor="text1"/>
        </w:rPr>
        <w:t>Journal of Psychiatric Practice,</w:t>
      </w:r>
      <w:r w:rsidRPr="00214660">
        <w:rPr>
          <w:bCs/>
          <w:color w:val="000000" w:themeColor="text1"/>
        </w:rPr>
        <w:t> </w:t>
      </w:r>
      <w:r w:rsidRPr="00214660">
        <w:rPr>
          <w:bCs/>
          <w:i/>
          <w:iCs/>
          <w:color w:val="000000" w:themeColor="text1"/>
        </w:rPr>
        <w:t>25</w:t>
      </w:r>
      <w:r w:rsidRPr="00214660">
        <w:rPr>
          <w:bCs/>
          <w:color w:val="000000" w:themeColor="text1"/>
        </w:rPr>
        <w:t>(2), 128-131. doi:10.1097/PRA.0000000000000366</w:t>
      </w:r>
    </w:p>
  </w:endnote>
  <w:endnote w:id="18">
    <w:p w14:paraId="28306DB0" w14:textId="12CC8787" w:rsidR="00EB2490" w:rsidRPr="00A22DB2" w:rsidRDefault="00EB2490" w:rsidP="00EB2490">
      <w:pPr>
        <w:spacing w:after="0" w:line="240" w:lineRule="auto"/>
        <w:rPr>
          <w:bCs/>
          <w:color w:val="000000" w:themeColor="text1"/>
        </w:rPr>
      </w:pPr>
      <w:r>
        <w:rPr>
          <w:rStyle w:val="EndnoteReference"/>
        </w:rPr>
        <w:endnoteRef/>
      </w:r>
      <w:r>
        <w:t xml:space="preserve"> </w:t>
      </w:r>
      <w:r w:rsidRPr="000C5928">
        <w:t xml:space="preserve">ASAM, </w:t>
      </w:r>
      <w:r w:rsidRPr="000C5928">
        <w:rPr>
          <w:i/>
          <w:iCs/>
        </w:rPr>
        <w:t>supra</w:t>
      </w:r>
      <w:r w:rsidRPr="000C5928">
        <w:t xml:space="preserve"> note </w:t>
      </w:r>
      <w:r w:rsidR="00957B12">
        <w:t>6</w:t>
      </w:r>
      <w:r w:rsidRPr="000C5928">
        <w:t>.</w:t>
      </w:r>
    </w:p>
  </w:endnote>
  <w:endnote w:id="19">
    <w:p w14:paraId="64ECB4A7" w14:textId="4E45E26B" w:rsidR="00EB2490" w:rsidRPr="008B3BC0" w:rsidRDefault="00EB2490" w:rsidP="00EB2490">
      <w:pPr>
        <w:spacing w:after="0" w:line="240" w:lineRule="auto"/>
        <w:rPr>
          <w:bCs/>
          <w:color w:val="000000" w:themeColor="text1"/>
        </w:rPr>
      </w:pPr>
      <w:r>
        <w:rPr>
          <w:rStyle w:val="EndnoteReference"/>
        </w:rPr>
        <w:endnoteRef/>
      </w:r>
      <w:r>
        <w:t xml:space="preserve"> </w:t>
      </w:r>
      <w:r w:rsidR="00957B12" w:rsidRPr="00957B12">
        <w:rPr>
          <w:bCs/>
          <w:color w:val="000000" w:themeColor="text1"/>
        </w:rPr>
        <w:t xml:space="preserve">Lazar, </w:t>
      </w:r>
      <w:r w:rsidR="00957B12" w:rsidRPr="00957B12">
        <w:rPr>
          <w:bCs/>
          <w:i/>
          <w:iCs/>
          <w:color w:val="000000" w:themeColor="text1"/>
        </w:rPr>
        <w:t>supra</w:t>
      </w:r>
      <w:r w:rsidR="00957B12" w:rsidRPr="00957B12">
        <w:rPr>
          <w:bCs/>
          <w:color w:val="000000" w:themeColor="text1"/>
        </w:rPr>
        <w:t xml:space="preserve"> note</w:t>
      </w:r>
      <w:r w:rsidR="00957B12">
        <w:rPr>
          <w:bCs/>
          <w:color w:val="000000" w:themeColor="text1"/>
        </w:rPr>
        <w:t xml:space="preserve"> 11.</w:t>
      </w:r>
    </w:p>
  </w:endnote>
  <w:endnote w:id="20">
    <w:p w14:paraId="67DB61F4" w14:textId="2E6B9BC4" w:rsidR="00EB2490" w:rsidRPr="00535E64" w:rsidRDefault="00EB2490" w:rsidP="00EB2490">
      <w:pPr>
        <w:spacing w:after="0" w:line="240" w:lineRule="auto"/>
        <w:rPr>
          <w:bCs/>
          <w:color w:val="000000" w:themeColor="text1"/>
        </w:rPr>
      </w:pPr>
      <w:r>
        <w:rPr>
          <w:rStyle w:val="EndnoteReference"/>
        </w:rPr>
        <w:endnoteRef/>
      </w:r>
      <w:r>
        <w:t xml:space="preserve"> </w:t>
      </w:r>
      <w:r w:rsidRPr="000C5928">
        <w:t xml:space="preserve">LOCUS, </w:t>
      </w:r>
      <w:r w:rsidRPr="000C5928">
        <w:rPr>
          <w:i/>
          <w:iCs/>
        </w:rPr>
        <w:t xml:space="preserve">supra </w:t>
      </w:r>
      <w:r w:rsidRPr="000C5928">
        <w:t xml:space="preserve">note </w:t>
      </w:r>
      <w:r w:rsidR="00BB50D9">
        <w:t>4</w:t>
      </w:r>
      <w:r w:rsidRPr="000C592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0931948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D21C6FE" w14:textId="31BFBC13" w:rsidR="00BA1740" w:rsidRPr="00BA1740" w:rsidRDefault="00BA1740">
            <w:pPr>
              <w:pStyle w:val="Footer"/>
              <w:jc w:val="right"/>
              <w:rPr>
                <w:sz w:val="20"/>
                <w:szCs w:val="20"/>
              </w:rPr>
            </w:pPr>
            <w:r w:rsidRPr="00BA1740">
              <w:rPr>
                <w:sz w:val="20"/>
                <w:szCs w:val="20"/>
              </w:rPr>
              <w:t xml:space="preserve">Page </w:t>
            </w:r>
            <w:r w:rsidRPr="00BA1740">
              <w:rPr>
                <w:sz w:val="20"/>
                <w:szCs w:val="20"/>
              </w:rPr>
              <w:fldChar w:fldCharType="begin"/>
            </w:r>
            <w:r w:rsidRPr="00BA1740">
              <w:rPr>
                <w:sz w:val="20"/>
                <w:szCs w:val="20"/>
              </w:rPr>
              <w:instrText xml:space="preserve"> PAGE </w:instrText>
            </w:r>
            <w:r w:rsidRPr="00BA1740">
              <w:rPr>
                <w:sz w:val="20"/>
                <w:szCs w:val="20"/>
              </w:rPr>
              <w:fldChar w:fldCharType="separate"/>
            </w:r>
            <w:r w:rsidRPr="00BA1740">
              <w:rPr>
                <w:noProof/>
                <w:sz w:val="20"/>
                <w:szCs w:val="20"/>
              </w:rPr>
              <w:t>2</w:t>
            </w:r>
            <w:r w:rsidRPr="00BA1740">
              <w:rPr>
                <w:sz w:val="20"/>
                <w:szCs w:val="20"/>
              </w:rPr>
              <w:fldChar w:fldCharType="end"/>
            </w:r>
            <w:r w:rsidRPr="00BA1740">
              <w:rPr>
                <w:sz w:val="20"/>
                <w:szCs w:val="20"/>
              </w:rPr>
              <w:t xml:space="preserve"> of </w:t>
            </w:r>
            <w:r w:rsidRPr="00BA1740">
              <w:rPr>
                <w:sz w:val="20"/>
                <w:szCs w:val="20"/>
              </w:rPr>
              <w:fldChar w:fldCharType="begin"/>
            </w:r>
            <w:r w:rsidRPr="00BA1740">
              <w:rPr>
                <w:sz w:val="20"/>
                <w:szCs w:val="20"/>
              </w:rPr>
              <w:instrText xml:space="preserve"> NUMPAGES  </w:instrText>
            </w:r>
            <w:r w:rsidRPr="00BA1740">
              <w:rPr>
                <w:sz w:val="20"/>
                <w:szCs w:val="20"/>
              </w:rPr>
              <w:fldChar w:fldCharType="separate"/>
            </w:r>
            <w:r w:rsidRPr="00BA1740">
              <w:rPr>
                <w:noProof/>
                <w:sz w:val="20"/>
                <w:szCs w:val="20"/>
              </w:rPr>
              <w:t>2</w:t>
            </w:r>
            <w:r w:rsidRPr="00BA1740">
              <w:rPr>
                <w:sz w:val="20"/>
                <w:szCs w:val="20"/>
              </w:rPr>
              <w:fldChar w:fldCharType="end"/>
            </w:r>
          </w:p>
        </w:sdtContent>
      </w:sdt>
    </w:sdtContent>
  </w:sdt>
  <w:p w14:paraId="4934B2CC" w14:textId="77777777" w:rsidR="00BA1740" w:rsidRDefault="00BA1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B9CC" w14:textId="77777777" w:rsidR="006770E5" w:rsidRDefault="006770E5" w:rsidP="006A6AB2">
      <w:pPr>
        <w:spacing w:after="0" w:line="240" w:lineRule="auto"/>
      </w:pPr>
      <w:r>
        <w:separator/>
      </w:r>
    </w:p>
  </w:footnote>
  <w:footnote w:type="continuationSeparator" w:id="0">
    <w:p w14:paraId="0C855BF4" w14:textId="77777777" w:rsidR="006770E5" w:rsidRDefault="006770E5" w:rsidP="006A6AB2">
      <w:pPr>
        <w:spacing w:after="0" w:line="240" w:lineRule="auto"/>
      </w:pPr>
      <w:r>
        <w:continuationSeparator/>
      </w:r>
    </w:p>
  </w:footnote>
  <w:footnote w:id="1">
    <w:p w14:paraId="581F1192" w14:textId="02247419" w:rsidR="001146CB" w:rsidRDefault="001146CB" w:rsidP="001146CB">
      <w:pPr>
        <w:pStyle w:val="FootnoteText"/>
      </w:pPr>
      <w:r>
        <w:rPr>
          <w:rStyle w:val="FootnoteReference"/>
        </w:rPr>
        <w:footnoteRef/>
      </w:r>
      <w:r>
        <w:t xml:space="preserve"> </w:t>
      </w:r>
      <w:r w:rsidR="001624B2" w:rsidRPr="001624B2">
        <w:t>Cite publications (or other relevant qualifications), as appropriate</w:t>
      </w:r>
    </w:p>
  </w:footnote>
  <w:footnote w:id="2">
    <w:p w14:paraId="2C86CB25" w14:textId="77777777" w:rsidR="006E00EB" w:rsidRPr="00B43804" w:rsidRDefault="006E00EB" w:rsidP="006E00EB">
      <w:pPr>
        <w:pStyle w:val="FootnoteText"/>
      </w:pPr>
      <w:r w:rsidRPr="00B43804">
        <w:rPr>
          <w:rStyle w:val="FootnoteReference"/>
        </w:rPr>
        <w:footnoteRef/>
      </w:r>
      <w:r w:rsidRPr="00B43804">
        <w:t xml:space="preserve"> You may elect to include a statement regarding any applicable laws pertaining to the state where the patient’s insurance policy was written. ParityTrack, which partners with the Kennedy Forum, among other groups, is a helpful resource: https://www.paritytrack.org/reports/ </w:t>
      </w:r>
    </w:p>
  </w:footnote>
  <w:footnote w:id="3">
    <w:p w14:paraId="160942EA" w14:textId="773924F6" w:rsidR="006E00EB" w:rsidRPr="005B0822" w:rsidRDefault="006E00EB" w:rsidP="006E00EB">
      <w:pPr>
        <w:pStyle w:val="FootnoteText"/>
        <w:rPr>
          <w:color w:val="4472C4" w:themeColor="accent1"/>
        </w:rPr>
      </w:pPr>
      <w:r w:rsidRPr="00B43804">
        <w:rPr>
          <w:rStyle w:val="FootnoteReference"/>
        </w:rPr>
        <w:footnoteRef/>
      </w:r>
      <w:r w:rsidRPr="00B43804">
        <w:t xml:space="preserve"> </w:t>
      </w:r>
      <w:r w:rsidR="007C146F" w:rsidRPr="007C146F">
        <w:t xml:space="preserve">As applicable, you may wish to include the Plan’s definition of “medical necessity.”  Many plans require medical necessity to be determined under “generally accepted standards of care.”  Your patient can obtain this information by reviewing their full Policy (sometimes referred to as the </w:t>
      </w:r>
      <w:r w:rsidR="007C146F" w:rsidRPr="007C146F">
        <w:rPr>
          <w:i/>
          <w:iCs/>
        </w:rPr>
        <w:t>Subscriber Certificate and Riders</w:t>
      </w:r>
      <w:r w:rsidR="007C146F" w:rsidRPr="007C146F">
        <w:t xml:space="preserve"> or </w:t>
      </w:r>
      <w:r w:rsidR="007C146F" w:rsidRPr="007C146F">
        <w:rPr>
          <w:i/>
          <w:iCs/>
        </w:rPr>
        <w:t>Certificate of Coverage</w:t>
      </w:r>
      <w:r w:rsidR="007C146F" w:rsidRPr="007C146F">
        <w:t>).</w:t>
      </w:r>
    </w:p>
  </w:footnote>
  <w:footnote w:id="4">
    <w:p w14:paraId="1C982EA0" w14:textId="77777777" w:rsidR="005B0822" w:rsidRDefault="005B0822" w:rsidP="005B0822">
      <w:pPr>
        <w:pStyle w:val="FootnoteText"/>
      </w:pPr>
      <w:r>
        <w:rPr>
          <w:rStyle w:val="FootnoteReference"/>
        </w:rPr>
        <w:footnoteRef/>
      </w:r>
      <w:r>
        <w:t xml:space="preserve"> On May 6, 2021, </w:t>
      </w:r>
      <w:r w:rsidRPr="008F1CA1">
        <w:t>The National Council for Behavioral Health changed its name to the National Council for Mental Wellbeing </w:t>
      </w:r>
      <w:r>
        <w:t xml:space="preserve"> </w:t>
      </w:r>
    </w:p>
  </w:footnote>
  <w:footnote w:id="5">
    <w:p w14:paraId="007C7CFD" w14:textId="03D8F0CA" w:rsidR="004957F3" w:rsidRDefault="009F5A49">
      <w:pPr>
        <w:pStyle w:val="FootnoteText"/>
      </w:pPr>
      <w:r>
        <w:rPr>
          <w:rStyle w:val="FootnoteReference"/>
        </w:rPr>
        <w:footnoteRef/>
      </w:r>
      <w:r>
        <w:t xml:space="preserve"> </w:t>
      </w:r>
      <w:r w:rsidR="004957F3">
        <w:t xml:space="preserve">If you are interested in pursuing LOCUS training, see </w:t>
      </w:r>
      <w:hyperlink r:id="rId1" w:history="1">
        <w:r w:rsidR="004957F3" w:rsidRPr="002C18D0">
          <w:rPr>
            <w:rStyle w:val="Hyperlink"/>
          </w:rPr>
          <w:t>https://deerfieldsolutions.com/training</w:t>
        </w:r>
      </w:hyperlink>
      <w:r w:rsidR="00E2117E">
        <w:t xml:space="preserve">; </w:t>
      </w:r>
      <w:r w:rsidR="004957F3">
        <w:t xml:space="preserve">For electronic LOCUS scoring options, see </w:t>
      </w:r>
      <w:hyperlink r:id="rId2" w:history="1">
        <w:r w:rsidR="004957F3" w:rsidRPr="002C18D0">
          <w:rPr>
            <w:rStyle w:val="Hyperlink"/>
          </w:rPr>
          <w:t>https://deerfieldsolutions.com/licensing</w:t>
        </w:r>
      </w:hyperlink>
      <w:r w:rsidR="004957F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1E5C"/>
    <w:multiLevelType w:val="hybridMultilevel"/>
    <w:tmpl w:val="E0665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20A21"/>
    <w:rsid w:val="00005CEC"/>
    <w:rsid w:val="000326B1"/>
    <w:rsid w:val="0009438A"/>
    <w:rsid w:val="000949D3"/>
    <w:rsid w:val="000C3ED7"/>
    <w:rsid w:val="000C6B31"/>
    <w:rsid w:val="000C76E9"/>
    <w:rsid w:val="000D248C"/>
    <w:rsid w:val="000E621B"/>
    <w:rsid w:val="001146CB"/>
    <w:rsid w:val="00114763"/>
    <w:rsid w:val="001564EA"/>
    <w:rsid w:val="001624B2"/>
    <w:rsid w:val="00190CA3"/>
    <w:rsid w:val="001A5F41"/>
    <w:rsid w:val="001B38F1"/>
    <w:rsid w:val="001E222E"/>
    <w:rsid w:val="001E62AA"/>
    <w:rsid w:val="00205888"/>
    <w:rsid w:val="00213AAD"/>
    <w:rsid w:val="00222ED1"/>
    <w:rsid w:val="002D5776"/>
    <w:rsid w:val="00310BBB"/>
    <w:rsid w:val="00320EC0"/>
    <w:rsid w:val="0039392E"/>
    <w:rsid w:val="003C6AE8"/>
    <w:rsid w:val="003F113F"/>
    <w:rsid w:val="0040352E"/>
    <w:rsid w:val="0042468E"/>
    <w:rsid w:val="004957F3"/>
    <w:rsid w:val="004E3E31"/>
    <w:rsid w:val="004F7DED"/>
    <w:rsid w:val="00573D67"/>
    <w:rsid w:val="005A5613"/>
    <w:rsid w:val="005B0822"/>
    <w:rsid w:val="005C077B"/>
    <w:rsid w:val="00651080"/>
    <w:rsid w:val="006526F1"/>
    <w:rsid w:val="0066706E"/>
    <w:rsid w:val="00674496"/>
    <w:rsid w:val="006770E5"/>
    <w:rsid w:val="006925DD"/>
    <w:rsid w:val="006952C0"/>
    <w:rsid w:val="0069740A"/>
    <w:rsid w:val="006A6AB2"/>
    <w:rsid w:val="006D6E46"/>
    <w:rsid w:val="006E00EB"/>
    <w:rsid w:val="006F25B8"/>
    <w:rsid w:val="00720BBC"/>
    <w:rsid w:val="00721B42"/>
    <w:rsid w:val="0073294B"/>
    <w:rsid w:val="0075327E"/>
    <w:rsid w:val="00766692"/>
    <w:rsid w:val="00775616"/>
    <w:rsid w:val="007B5D18"/>
    <w:rsid w:val="007C146F"/>
    <w:rsid w:val="007D5CC9"/>
    <w:rsid w:val="007E0A84"/>
    <w:rsid w:val="007F08B3"/>
    <w:rsid w:val="007F4CF7"/>
    <w:rsid w:val="00812B97"/>
    <w:rsid w:val="00815130"/>
    <w:rsid w:val="0083760B"/>
    <w:rsid w:val="0084172A"/>
    <w:rsid w:val="008467D8"/>
    <w:rsid w:val="008711AC"/>
    <w:rsid w:val="00895BEA"/>
    <w:rsid w:val="008C0127"/>
    <w:rsid w:val="008D096E"/>
    <w:rsid w:val="008F4884"/>
    <w:rsid w:val="00900794"/>
    <w:rsid w:val="00920A21"/>
    <w:rsid w:val="009338A9"/>
    <w:rsid w:val="009546AF"/>
    <w:rsid w:val="00957B12"/>
    <w:rsid w:val="0097516F"/>
    <w:rsid w:val="00986DAF"/>
    <w:rsid w:val="009C0687"/>
    <w:rsid w:val="009E5B1E"/>
    <w:rsid w:val="009F5A49"/>
    <w:rsid w:val="00A04D4B"/>
    <w:rsid w:val="00A46267"/>
    <w:rsid w:val="00A5154A"/>
    <w:rsid w:val="00A57332"/>
    <w:rsid w:val="00A812A7"/>
    <w:rsid w:val="00AA5393"/>
    <w:rsid w:val="00AB69A9"/>
    <w:rsid w:val="00AD5E14"/>
    <w:rsid w:val="00AE2572"/>
    <w:rsid w:val="00B00D12"/>
    <w:rsid w:val="00B33DA3"/>
    <w:rsid w:val="00B36496"/>
    <w:rsid w:val="00B43804"/>
    <w:rsid w:val="00B666ED"/>
    <w:rsid w:val="00B70B37"/>
    <w:rsid w:val="00B97817"/>
    <w:rsid w:val="00BA1740"/>
    <w:rsid w:val="00BA5F80"/>
    <w:rsid w:val="00BB50D9"/>
    <w:rsid w:val="00BD63C7"/>
    <w:rsid w:val="00BF4D2B"/>
    <w:rsid w:val="00C012D1"/>
    <w:rsid w:val="00C673E6"/>
    <w:rsid w:val="00C82F33"/>
    <w:rsid w:val="00C94921"/>
    <w:rsid w:val="00CE384D"/>
    <w:rsid w:val="00CE57E5"/>
    <w:rsid w:val="00D2374B"/>
    <w:rsid w:val="00D248B3"/>
    <w:rsid w:val="00D27760"/>
    <w:rsid w:val="00D7790E"/>
    <w:rsid w:val="00D902E5"/>
    <w:rsid w:val="00DA0452"/>
    <w:rsid w:val="00DB1095"/>
    <w:rsid w:val="00DB1F15"/>
    <w:rsid w:val="00DE2C98"/>
    <w:rsid w:val="00E06F9C"/>
    <w:rsid w:val="00E2117E"/>
    <w:rsid w:val="00E46628"/>
    <w:rsid w:val="00E7665A"/>
    <w:rsid w:val="00E82C55"/>
    <w:rsid w:val="00E96293"/>
    <w:rsid w:val="00EB2490"/>
    <w:rsid w:val="00ED18AC"/>
    <w:rsid w:val="00EE3C18"/>
    <w:rsid w:val="00F12225"/>
    <w:rsid w:val="00F36B40"/>
    <w:rsid w:val="00F51399"/>
    <w:rsid w:val="00F65E3C"/>
    <w:rsid w:val="00FA7B0A"/>
    <w:rsid w:val="00FE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3803"/>
  <w15:chartTrackingRefBased/>
  <w15:docId w15:val="{1CEB5F47-1993-4338-9786-78CA1DD8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6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AB2"/>
    <w:rPr>
      <w:sz w:val="20"/>
      <w:szCs w:val="20"/>
    </w:rPr>
  </w:style>
  <w:style w:type="character" w:styleId="FootnoteReference">
    <w:name w:val="footnote reference"/>
    <w:basedOn w:val="DefaultParagraphFont"/>
    <w:uiPriority w:val="99"/>
    <w:semiHidden/>
    <w:unhideWhenUsed/>
    <w:rsid w:val="006A6AB2"/>
    <w:rPr>
      <w:vertAlign w:val="superscript"/>
    </w:rPr>
  </w:style>
  <w:style w:type="paragraph" w:styleId="EndnoteText">
    <w:name w:val="endnote text"/>
    <w:basedOn w:val="Normal"/>
    <w:link w:val="EndnoteTextChar"/>
    <w:uiPriority w:val="99"/>
    <w:semiHidden/>
    <w:unhideWhenUsed/>
    <w:rsid w:val="005B0822"/>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5B0822"/>
    <w:rPr>
      <w:rFonts w:eastAsia="Times New Roman"/>
      <w:sz w:val="20"/>
      <w:szCs w:val="20"/>
    </w:rPr>
  </w:style>
  <w:style w:type="character" w:styleId="EndnoteReference">
    <w:name w:val="endnote reference"/>
    <w:basedOn w:val="DefaultParagraphFont"/>
    <w:uiPriority w:val="99"/>
    <w:semiHidden/>
    <w:unhideWhenUsed/>
    <w:rsid w:val="005B0822"/>
    <w:rPr>
      <w:vertAlign w:val="superscript"/>
    </w:rPr>
  </w:style>
  <w:style w:type="paragraph" w:styleId="Header">
    <w:name w:val="header"/>
    <w:basedOn w:val="Normal"/>
    <w:link w:val="HeaderChar"/>
    <w:uiPriority w:val="99"/>
    <w:unhideWhenUsed/>
    <w:rsid w:val="00BA1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740"/>
  </w:style>
  <w:style w:type="paragraph" w:styleId="Footer">
    <w:name w:val="footer"/>
    <w:basedOn w:val="Normal"/>
    <w:link w:val="FooterChar"/>
    <w:uiPriority w:val="99"/>
    <w:unhideWhenUsed/>
    <w:rsid w:val="00BA1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740"/>
  </w:style>
  <w:style w:type="paragraph" w:styleId="ListParagraph">
    <w:name w:val="List Paragraph"/>
    <w:basedOn w:val="Normal"/>
    <w:uiPriority w:val="34"/>
    <w:qFormat/>
    <w:rsid w:val="008467D8"/>
    <w:pPr>
      <w:ind w:left="720"/>
      <w:contextualSpacing/>
    </w:pPr>
  </w:style>
  <w:style w:type="character" w:styleId="Hyperlink">
    <w:name w:val="Hyperlink"/>
    <w:basedOn w:val="DefaultParagraphFont"/>
    <w:uiPriority w:val="99"/>
    <w:unhideWhenUsed/>
    <w:rsid w:val="004957F3"/>
    <w:rPr>
      <w:color w:val="0563C1" w:themeColor="hyperlink"/>
      <w:u w:val="single"/>
    </w:rPr>
  </w:style>
  <w:style w:type="character" w:styleId="UnresolvedMention">
    <w:name w:val="Unresolved Mention"/>
    <w:basedOn w:val="DefaultParagraphFont"/>
    <w:uiPriority w:val="99"/>
    <w:semiHidden/>
    <w:unhideWhenUsed/>
    <w:rsid w:val="00495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eerfieldsolutions.com/licensing" TargetMode="External"/><Relationship Id="rId1" Type="http://schemas.openxmlformats.org/officeDocument/2006/relationships/hyperlink" Target="https://deerfieldsolutions.com/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8A1AA7EE57CE4C8BF5A2640BE58742" ma:contentTypeVersion="16" ma:contentTypeDescription="Create a new document." ma:contentTypeScope="" ma:versionID="f8291e5d8446fc38071fb61f8f1844ec">
  <xsd:schema xmlns:xsd="http://www.w3.org/2001/XMLSchema" xmlns:xs="http://www.w3.org/2001/XMLSchema" xmlns:p="http://schemas.microsoft.com/office/2006/metadata/properties" xmlns:ns2="97e7e814-9c0d-49ca-90ac-2c022dc1a8f1" xmlns:ns3="72073ce4-0586-42cb-8c4d-ba2f7afe5caa" targetNamespace="http://schemas.microsoft.com/office/2006/metadata/properties" ma:root="true" ma:fieldsID="ed671f222076f8cdd010e466085f0a4b" ns2:_="" ns3:_="">
    <xsd:import namespace="97e7e814-9c0d-49ca-90ac-2c022dc1a8f1"/>
    <xsd:import namespace="72073ce4-0586-42cb-8c4d-ba2f7afe5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814-9c0d-49ca-90ac-2c022dc1a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bfda5c-7e40-4da9-a303-cc8f6616f8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73ce4-0586-42cb-8c4d-ba2f7afe5c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775d71-76ed-4ef9-ab55-9178cd0c87c3}" ma:internalName="TaxCatchAll" ma:showField="CatchAllData" ma:web="72073ce4-0586-42cb-8c4d-ba2f7afe5c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073ce4-0586-42cb-8c4d-ba2f7afe5caa" xsi:nil="true"/>
    <lcf76f155ced4ddcb4097134ff3c332f xmlns="97e7e814-9c0d-49ca-90ac-2c022dc1a8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6319F3-289E-4EB7-8F8A-3D55A285431F}">
  <ds:schemaRefs>
    <ds:schemaRef ds:uri="http://schemas.openxmlformats.org/officeDocument/2006/bibliography"/>
  </ds:schemaRefs>
</ds:datastoreItem>
</file>

<file path=customXml/itemProps2.xml><?xml version="1.0" encoding="utf-8"?>
<ds:datastoreItem xmlns:ds="http://schemas.openxmlformats.org/officeDocument/2006/customXml" ds:itemID="{F8AAE2AA-1299-4F76-8B3A-D7D00D21EE35}"/>
</file>

<file path=customXml/itemProps3.xml><?xml version="1.0" encoding="utf-8"?>
<ds:datastoreItem xmlns:ds="http://schemas.openxmlformats.org/officeDocument/2006/customXml" ds:itemID="{CE1D5EBE-1376-4E3D-8932-F3F576C9411A}"/>
</file>

<file path=customXml/itemProps4.xml><?xml version="1.0" encoding="utf-8"?>
<ds:datastoreItem xmlns:ds="http://schemas.openxmlformats.org/officeDocument/2006/customXml" ds:itemID="{D25C3B30-FDF1-4D2E-87E8-FDB80BEE499F}"/>
</file>

<file path=docProps/app.xml><?xml version="1.0" encoding="utf-8"?>
<Properties xmlns="http://schemas.openxmlformats.org/officeDocument/2006/extended-properties" xmlns:vt="http://schemas.openxmlformats.org/officeDocument/2006/docPropsVTypes">
  <Template>Normal</Template>
  <TotalTime>468</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Austen Riggs Center</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Kate</dc:creator>
  <cp:keywords/>
  <dc:description/>
  <cp:lastModifiedBy>Gallagher, Kate</cp:lastModifiedBy>
  <cp:revision>122</cp:revision>
  <dcterms:created xsi:type="dcterms:W3CDTF">2022-08-24T20:49:00Z</dcterms:created>
  <dcterms:modified xsi:type="dcterms:W3CDTF">2022-08-27T18:10:00Z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0x010100B88A1AA7EE57CE4C8BF5A2640BE58742</vt:lpwstr>
  </property>
</Properties>
</file>