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330BD36" w14:textId="77777777" w:rsidR="00FB25E0" w:rsidRPr="00E32FC2" w:rsidRDefault="00222A34">
      <w:pPr>
        <w:jc w:val="center"/>
        <w:rPr>
          <w:b/>
          <w:sz w:val="28"/>
          <w:szCs w:val="28"/>
          <w:lang w:val="fr-FR"/>
        </w:rPr>
      </w:pPr>
      <w:r w:rsidRPr="00E32FC2">
        <w:rPr>
          <w:b/>
          <w:sz w:val="28"/>
          <w:szCs w:val="28"/>
          <w:lang w:val="fr-FR"/>
        </w:rPr>
        <w:t>INTERNATIONAL ORGANISATION FOR STANDARDISATION</w:t>
      </w:r>
    </w:p>
    <w:p w14:paraId="1FD78EC5" w14:textId="77777777" w:rsidR="00FB25E0" w:rsidRPr="00E32FC2" w:rsidRDefault="00222A34">
      <w:pPr>
        <w:jc w:val="center"/>
        <w:rPr>
          <w:b/>
          <w:sz w:val="28"/>
          <w:lang w:val="fr-FR"/>
        </w:rPr>
      </w:pPr>
      <w:r w:rsidRPr="00E32FC2">
        <w:rPr>
          <w:b/>
          <w:sz w:val="28"/>
          <w:lang w:val="fr-FR"/>
        </w:rPr>
        <w:t>ORGANISATION INTERNATIONALE DE NORMALISATION</w:t>
      </w:r>
    </w:p>
    <w:p w14:paraId="2B8CE05A" w14:textId="77777777" w:rsidR="00FB25E0" w:rsidRDefault="00222A34">
      <w:pPr>
        <w:jc w:val="center"/>
        <w:rPr>
          <w:b/>
          <w:sz w:val="28"/>
        </w:rPr>
      </w:pPr>
      <w:r>
        <w:rPr>
          <w:b/>
          <w:sz w:val="28"/>
        </w:rPr>
        <w:t>ISO/IEC JTC1/SC29/WG11</w:t>
      </w:r>
    </w:p>
    <w:p w14:paraId="5687ACCB" w14:textId="77777777" w:rsidR="00FB25E0" w:rsidRDefault="00222A34">
      <w:pPr>
        <w:jc w:val="center"/>
        <w:rPr>
          <w:b/>
        </w:rPr>
      </w:pPr>
      <w:r>
        <w:rPr>
          <w:b/>
          <w:sz w:val="28"/>
        </w:rPr>
        <w:t>CODING OF MOVING PICTURES AND AUDIO</w:t>
      </w:r>
    </w:p>
    <w:p w14:paraId="2DFCC841" w14:textId="77777777" w:rsidR="00FB25E0" w:rsidRDefault="00FB25E0">
      <w:pPr>
        <w:tabs>
          <w:tab w:val="left" w:pos="5387"/>
        </w:tabs>
        <w:spacing w:line="240" w:lineRule="exact"/>
        <w:jc w:val="center"/>
        <w:rPr>
          <w:b/>
        </w:rPr>
      </w:pPr>
    </w:p>
    <w:p w14:paraId="559B3DA7" w14:textId="29AD4FD9" w:rsidR="00FB25E0" w:rsidRDefault="00BA32F4">
      <w:pPr>
        <w:jc w:val="right"/>
        <w:rPr>
          <w:b/>
        </w:rPr>
      </w:pPr>
      <w:r>
        <w:rPr>
          <w:b/>
        </w:rPr>
        <w:t xml:space="preserve">ISO/IEC JTC1/SC29/WG11 </w:t>
      </w:r>
      <w:r w:rsidRPr="007A746C">
        <w:rPr>
          <w:b/>
        </w:rPr>
        <w:t>MPEG</w:t>
      </w:r>
      <w:r w:rsidR="00222A34" w:rsidRPr="007A746C">
        <w:rPr>
          <w:b/>
        </w:rPr>
        <w:t>/</w:t>
      </w:r>
      <w:r w:rsidR="00A66303">
        <w:rPr>
          <w:b/>
          <w:lang w:eastAsia="ja-JP"/>
        </w:rPr>
        <w:t>m</w:t>
      </w:r>
      <w:r w:rsidR="00A66303">
        <w:rPr>
          <w:b/>
        </w:rPr>
        <w:t>50849</w:t>
      </w:r>
    </w:p>
    <w:p w14:paraId="3F9919EB" w14:textId="1171C313" w:rsidR="00FB25E0" w:rsidRDefault="00460EC7">
      <w:pPr>
        <w:wordWrap w:val="0"/>
        <w:jc w:val="right"/>
        <w:rPr>
          <w:b/>
          <w:lang w:eastAsia="ja-JP"/>
        </w:rPr>
      </w:pPr>
      <w:r>
        <w:rPr>
          <w:b/>
          <w:lang w:eastAsia="ja-JP"/>
        </w:rPr>
        <w:t>October</w:t>
      </w:r>
      <w:r w:rsidR="00BA32F4">
        <w:rPr>
          <w:b/>
          <w:lang w:eastAsia="ja-JP"/>
        </w:rPr>
        <w:t xml:space="preserve"> </w:t>
      </w:r>
      <w:r w:rsidR="00222A34">
        <w:rPr>
          <w:rFonts w:eastAsia="Malgun Gothic"/>
          <w:b/>
        </w:rPr>
        <w:t>201</w:t>
      </w:r>
      <w:r w:rsidR="00BA32F4">
        <w:rPr>
          <w:rFonts w:eastAsia="Malgun Gothic"/>
          <w:b/>
        </w:rPr>
        <w:t>9</w:t>
      </w:r>
      <w:r w:rsidR="00222A34">
        <w:rPr>
          <w:rFonts w:eastAsia="Malgun Gothic"/>
          <w:b/>
        </w:rPr>
        <w:t xml:space="preserve">, </w:t>
      </w:r>
      <w:r w:rsidR="0026051C">
        <w:rPr>
          <w:rFonts w:eastAsia="Malgun Gothic"/>
          <w:b/>
        </w:rPr>
        <w:t>Geneva</w:t>
      </w:r>
      <w:r w:rsidR="00222A34">
        <w:rPr>
          <w:rFonts w:eastAsia="Malgun Gothic"/>
          <w:b/>
        </w:rPr>
        <w:t xml:space="preserve">, </w:t>
      </w:r>
      <w:r w:rsidR="0026051C">
        <w:rPr>
          <w:rFonts w:eastAsia="Malgun Gothic"/>
          <w:b/>
        </w:rPr>
        <w:t>CH</w:t>
      </w:r>
    </w:p>
    <w:p w14:paraId="6F841593" w14:textId="77777777" w:rsidR="00FB25E0" w:rsidRDefault="00FB25E0">
      <w:pPr>
        <w:jc w:val="right"/>
        <w:rPr>
          <w:b/>
          <w:lang w:eastAsia="ja-JP"/>
        </w:rPr>
      </w:pPr>
    </w:p>
    <w:p w14:paraId="393C9400" w14:textId="77777777" w:rsidR="00FB25E0" w:rsidRDefault="00FB25E0">
      <w:pPr>
        <w:jc w:val="right"/>
        <w:rPr>
          <w:b/>
          <w:lang w:eastAsia="ja-JP"/>
        </w:rPr>
      </w:pPr>
    </w:p>
    <w:p w14:paraId="6406978B" w14:textId="77777777" w:rsidR="00FB25E0" w:rsidRPr="00BA32F4" w:rsidRDefault="00FB25E0">
      <w:pPr>
        <w:spacing w:line="240" w:lineRule="exact"/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1076"/>
        <w:gridCol w:w="8279"/>
      </w:tblGrid>
      <w:tr w:rsidR="00FB25E0" w14:paraId="0CC8F7D8" w14:textId="77777777">
        <w:tc>
          <w:tcPr>
            <w:tcW w:w="1080" w:type="dxa"/>
          </w:tcPr>
          <w:p w14:paraId="6BF09DA3" w14:textId="77777777" w:rsidR="00FB25E0" w:rsidRDefault="00222A34">
            <w:pPr>
              <w:suppressAutoHyphens/>
              <w:rPr>
                <w:b/>
              </w:rPr>
            </w:pPr>
            <w:r>
              <w:rPr>
                <w:b/>
              </w:rPr>
              <w:t>Source</w:t>
            </w:r>
          </w:p>
        </w:tc>
        <w:tc>
          <w:tcPr>
            <w:tcW w:w="8491" w:type="dxa"/>
          </w:tcPr>
          <w:p w14:paraId="08DC76DF" w14:textId="4D41061C" w:rsidR="00FB25E0" w:rsidRDefault="007A746C">
            <w:pPr>
              <w:suppressAutoHyphens/>
              <w:rPr>
                <w:b/>
              </w:rPr>
            </w:pPr>
            <w:r>
              <w:rPr>
                <w:b/>
              </w:rPr>
              <w:t>Interdigital</w:t>
            </w:r>
          </w:p>
        </w:tc>
      </w:tr>
      <w:tr w:rsidR="00FB25E0" w14:paraId="45E76578" w14:textId="77777777">
        <w:tc>
          <w:tcPr>
            <w:tcW w:w="1080" w:type="dxa"/>
          </w:tcPr>
          <w:p w14:paraId="14D8E11A" w14:textId="77777777" w:rsidR="00FB25E0" w:rsidRDefault="00222A34">
            <w:pPr>
              <w:suppressAutoHyphens/>
              <w:rPr>
                <w:b/>
              </w:rPr>
            </w:pPr>
            <w:r>
              <w:rPr>
                <w:b/>
              </w:rPr>
              <w:t>Status</w:t>
            </w:r>
          </w:p>
        </w:tc>
        <w:tc>
          <w:tcPr>
            <w:tcW w:w="8491" w:type="dxa"/>
          </w:tcPr>
          <w:p w14:paraId="5F406ECC" w14:textId="5B98F559" w:rsidR="00FB25E0" w:rsidRDefault="00912912">
            <w:pPr>
              <w:suppressAutoHyphens/>
              <w:rPr>
                <w:b/>
              </w:rPr>
            </w:pPr>
            <w:r>
              <w:rPr>
                <w:b/>
              </w:rPr>
              <w:t>proposal</w:t>
            </w:r>
            <w:r w:rsidR="007A746C">
              <w:rPr>
                <w:b/>
              </w:rPr>
              <w:t xml:space="preserve"> </w:t>
            </w:r>
          </w:p>
        </w:tc>
      </w:tr>
      <w:tr w:rsidR="00FB25E0" w14:paraId="3283B6E1" w14:textId="77777777">
        <w:tc>
          <w:tcPr>
            <w:tcW w:w="1080" w:type="dxa"/>
          </w:tcPr>
          <w:p w14:paraId="592C92DF" w14:textId="77777777" w:rsidR="00FB25E0" w:rsidRDefault="00222A34">
            <w:pPr>
              <w:suppressAutoHyphens/>
              <w:rPr>
                <w:b/>
              </w:rPr>
            </w:pPr>
            <w:r>
              <w:rPr>
                <w:b/>
              </w:rPr>
              <w:t>Title</w:t>
            </w:r>
          </w:p>
        </w:tc>
        <w:tc>
          <w:tcPr>
            <w:tcW w:w="8491" w:type="dxa"/>
          </w:tcPr>
          <w:p w14:paraId="1E0B4C88" w14:textId="56AA7C58" w:rsidR="00FB25E0" w:rsidRDefault="00912912">
            <w:pPr>
              <w:suppressAutoHyphens/>
              <w:rPr>
                <w:b/>
              </w:rPr>
            </w:pPr>
            <w:r>
              <w:rPr>
                <w:b/>
              </w:rPr>
              <w:t xml:space="preserve">New </w:t>
            </w:r>
            <w:r w:rsidR="004C5F10">
              <w:rPr>
                <w:b/>
              </w:rPr>
              <w:t xml:space="preserve">MIV </w:t>
            </w:r>
            <w:r w:rsidR="00B105B3">
              <w:rPr>
                <w:b/>
              </w:rPr>
              <w:t xml:space="preserve">Immersive Video </w:t>
            </w:r>
            <w:r w:rsidR="003D2AAF">
              <w:rPr>
                <w:b/>
              </w:rPr>
              <w:t>content</w:t>
            </w:r>
            <w:r>
              <w:rPr>
                <w:b/>
              </w:rPr>
              <w:t xml:space="preserve"> proposal </w:t>
            </w:r>
          </w:p>
        </w:tc>
      </w:tr>
      <w:tr w:rsidR="00FB25E0" w:rsidRPr="0039140E" w14:paraId="1F0F503D" w14:textId="77777777">
        <w:tc>
          <w:tcPr>
            <w:tcW w:w="1080" w:type="dxa"/>
          </w:tcPr>
          <w:p w14:paraId="020B956E" w14:textId="77777777" w:rsidR="00FB25E0" w:rsidRDefault="00222A34">
            <w:pPr>
              <w:rPr>
                <w:b/>
              </w:rPr>
            </w:pPr>
            <w:r>
              <w:rPr>
                <w:b/>
              </w:rPr>
              <w:t>Author</w:t>
            </w:r>
          </w:p>
        </w:tc>
        <w:tc>
          <w:tcPr>
            <w:tcW w:w="8491" w:type="dxa"/>
          </w:tcPr>
          <w:p w14:paraId="11705F93" w14:textId="0A12A1DC" w:rsidR="00FB25E0" w:rsidRPr="00A66303" w:rsidRDefault="007A746C">
            <w:pPr>
              <w:rPr>
                <w:lang w:val="fr-FR" w:eastAsia="ja-JP"/>
              </w:rPr>
            </w:pPr>
            <w:r w:rsidRPr="00A66303">
              <w:rPr>
                <w:lang w:val="fr-FR" w:eastAsia="ja-JP"/>
              </w:rPr>
              <w:t>Renaud Doré</w:t>
            </w:r>
            <w:r w:rsidR="003321EC" w:rsidRPr="00A66303">
              <w:rPr>
                <w:lang w:val="fr-FR" w:eastAsia="ja-JP"/>
              </w:rPr>
              <w:t>, Gérard Briand</w:t>
            </w:r>
            <w:r w:rsidR="00A66303" w:rsidRPr="00A66303">
              <w:rPr>
                <w:lang w:val="fr-FR" w:eastAsia="ja-JP"/>
              </w:rPr>
              <w:t>, J</w:t>
            </w:r>
            <w:r w:rsidR="00A66303">
              <w:rPr>
                <w:lang w:val="fr-FR" w:eastAsia="ja-JP"/>
              </w:rPr>
              <w:t>ulien Fleureau</w:t>
            </w:r>
          </w:p>
        </w:tc>
      </w:tr>
    </w:tbl>
    <w:p w14:paraId="298609BB" w14:textId="77777777" w:rsidR="00600E17" w:rsidRDefault="00600E17">
      <w:pPr>
        <w:rPr>
          <w:lang w:val="de-AT"/>
        </w:rPr>
      </w:pPr>
    </w:p>
    <w:p w14:paraId="16300F0C" w14:textId="33AE29D4" w:rsidR="00BA32F4" w:rsidRPr="008E7759" w:rsidRDefault="00912912" w:rsidP="008E7759">
      <w:pPr>
        <w:pStyle w:val="Heading1"/>
      </w:pPr>
      <w:r>
        <w:t>Context</w:t>
      </w:r>
    </w:p>
    <w:p w14:paraId="187A67F3" w14:textId="2D7FD46B" w:rsidR="00E32FC2" w:rsidRDefault="00912912" w:rsidP="00397195">
      <w:r>
        <w:t>MPEG Video group has initiated investigations through a CfP on Metadata for Immersive Video and is currently in the Core Experiment phase.</w:t>
      </w:r>
    </w:p>
    <w:p w14:paraId="194A9730" w14:textId="77777777" w:rsidR="003321EC" w:rsidRDefault="003321EC" w:rsidP="00397195"/>
    <w:p w14:paraId="4BE2F375" w14:textId="1D4DD371" w:rsidR="006D1C12" w:rsidRDefault="003D2AAF" w:rsidP="00EC66DD">
      <w:r>
        <w:t>At last meeting, a new content PoznanFencing has been introduced in the CTC</w:t>
      </w:r>
      <w:r w:rsidR="00E32FFA">
        <w:t xml:space="preserve"> [1]</w:t>
      </w:r>
      <w:bookmarkStart w:id="0" w:name="_GoBack"/>
      <w:bookmarkEnd w:id="0"/>
      <w:r>
        <w:t>. It is a natural content with 5 pairs of perspective cameras looking inward to the center of a scene with 2 fencers</w:t>
      </w:r>
      <w:r w:rsidR="00F72FBB">
        <w:t>, as illustrated in figure 1</w:t>
      </w:r>
      <w:r w:rsidR="006D1C12">
        <w:t xml:space="preserve"> below.</w:t>
      </w:r>
    </w:p>
    <w:p w14:paraId="67F0FF02" w14:textId="77777777" w:rsidR="006D1C12" w:rsidRDefault="006D1C12" w:rsidP="00EC66DD"/>
    <w:p w14:paraId="2FC5C649" w14:textId="51654A12" w:rsidR="006D1C12" w:rsidRDefault="006D1C12" w:rsidP="006D1C12">
      <w:pPr>
        <w:jc w:val="center"/>
      </w:pPr>
      <w:r>
        <w:rPr>
          <w:noProof/>
        </w:rPr>
        <w:drawing>
          <wp:inline distT="0" distB="0" distL="0" distR="0" wp14:anchorId="339BAEF6" wp14:editId="4D36FBC3">
            <wp:extent cx="4524375" cy="3846807"/>
            <wp:effectExtent l="0" t="0" r="0" b="190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34190" cy="3855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D77366" w14:textId="77777777" w:rsidR="006D1C12" w:rsidRDefault="006D1C12" w:rsidP="006D1C12">
      <w:pPr>
        <w:jc w:val="center"/>
      </w:pPr>
    </w:p>
    <w:p w14:paraId="048DE38A" w14:textId="50F21356" w:rsidR="006D1C12" w:rsidRDefault="006D1C12" w:rsidP="006D1C12">
      <w:pPr>
        <w:pStyle w:val="Caption"/>
        <w:jc w:val="center"/>
      </w:pPr>
      <w:r>
        <w:t xml:space="preserve">Figure </w:t>
      </w:r>
      <w:fldSimple w:instr=" SEQ Figure \* ARABIC ">
        <w:r>
          <w:rPr>
            <w:noProof/>
          </w:rPr>
          <w:t>1</w:t>
        </w:r>
      </w:fldSimple>
      <w:r>
        <w:t>: PoznanFencing rig setup</w:t>
      </w:r>
    </w:p>
    <w:p w14:paraId="39C60FEA" w14:textId="1356D09D" w:rsidR="00EC66DD" w:rsidRDefault="003D2AAF" w:rsidP="00EC66DD">
      <w:r>
        <w:lastRenderedPageBreak/>
        <w:t xml:space="preserve">It is definitively a good thing to have such a new content for MIV investigations as it enriches the set of contents. Yet, a simple look of the depth </w:t>
      </w:r>
      <w:r w:rsidR="00F858B9">
        <w:t xml:space="preserve">grey </w:t>
      </w:r>
      <w:r>
        <w:t xml:space="preserve">video shows that the depth </w:t>
      </w:r>
      <w:r w:rsidR="00F858B9">
        <w:t>has big burst of inconsistency zones near the fencers, as illustrated by the figure below of a snapshot of frame 1 of v4 camera.</w:t>
      </w:r>
    </w:p>
    <w:p w14:paraId="081AC534" w14:textId="77777777" w:rsidR="00F858B9" w:rsidRDefault="00F858B9" w:rsidP="00EC66DD"/>
    <w:p w14:paraId="74731B7E" w14:textId="060C107F" w:rsidR="00F858B9" w:rsidRDefault="00F858B9" w:rsidP="00F858B9">
      <w:pPr>
        <w:jc w:val="center"/>
      </w:pPr>
      <w:r>
        <w:rPr>
          <w:noProof/>
        </w:rPr>
        <w:drawing>
          <wp:inline distT="0" distB="0" distL="0" distR="0" wp14:anchorId="2F4979D9" wp14:editId="6EA713BE">
            <wp:extent cx="4740275" cy="2656175"/>
            <wp:effectExtent l="0" t="0" r="317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51539" cy="26624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E178E2" w14:textId="50955A2F" w:rsidR="00F858B9" w:rsidRDefault="00F858B9" w:rsidP="00F858B9">
      <w:pPr>
        <w:pStyle w:val="Caption"/>
        <w:jc w:val="center"/>
      </w:pPr>
      <w:r>
        <w:t xml:space="preserve">Figure </w:t>
      </w:r>
      <w:fldSimple w:instr=" SEQ Figure \* ARABIC ">
        <w:r w:rsidR="006D1C12">
          <w:rPr>
            <w:noProof/>
          </w:rPr>
          <w:t>2</w:t>
        </w:r>
      </w:fldSimple>
      <w:r>
        <w:t>: frame 1 depth of camera v4</w:t>
      </w:r>
    </w:p>
    <w:p w14:paraId="7ED0B4BE" w14:textId="1DC39CD2" w:rsidR="00F858B9" w:rsidRDefault="00F858B9" w:rsidP="00F858B9">
      <w:r>
        <w:t>As a matter of fact, the pose traces applied on the totality of the sources are not good</w:t>
      </w:r>
      <w:r w:rsidR="0041679C">
        <w:t xml:space="preserve"> at all</w:t>
      </w:r>
      <w:r>
        <w:t>. In these conditions, there is no possibility for the TMIV chain to output satisfactory pose traces on the decoder side</w:t>
      </w:r>
      <w:r w:rsidR="0041679C">
        <w:t>, as it already hurts before MIV encoding</w:t>
      </w:r>
      <w:r>
        <w:t>. Cf [1] for the reference of the slight compressed video of these pose traces.</w:t>
      </w:r>
    </w:p>
    <w:p w14:paraId="0E6B33C1" w14:textId="41AD2730" w:rsidR="00F858B9" w:rsidRDefault="00F858B9" w:rsidP="00F858B9"/>
    <w:p w14:paraId="37BD38B2" w14:textId="315E1301" w:rsidR="006D1C12" w:rsidRDefault="006D1C12" w:rsidP="00F858B9">
      <w:r>
        <w:t>If we want the MIV to present acceptable results, t</w:t>
      </w:r>
      <w:r w:rsidR="00F72FBB">
        <w:t xml:space="preserve">he depth of PoznanFencing should be ideally updated, but it should be checked if this is possible. </w:t>
      </w:r>
    </w:p>
    <w:p w14:paraId="135A3746" w14:textId="77777777" w:rsidR="006D1C12" w:rsidRDefault="006D1C12" w:rsidP="00F858B9"/>
    <w:p w14:paraId="2AC53F7F" w14:textId="5EA2D477" w:rsidR="00F858B9" w:rsidRDefault="00F72FBB" w:rsidP="00F858B9">
      <w:r>
        <w:t xml:space="preserve">Another possibility </w:t>
      </w:r>
      <w:r w:rsidR="006D1C12">
        <w:t xml:space="preserve">is to have another content with the same rig </w:t>
      </w:r>
      <w:r w:rsidR="005C09F5">
        <w:t xml:space="preserve">disposition </w:t>
      </w:r>
      <w:r w:rsidR="006D1C12">
        <w:t xml:space="preserve">with a perfect depth. It will be therefore </w:t>
      </w:r>
      <w:r w:rsidR="005C09F5">
        <w:t xml:space="preserve">possible </w:t>
      </w:r>
      <w:r w:rsidR="006D1C12">
        <w:t>to investigate the specificity of this rig by making abstraction of the depth quality</w:t>
      </w:r>
      <w:r w:rsidR="00941960">
        <w:t xml:space="preserve"> - which is not the topic of this MIV working group - </w:t>
      </w:r>
      <w:r w:rsidR="006D1C12">
        <w:t>, and this is what we propose here.</w:t>
      </w:r>
    </w:p>
    <w:p w14:paraId="4A4F791C" w14:textId="2195D2FC" w:rsidR="00F72A55" w:rsidRDefault="00F72A55" w:rsidP="007B123D"/>
    <w:p w14:paraId="6933B6B1" w14:textId="7FF4A673" w:rsidR="00AE30CE" w:rsidRDefault="00AE30CE" w:rsidP="007B123D"/>
    <w:p w14:paraId="67A282A2" w14:textId="2AABE137" w:rsidR="00AE30CE" w:rsidRDefault="00F72A55" w:rsidP="00AE30CE">
      <w:pPr>
        <w:pStyle w:val="Heading2"/>
      </w:pPr>
      <w:r>
        <w:t xml:space="preserve">Proposing </w:t>
      </w:r>
      <w:r w:rsidR="00941960">
        <w:t>MuseumInward</w:t>
      </w:r>
      <w:r w:rsidR="00AE30CE">
        <w:t xml:space="preserve"> Content</w:t>
      </w:r>
    </w:p>
    <w:p w14:paraId="179B6368" w14:textId="10465CA4" w:rsidR="00DD4558" w:rsidRDefault="00DD4558" w:rsidP="007B123D"/>
    <w:p w14:paraId="765CB84C" w14:textId="5CE23CAA" w:rsidR="00751EB0" w:rsidRDefault="00751EB0" w:rsidP="007B123D">
      <w:r>
        <w:t xml:space="preserve">In order to </w:t>
      </w:r>
      <w:r w:rsidR="008D178F">
        <w:t>enable some</w:t>
      </w:r>
      <w:r>
        <w:t xml:space="preserve"> investigation</w:t>
      </w:r>
      <w:r w:rsidR="00315AE1">
        <w:t>s</w:t>
      </w:r>
      <w:r>
        <w:t xml:space="preserve">, we </w:t>
      </w:r>
      <w:r w:rsidR="00315AE1">
        <w:t xml:space="preserve">have made </w:t>
      </w:r>
      <w:r>
        <w:t>a new rig configuration of the semi-synthetic “TechnicolorMuseum” scene content</w:t>
      </w:r>
      <w:r w:rsidR="00315AE1">
        <w:t xml:space="preserve"> and regenerated MVD inputs accordingly</w:t>
      </w:r>
      <w:r>
        <w:t>.</w:t>
      </w:r>
    </w:p>
    <w:p w14:paraId="5D37F434" w14:textId="77777777" w:rsidR="003321EC" w:rsidRDefault="003321EC" w:rsidP="007B123D"/>
    <w:p w14:paraId="6E3E207E" w14:textId="206E1644" w:rsidR="00D119AC" w:rsidRPr="00D119AC" w:rsidRDefault="00D119AC" w:rsidP="007B123D">
      <w:r w:rsidRPr="00D119AC">
        <w:t>The rig is a r</w:t>
      </w:r>
      <w:r>
        <w:t xml:space="preserve">ing of 24 half-ERP 2048x2048 </w:t>
      </w:r>
      <w:r w:rsidR="003321EC">
        <w:t xml:space="preserve">cameras, </w:t>
      </w:r>
      <w:r>
        <w:t>equally disposed</w:t>
      </w:r>
      <w:r w:rsidR="003321EC">
        <w:t xml:space="preserve"> on a ring of 3m radius at height of 2.75m</w:t>
      </w:r>
      <w:r>
        <w:t xml:space="preserve">, and looking inward </w:t>
      </w:r>
      <w:r w:rsidR="00D75666">
        <w:t xml:space="preserve">with a </w:t>
      </w:r>
      <w:r>
        <w:t>downward</w:t>
      </w:r>
      <w:r w:rsidR="00D75666">
        <w:t xml:space="preserve"> tilt of 30°</w:t>
      </w:r>
      <w:r>
        <w:t xml:space="preserve">. </w:t>
      </w:r>
    </w:p>
    <w:p w14:paraId="43FFAD8B" w14:textId="42B192CD" w:rsidR="00315AE1" w:rsidRPr="00D119AC" w:rsidRDefault="00315AE1" w:rsidP="007B123D"/>
    <w:p w14:paraId="54D20FB0" w14:textId="31B0148E" w:rsidR="00D75666" w:rsidRDefault="003321EC" w:rsidP="007B123D">
      <w:r>
        <w:rPr>
          <w:noProof/>
        </w:rPr>
        <w:lastRenderedPageBreak/>
        <w:drawing>
          <wp:inline distT="0" distB="0" distL="0" distR="0" wp14:anchorId="4B1152EB" wp14:editId="762879E2">
            <wp:extent cx="5940425" cy="3157855"/>
            <wp:effectExtent l="0" t="0" r="3175" b="444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57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E9BF94" w14:textId="77777777" w:rsidR="00D75666" w:rsidRDefault="00D75666" w:rsidP="007B123D"/>
    <w:p w14:paraId="23860419" w14:textId="77777777" w:rsidR="00D75666" w:rsidRDefault="00D75666" w:rsidP="007B123D"/>
    <w:p w14:paraId="3442D5F5" w14:textId="620B3849" w:rsidR="00D75666" w:rsidRDefault="00D75666" w:rsidP="007B123D">
      <w:r>
        <w:t>This leads to the following image examples (for the te</w:t>
      </w:r>
      <w:r w:rsidR="003321EC">
        <w:t>x</w:t>
      </w:r>
      <w:r>
        <w:t>ture):</w:t>
      </w:r>
    </w:p>
    <w:p w14:paraId="1E6EC980" w14:textId="77777777" w:rsidR="00D75666" w:rsidRDefault="00D75666" w:rsidP="007B123D"/>
    <w:p w14:paraId="5C595646" w14:textId="77777777" w:rsidR="00D75666" w:rsidRDefault="00D75666" w:rsidP="007B123D"/>
    <w:p w14:paraId="7138C5A7" w14:textId="29FF698E" w:rsidR="00235C76" w:rsidRDefault="00175E75" w:rsidP="007B123D">
      <w:r>
        <w:rPr>
          <w:noProof/>
        </w:rPr>
        <w:drawing>
          <wp:inline distT="0" distB="0" distL="0" distR="0" wp14:anchorId="46813F02" wp14:editId="2C295FD9">
            <wp:extent cx="6515100" cy="2023128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526638" cy="2026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B703AC" w14:textId="31D12613" w:rsidR="00235C76" w:rsidRPr="00175E75" w:rsidRDefault="00235C76" w:rsidP="00DE4FD6">
      <w:pPr>
        <w:pStyle w:val="Caption"/>
        <w:jc w:val="center"/>
      </w:pPr>
      <w:r w:rsidRPr="00175E75">
        <w:t xml:space="preserve">Figure </w:t>
      </w:r>
      <w:r>
        <w:fldChar w:fldCharType="begin"/>
      </w:r>
      <w:r w:rsidRPr="00175E75">
        <w:instrText xml:space="preserve"> SEQ Figure \* ARABIC </w:instrText>
      </w:r>
      <w:r>
        <w:fldChar w:fldCharType="separate"/>
      </w:r>
      <w:r w:rsidR="006D1C12" w:rsidRPr="00175E75">
        <w:rPr>
          <w:noProof/>
        </w:rPr>
        <w:t>3</w:t>
      </w:r>
      <w:r>
        <w:fldChar w:fldCharType="end"/>
      </w:r>
      <w:r w:rsidRPr="00175E75">
        <w:t>:</w:t>
      </w:r>
      <w:r w:rsidR="00175E75" w:rsidRPr="00175E75">
        <w:t xml:space="preserve">from left ot right, </w:t>
      </w:r>
      <w:r w:rsidRPr="00175E75">
        <w:t xml:space="preserve"> V0, V1, V2</w:t>
      </w:r>
    </w:p>
    <w:p w14:paraId="0655089B" w14:textId="2511E6F4" w:rsidR="00235C76" w:rsidRPr="00175E75" w:rsidRDefault="00235C76" w:rsidP="00235C76"/>
    <w:p w14:paraId="3AD5E0CE" w14:textId="2BEBF838" w:rsidR="00175E75" w:rsidRDefault="00175E75" w:rsidP="00235C76">
      <w:pPr>
        <w:rPr>
          <w:lang w:val="fr-FR"/>
        </w:rPr>
      </w:pPr>
      <w:r>
        <w:rPr>
          <w:noProof/>
        </w:rPr>
        <w:drawing>
          <wp:inline distT="0" distB="0" distL="0" distR="0" wp14:anchorId="169E37C4" wp14:editId="44E8CCBD">
            <wp:extent cx="6563962" cy="2105660"/>
            <wp:effectExtent l="0" t="0" r="8890" b="889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566849" cy="2106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958BBF" w14:textId="71BAC484" w:rsidR="00235C76" w:rsidRDefault="00235C76" w:rsidP="00DE4FD6">
      <w:pPr>
        <w:jc w:val="center"/>
        <w:rPr>
          <w:lang w:val="fr-FR"/>
        </w:rPr>
      </w:pPr>
    </w:p>
    <w:p w14:paraId="2E0F4ABA" w14:textId="55574150" w:rsidR="00235C76" w:rsidRPr="00175E75" w:rsidRDefault="00DE4FD6" w:rsidP="00DE4FD6">
      <w:pPr>
        <w:pStyle w:val="Caption"/>
        <w:jc w:val="center"/>
      </w:pPr>
      <w:r>
        <w:lastRenderedPageBreak/>
        <w:t xml:space="preserve">Figure </w:t>
      </w:r>
      <w:fldSimple w:instr=" SEQ Figure \* ARABIC ">
        <w:r w:rsidR="006D1C12">
          <w:rPr>
            <w:noProof/>
          </w:rPr>
          <w:t>4</w:t>
        </w:r>
      </w:fldSimple>
      <w:r w:rsidR="00175E75">
        <w:rPr>
          <w:noProof/>
        </w:rPr>
        <w:t xml:space="preserve">: </w:t>
      </w:r>
      <w:r w:rsidR="00175E75">
        <w:t>from left to right: v12, v16, v20</w:t>
      </w:r>
    </w:p>
    <w:p w14:paraId="338E8A21" w14:textId="7E55DCAA" w:rsidR="00235C76" w:rsidRPr="00175E75" w:rsidRDefault="00235C76" w:rsidP="00235C76"/>
    <w:p w14:paraId="3EFF6D4E" w14:textId="1033034B" w:rsidR="00235C76" w:rsidRDefault="00175E75" w:rsidP="00235C76">
      <w:pPr>
        <w:rPr>
          <w:lang w:val="fr-FR"/>
        </w:rPr>
      </w:pPr>
      <w:r>
        <w:rPr>
          <w:noProof/>
        </w:rPr>
        <w:drawing>
          <wp:inline distT="0" distB="0" distL="0" distR="0" wp14:anchorId="101218A9" wp14:editId="57D79000">
            <wp:extent cx="5940425" cy="1808480"/>
            <wp:effectExtent l="0" t="0" r="3175" b="127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80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81EFB1" w14:textId="5E5C9286" w:rsidR="00DE4FD6" w:rsidRPr="00DE4FD6" w:rsidRDefault="00DE4FD6" w:rsidP="00DE4FD6">
      <w:pPr>
        <w:pStyle w:val="Caption"/>
        <w:jc w:val="center"/>
      </w:pPr>
      <w:r>
        <w:t xml:space="preserve">Figure </w:t>
      </w:r>
      <w:fldSimple w:instr=" SEQ Figure \* ARABIC ">
        <w:r w:rsidR="006D1C12">
          <w:rPr>
            <w:noProof/>
          </w:rPr>
          <w:t>5</w:t>
        </w:r>
      </w:fldSimple>
      <w:r>
        <w:t>:</w:t>
      </w:r>
      <w:r w:rsidR="002071E4">
        <w:t xml:space="preserve">from left to right, </w:t>
      </w:r>
      <w:r>
        <w:t xml:space="preserve"> v21,v22,v23</w:t>
      </w:r>
    </w:p>
    <w:p w14:paraId="25655387" w14:textId="00AA98F9" w:rsidR="00751EB0" w:rsidRPr="00DE4FD6" w:rsidRDefault="00751EB0" w:rsidP="007B123D"/>
    <w:p w14:paraId="631D2B0D" w14:textId="71098CAD" w:rsidR="00656D2B" w:rsidRDefault="00656D2B" w:rsidP="007B123D"/>
    <w:p w14:paraId="056B7252" w14:textId="77777777" w:rsidR="006E1C8A" w:rsidRDefault="006E1C8A" w:rsidP="007B123D"/>
    <w:p w14:paraId="1AE936BA" w14:textId="2E00188D" w:rsidR="0039140E" w:rsidRDefault="006E1C8A" w:rsidP="007B123D">
      <w:r>
        <w:t xml:space="preserve">With such a content, </w:t>
      </w:r>
      <w:r w:rsidR="0039140E">
        <w:t xml:space="preserve">as it is a linear camera disposition, </w:t>
      </w:r>
      <w:r>
        <w:t xml:space="preserve">it is possible to </w:t>
      </w:r>
      <w:r w:rsidR="002071E4">
        <w:t>adjust</w:t>
      </w:r>
      <w:r>
        <w:t xml:space="preserve"> the </w:t>
      </w:r>
      <w:r w:rsidR="002071E4">
        <w:t xml:space="preserve">number of source views, and to adjust the </w:t>
      </w:r>
      <w:r>
        <w:t xml:space="preserve">json file to take only the first 6, </w:t>
      </w:r>
      <w:r w:rsidR="002071E4">
        <w:t xml:space="preserve">7, 8, </w:t>
      </w:r>
      <w:r>
        <w:t xml:space="preserve">9 , 12, etc.. source views, corresponding to an arc of different length. </w:t>
      </w:r>
    </w:p>
    <w:p w14:paraId="176381DA" w14:textId="77777777" w:rsidR="0039140E" w:rsidRDefault="0039140E" w:rsidP="007B123D"/>
    <w:p w14:paraId="1666CBD3" w14:textId="7FE5365D" w:rsidR="00656D2B" w:rsidRDefault="005C09F5" w:rsidP="007B123D">
      <w:r>
        <w:t xml:space="preserve">Our </w:t>
      </w:r>
      <w:r w:rsidR="006E1C8A">
        <w:t xml:space="preserve">primary objective </w:t>
      </w:r>
      <w:r>
        <w:t xml:space="preserve">was at least to mimic PoznanFencing rig, considering that </w:t>
      </w:r>
      <w:r w:rsidR="002071E4">
        <w:t xml:space="preserve">in this content, </w:t>
      </w:r>
      <w:r w:rsidR="006E1C8A">
        <w:t>each cameras v0, v2, v4, v6, v8 is almost uselessly doubled by its stereo companion</w:t>
      </w:r>
      <w:r w:rsidR="002071E4">
        <w:t xml:space="preserve">: this PoznanFencing rig </w:t>
      </w:r>
      <w:r w:rsidR="006E1C8A">
        <w:t>is almost</w:t>
      </w:r>
      <w:r w:rsidR="00956CD5">
        <w:t xml:space="preserve"> just</w:t>
      </w:r>
      <w:r w:rsidR="006E1C8A">
        <w:t xml:space="preserve"> like 5 cameras for a 60° arc</w:t>
      </w:r>
      <w:r w:rsidR="002071E4">
        <w:t xml:space="preserve"> only</w:t>
      </w:r>
      <w:r w:rsidR="006E1C8A">
        <w:t>, meaning 1 camera every 15°. In MuseumInward, the cameras are also disposed every 15°.</w:t>
      </w:r>
    </w:p>
    <w:p w14:paraId="7DC91E85" w14:textId="27A4BF3E" w:rsidR="00413963" w:rsidRDefault="00413963" w:rsidP="007B123D"/>
    <w:p w14:paraId="2543B0A4" w14:textId="31B13DBA" w:rsidR="00B25E04" w:rsidRDefault="00B25E04" w:rsidP="00B25E04">
      <w:pPr>
        <w:pStyle w:val="Heading1"/>
      </w:pPr>
      <w:r w:rsidRPr="00B25E04">
        <w:t>Conclusion</w:t>
      </w:r>
    </w:p>
    <w:p w14:paraId="7DEA51E5" w14:textId="77777777" w:rsidR="006E1C8A" w:rsidRDefault="006E1C8A" w:rsidP="00B25E04"/>
    <w:p w14:paraId="67E0FD3C" w14:textId="3A59ECFA" w:rsidR="006E1C8A" w:rsidRDefault="006E1C8A" w:rsidP="00B25E04">
      <w:r>
        <w:t xml:space="preserve">We recommend pushing this new content into the CTC for the next meeting iteration after having decided the number of </w:t>
      </w:r>
      <w:r w:rsidR="00941960">
        <w:t xml:space="preserve">successive </w:t>
      </w:r>
      <w:r>
        <w:t xml:space="preserve">source views. </w:t>
      </w:r>
      <w:r w:rsidR="002071E4">
        <w:t xml:space="preserve">Interdigital will upload </w:t>
      </w:r>
      <w:r w:rsidR="00956CD5">
        <w:t xml:space="preserve">on MPEG server </w:t>
      </w:r>
      <w:r w:rsidR="002071E4">
        <w:t xml:space="preserve">the number of source views which is decided for the MIV investigations. </w:t>
      </w:r>
      <w:r>
        <w:t xml:space="preserve">At minimum, we recommend </w:t>
      </w:r>
      <w:r w:rsidR="002071E4">
        <w:t>taking</w:t>
      </w:r>
      <w:r>
        <w:t xml:space="preserve"> at least 6 source views in order to be compared with PoznanFencing result, </w:t>
      </w:r>
      <w:r w:rsidR="00941960">
        <w:t xml:space="preserve">so that </w:t>
      </w:r>
      <w:r>
        <w:t xml:space="preserve">the specificity of this interesting </w:t>
      </w:r>
      <w:r w:rsidR="0039140E">
        <w:t xml:space="preserve">arc-shape </w:t>
      </w:r>
      <w:r>
        <w:t xml:space="preserve">rig </w:t>
      </w:r>
      <w:r w:rsidR="00941960">
        <w:t xml:space="preserve">can be investigated </w:t>
      </w:r>
      <w:r>
        <w:t>while making abstraction of the depth quality.</w:t>
      </w:r>
    </w:p>
    <w:p w14:paraId="1E3CF594" w14:textId="77777777" w:rsidR="006E1C8A" w:rsidRDefault="006E1C8A" w:rsidP="00B25E04"/>
    <w:p w14:paraId="294DDE16" w14:textId="7D272C29" w:rsidR="00B25E04" w:rsidRPr="00B25E04" w:rsidRDefault="00B25E04" w:rsidP="00B25E04"/>
    <w:p w14:paraId="1A21BB7E" w14:textId="709E8102" w:rsidR="00BA32F4" w:rsidRPr="00C715E4" w:rsidRDefault="00B25E04" w:rsidP="00BA32F4">
      <w:pPr>
        <w:pStyle w:val="Heading1"/>
      </w:pPr>
      <w:r>
        <w:t>Reference</w:t>
      </w:r>
    </w:p>
    <w:p w14:paraId="7909150B" w14:textId="77777777" w:rsidR="00E32FFA" w:rsidRPr="00E32FFA" w:rsidRDefault="00B25E04" w:rsidP="00E32FFA">
      <w:pPr>
        <w:spacing w:before="60" w:after="120" w:line="276" w:lineRule="auto"/>
        <w:rPr>
          <w:lang w:val="en-CA"/>
        </w:rPr>
      </w:pPr>
      <w:r>
        <w:t xml:space="preserve">[1] </w:t>
      </w:r>
      <w:bookmarkStart w:id="1" w:name="_Ref8114663"/>
      <w:r w:rsidR="00E32FFA" w:rsidRPr="00E32FFA">
        <w:rPr>
          <w:lang w:val="en-CA"/>
        </w:rPr>
        <w:t xml:space="preserve">J. Jung, B. Kroon, J. Boyce, </w:t>
      </w:r>
      <w:r w:rsidR="00E32FFA" w:rsidRPr="00E32FFA">
        <w:rPr>
          <w:shd w:val="clear" w:color="auto" w:fill="FFFFFF"/>
        </w:rPr>
        <w:t xml:space="preserve">Common Test Conditions for Immersive Video, </w:t>
      </w:r>
      <w:r w:rsidR="00E32FFA" w:rsidRPr="00E32FFA">
        <w:rPr>
          <w:lang w:val="en-GB"/>
        </w:rPr>
        <w:t>ISO/IEC JTC1/SC29/WG11 MPEG/N</w:t>
      </w:r>
      <w:r w:rsidR="00E32FFA" w:rsidRPr="00E32FFA">
        <w:rPr>
          <w:bCs/>
        </w:rPr>
        <w:t xml:space="preserve">18563, </w:t>
      </w:r>
      <w:r w:rsidR="00E32FFA" w:rsidRPr="00E32FFA">
        <w:rPr>
          <w:lang w:val="en-GB"/>
        </w:rPr>
        <w:t>July. 2019, Goeteborg, Switzerland.</w:t>
      </w:r>
      <w:bookmarkEnd w:id="1"/>
    </w:p>
    <w:p w14:paraId="1B227DBC" w14:textId="43F0696B" w:rsidR="00BA32F4" w:rsidRPr="00E32FFA" w:rsidRDefault="00BA32F4" w:rsidP="00E32FFA">
      <w:pPr>
        <w:tabs>
          <w:tab w:val="left" w:pos="2880"/>
        </w:tabs>
        <w:ind w:right="-20"/>
        <w:rPr>
          <w:lang w:val="en-CA"/>
        </w:rPr>
      </w:pPr>
    </w:p>
    <w:p w14:paraId="1163A6A4" w14:textId="77777777" w:rsidR="007B123D" w:rsidRPr="007B123D" w:rsidRDefault="007B123D" w:rsidP="007B123D"/>
    <w:sectPr w:rsidR="007B123D" w:rsidRPr="007B123D">
      <w:pgSz w:w="11907" w:h="16840" w:code="9"/>
      <w:pgMar w:top="1418" w:right="1134" w:bottom="1418" w:left="1418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8410259" w14:textId="77777777" w:rsidR="00600E17" w:rsidRDefault="00600E17">
      <w:r>
        <w:separator/>
      </w:r>
    </w:p>
  </w:endnote>
  <w:endnote w:type="continuationSeparator" w:id="0">
    <w:p w14:paraId="5B8C6A90" w14:textId="77777777" w:rsidR="00600E17" w:rsidRDefault="00600E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egoe UI">
    <w:altName w:val="Sylfaen"/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Yu Gothic Light">
    <w:altName w:val="游ゴシック Light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6FC8F36" w14:textId="77777777" w:rsidR="00600E17" w:rsidRDefault="00600E17">
      <w:r>
        <w:separator/>
      </w:r>
    </w:p>
  </w:footnote>
  <w:footnote w:type="continuationSeparator" w:id="0">
    <w:p w14:paraId="5E2EA765" w14:textId="77777777" w:rsidR="00600E17" w:rsidRDefault="00600E1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C87437E"/>
    <w:multiLevelType w:val="hybridMultilevel"/>
    <w:tmpl w:val="DAB878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9D7A61"/>
    <w:multiLevelType w:val="hybridMultilevel"/>
    <w:tmpl w:val="7E3434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C8D661C"/>
    <w:multiLevelType w:val="hybridMultilevel"/>
    <w:tmpl w:val="FC6A149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806036A"/>
    <w:multiLevelType w:val="hybridMultilevel"/>
    <w:tmpl w:val="6DAE45D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58453DA"/>
    <w:multiLevelType w:val="hybridMultilevel"/>
    <w:tmpl w:val="2362C9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4EC4651"/>
    <w:multiLevelType w:val="hybridMultilevel"/>
    <w:tmpl w:val="C34CB8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5A34068"/>
    <w:multiLevelType w:val="multilevel"/>
    <w:tmpl w:val="0409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num w:numId="1">
    <w:abstractNumId w:val="6"/>
  </w:num>
  <w:num w:numId="2">
    <w:abstractNumId w:val="0"/>
  </w:num>
  <w:num w:numId="3">
    <w:abstractNumId w:val="5"/>
  </w:num>
  <w:num w:numId="4">
    <w:abstractNumId w:val="2"/>
  </w:num>
  <w:num w:numId="5">
    <w:abstractNumId w:val="6"/>
  </w:num>
  <w:num w:numId="6">
    <w:abstractNumId w:val="1"/>
  </w:num>
  <w:num w:numId="7">
    <w:abstractNumId w:val="4"/>
  </w:num>
  <w:num w:numId="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457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00E17"/>
    <w:rsid w:val="000871AB"/>
    <w:rsid w:val="000D656B"/>
    <w:rsid w:val="00175E75"/>
    <w:rsid w:val="002014E3"/>
    <w:rsid w:val="002071E4"/>
    <w:rsid w:val="002160F5"/>
    <w:rsid w:val="00222A34"/>
    <w:rsid w:val="00233A6A"/>
    <w:rsid w:val="00235C76"/>
    <w:rsid w:val="0026051C"/>
    <w:rsid w:val="002A21C0"/>
    <w:rsid w:val="00315AE1"/>
    <w:rsid w:val="003321EC"/>
    <w:rsid w:val="0039140E"/>
    <w:rsid w:val="00397195"/>
    <w:rsid w:val="003B77A3"/>
    <w:rsid w:val="003D2AAF"/>
    <w:rsid w:val="00413963"/>
    <w:rsid w:val="0041679C"/>
    <w:rsid w:val="004462C2"/>
    <w:rsid w:val="00460EC7"/>
    <w:rsid w:val="00491687"/>
    <w:rsid w:val="004C24CE"/>
    <w:rsid w:val="004C5F10"/>
    <w:rsid w:val="00593402"/>
    <w:rsid w:val="005A7BB0"/>
    <w:rsid w:val="005C09F5"/>
    <w:rsid w:val="00600E17"/>
    <w:rsid w:val="00656D2B"/>
    <w:rsid w:val="006A6740"/>
    <w:rsid w:val="006D1C12"/>
    <w:rsid w:val="006E1C8A"/>
    <w:rsid w:val="00751EB0"/>
    <w:rsid w:val="007A746C"/>
    <w:rsid w:val="007B123D"/>
    <w:rsid w:val="007B5BEB"/>
    <w:rsid w:val="008967A0"/>
    <w:rsid w:val="008D178F"/>
    <w:rsid w:val="008D2966"/>
    <w:rsid w:val="008E7759"/>
    <w:rsid w:val="00912912"/>
    <w:rsid w:val="00941960"/>
    <w:rsid w:val="00956CD5"/>
    <w:rsid w:val="00962EB2"/>
    <w:rsid w:val="00975CFE"/>
    <w:rsid w:val="00A00662"/>
    <w:rsid w:val="00A02AEC"/>
    <w:rsid w:val="00A10E2B"/>
    <w:rsid w:val="00A65A79"/>
    <w:rsid w:val="00A66303"/>
    <w:rsid w:val="00AB3F54"/>
    <w:rsid w:val="00AE30CE"/>
    <w:rsid w:val="00AF116F"/>
    <w:rsid w:val="00B105B3"/>
    <w:rsid w:val="00B25E04"/>
    <w:rsid w:val="00BA32F4"/>
    <w:rsid w:val="00C626C8"/>
    <w:rsid w:val="00C715E4"/>
    <w:rsid w:val="00CD3A79"/>
    <w:rsid w:val="00D119AC"/>
    <w:rsid w:val="00D75666"/>
    <w:rsid w:val="00DD2D1F"/>
    <w:rsid w:val="00DD4558"/>
    <w:rsid w:val="00DE4FD6"/>
    <w:rsid w:val="00E32FC2"/>
    <w:rsid w:val="00E32FFA"/>
    <w:rsid w:val="00E80B1C"/>
    <w:rsid w:val="00EA4B0C"/>
    <w:rsid w:val="00EC66DD"/>
    <w:rsid w:val="00F72A55"/>
    <w:rsid w:val="00F72FBB"/>
    <w:rsid w:val="00F858B9"/>
    <w:rsid w:val="00FB25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4577">
      <v:textbox inset="5.85pt,.7pt,5.85pt,.7pt"/>
    </o:shapedefaults>
    <o:shapelayout v:ext="edit">
      <o:idmap v:ext="edit" data="1"/>
    </o:shapelayout>
  </w:shapeDefaults>
  <w:decimalSymbol w:val="."/>
  <w:listSeparator w:val=","/>
  <w14:docId w14:val="3C63991A"/>
  <w15:chartTrackingRefBased/>
  <w15:docId w15:val="{2A8DEEFE-FD8B-454A-B9F2-05C86E9149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MS Mincho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pPr>
      <w:jc w:val="both"/>
    </w:pPr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numPr>
        <w:numId w:val="1"/>
      </w:numPr>
      <w:spacing w:before="240" w:after="60"/>
      <w:outlineLvl w:val="0"/>
    </w:pPr>
    <w:rPr>
      <w:rFonts w:ascii="Calibri" w:eastAsia="Times New Roman" w:hAnsi="Calibri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qFormat/>
    <w:pPr>
      <w:keepNext/>
      <w:numPr>
        <w:ilvl w:val="1"/>
        <w:numId w:val="1"/>
      </w:numPr>
      <w:spacing w:before="240" w:after="60"/>
      <w:outlineLvl w:val="1"/>
    </w:pPr>
    <w:rPr>
      <w:rFonts w:ascii="Calibri" w:eastAsia="Times New Roman" w:hAnsi="Calibr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qFormat/>
    <w:pPr>
      <w:keepNext/>
      <w:numPr>
        <w:ilvl w:val="2"/>
        <w:numId w:val="1"/>
      </w:numPr>
      <w:spacing w:before="240" w:after="60"/>
      <w:outlineLvl w:val="2"/>
    </w:pPr>
    <w:rPr>
      <w:rFonts w:ascii="Calibri" w:eastAsia="Times New Roman" w:hAnsi="Calibri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qFormat/>
    <w:pPr>
      <w:keepNext/>
      <w:numPr>
        <w:ilvl w:val="3"/>
        <w:numId w:val="1"/>
      </w:numPr>
      <w:spacing w:before="240" w:after="60"/>
      <w:outlineLvl w:val="3"/>
    </w:pPr>
    <w:rPr>
      <w:rFonts w:ascii="Cambria" w:eastAsia="Times New Roman" w:hAnsi="Cambria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qFormat/>
    <w:pPr>
      <w:numPr>
        <w:ilvl w:val="4"/>
        <w:numId w:val="1"/>
      </w:numPr>
      <w:spacing w:before="240" w:after="60"/>
      <w:outlineLvl w:val="4"/>
    </w:pPr>
    <w:rPr>
      <w:rFonts w:ascii="Cambria" w:eastAsia="Times New Roman" w:hAnsi="Cambria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"/>
    <w:qFormat/>
    <w:pPr>
      <w:numPr>
        <w:ilvl w:val="5"/>
        <w:numId w:val="1"/>
      </w:numPr>
      <w:spacing w:before="240" w:after="60"/>
      <w:outlineLvl w:val="5"/>
    </w:pPr>
    <w:rPr>
      <w:rFonts w:ascii="Cambria" w:eastAsia="Times New Roman" w:hAnsi="Cambria"/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qFormat/>
    <w:pPr>
      <w:numPr>
        <w:ilvl w:val="6"/>
        <w:numId w:val="1"/>
      </w:numPr>
      <w:spacing w:before="240" w:after="60"/>
      <w:outlineLvl w:val="6"/>
    </w:pPr>
    <w:rPr>
      <w:rFonts w:ascii="Cambria" w:eastAsia="Times New Roman" w:hAnsi="Cambria"/>
    </w:rPr>
  </w:style>
  <w:style w:type="paragraph" w:styleId="Heading8">
    <w:name w:val="heading 8"/>
    <w:basedOn w:val="Normal"/>
    <w:next w:val="Normal"/>
    <w:link w:val="Heading8Char"/>
    <w:uiPriority w:val="9"/>
    <w:qFormat/>
    <w:pPr>
      <w:numPr>
        <w:ilvl w:val="7"/>
        <w:numId w:val="1"/>
      </w:numPr>
      <w:spacing w:before="240" w:after="60"/>
      <w:outlineLvl w:val="7"/>
    </w:pPr>
    <w:rPr>
      <w:rFonts w:ascii="Cambria" w:eastAsia="Times New Roman" w:hAnsi="Cambria"/>
      <w:i/>
      <w:iCs/>
    </w:rPr>
  </w:style>
  <w:style w:type="paragraph" w:styleId="Heading9">
    <w:name w:val="heading 9"/>
    <w:basedOn w:val="Normal"/>
    <w:next w:val="Normal"/>
    <w:link w:val="Heading9Char"/>
    <w:uiPriority w:val="9"/>
    <w:qFormat/>
    <w:pPr>
      <w:numPr>
        <w:ilvl w:val="8"/>
        <w:numId w:val="1"/>
      </w:numPr>
      <w:spacing w:before="240" w:after="60"/>
      <w:outlineLvl w:val="8"/>
    </w:pPr>
    <w:rPr>
      <w:rFonts w:ascii="Calibri" w:eastAsia="Times New Roman" w:hAnsi="Calibr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link w:val="Heading1"/>
    <w:uiPriority w:val="9"/>
    <w:rPr>
      <w:rFonts w:ascii="Calibri" w:eastAsia="Times New Roman" w:hAnsi="Calibri" w:cs="Times New Roman"/>
      <w:b/>
      <w:bCs/>
      <w:kern w:val="32"/>
      <w:sz w:val="32"/>
      <w:szCs w:val="32"/>
    </w:rPr>
  </w:style>
  <w:style w:type="character" w:customStyle="1" w:styleId="Heading2Char">
    <w:name w:val="Heading 2 Char"/>
    <w:link w:val="Heading2"/>
    <w:uiPriority w:val="9"/>
    <w:semiHidden/>
    <w:rPr>
      <w:rFonts w:ascii="Calibri" w:eastAsia="Times New Roman" w:hAnsi="Calibri" w:cs="Times New Roman"/>
      <w:b/>
      <w:bCs/>
      <w:i/>
      <w:iCs/>
      <w:sz w:val="28"/>
      <w:szCs w:val="28"/>
    </w:rPr>
  </w:style>
  <w:style w:type="character" w:customStyle="1" w:styleId="Heading3Char">
    <w:name w:val="Heading 3 Char"/>
    <w:link w:val="Heading3"/>
    <w:uiPriority w:val="9"/>
    <w:semiHidden/>
    <w:rPr>
      <w:rFonts w:ascii="Calibri" w:eastAsia="Times New Roman" w:hAnsi="Calibri" w:cs="Times New Roman"/>
      <w:b/>
      <w:bCs/>
      <w:sz w:val="26"/>
      <w:szCs w:val="26"/>
    </w:rPr>
  </w:style>
  <w:style w:type="character" w:customStyle="1" w:styleId="Heading4Char">
    <w:name w:val="Heading 4 Char"/>
    <w:link w:val="Heading4"/>
    <w:uiPriority w:val="9"/>
    <w:semiHidden/>
    <w:rPr>
      <w:rFonts w:ascii="Cambria" w:eastAsia="Times New Roman" w:hAnsi="Cambria" w:cs="Times New Roman"/>
      <w:b/>
      <w:bCs/>
      <w:sz w:val="28"/>
      <w:szCs w:val="28"/>
    </w:rPr>
  </w:style>
  <w:style w:type="character" w:customStyle="1" w:styleId="Heading5Char">
    <w:name w:val="Heading 5 Char"/>
    <w:link w:val="Heading5"/>
    <w:uiPriority w:val="9"/>
    <w:semiHidden/>
    <w:rPr>
      <w:rFonts w:ascii="Cambria" w:eastAsia="Times New Roman" w:hAnsi="Cambria" w:cs="Times New Roman"/>
      <w:b/>
      <w:bCs/>
      <w:i/>
      <w:iCs/>
      <w:sz w:val="26"/>
      <w:szCs w:val="26"/>
    </w:rPr>
  </w:style>
  <w:style w:type="character" w:customStyle="1" w:styleId="Heading6Char">
    <w:name w:val="Heading 6 Char"/>
    <w:link w:val="Heading6"/>
    <w:uiPriority w:val="9"/>
    <w:semiHidden/>
    <w:rPr>
      <w:rFonts w:ascii="Cambria" w:eastAsia="Times New Roman" w:hAnsi="Cambria" w:cs="Times New Roman"/>
      <w:b/>
      <w:bCs/>
      <w:sz w:val="22"/>
      <w:szCs w:val="22"/>
    </w:rPr>
  </w:style>
  <w:style w:type="character" w:customStyle="1" w:styleId="Heading7Char">
    <w:name w:val="Heading 7 Char"/>
    <w:link w:val="Heading7"/>
    <w:uiPriority w:val="9"/>
    <w:semiHidden/>
    <w:rPr>
      <w:rFonts w:ascii="Cambria" w:eastAsia="Times New Roman" w:hAnsi="Cambria" w:cs="Times New Roman"/>
      <w:sz w:val="24"/>
      <w:szCs w:val="24"/>
    </w:rPr>
  </w:style>
  <w:style w:type="character" w:customStyle="1" w:styleId="Heading8Char">
    <w:name w:val="Heading 8 Char"/>
    <w:link w:val="Heading8"/>
    <w:uiPriority w:val="9"/>
    <w:semiHidden/>
    <w:rPr>
      <w:rFonts w:ascii="Cambria" w:eastAsia="Times New Roman" w:hAnsi="Cambria" w:cs="Times New Roman"/>
      <w:i/>
      <w:iCs/>
      <w:sz w:val="24"/>
      <w:szCs w:val="24"/>
    </w:rPr>
  </w:style>
  <w:style w:type="character" w:customStyle="1" w:styleId="Heading9Char">
    <w:name w:val="Heading 9 Char"/>
    <w:link w:val="Heading9"/>
    <w:uiPriority w:val="9"/>
    <w:semiHidden/>
    <w:rPr>
      <w:rFonts w:ascii="Calibri" w:eastAsia="Times New Roman" w:hAnsi="Calibri" w:cs="Times New Roman"/>
      <w:sz w:val="22"/>
      <w:szCs w:val="22"/>
    </w:rPr>
  </w:style>
  <w:style w:type="paragraph" w:styleId="Header">
    <w:name w:val="header"/>
    <w:basedOn w:val="Normal"/>
    <w:link w:val="HeaderChar"/>
    <w:uiPriority w:val="99"/>
    <w:unhideWhenUsed/>
    <w:pPr>
      <w:tabs>
        <w:tab w:val="center" w:pos="4252"/>
        <w:tab w:val="right" w:pos="8504"/>
      </w:tabs>
      <w:snapToGrid w:val="0"/>
    </w:pPr>
  </w:style>
  <w:style w:type="character" w:customStyle="1" w:styleId="HeaderChar">
    <w:name w:val="Header Char"/>
    <w:link w:val="Header"/>
    <w:uiPriority w:val="99"/>
    <w:rPr>
      <w:sz w:val="24"/>
      <w:szCs w:val="24"/>
      <w:lang w:eastAsia="en-US"/>
    </w:rPr>
  </w:style>
  <w:style w:type="paragraph" w:styleId="Footer">
    <w:name w:val="footer"/>
    <w:basedOn w:val="Normal"/>
    <w:link w:val="FooterChar"/>
    <w:uiPriority w:val="99"/>
    <w:unhideWhenUsed/>
    <w:pPr>
      <w:tabs>
        <w:tab w:val="center" w:pos="4252"/>
        <w:tab w:val="right" w:pos="8504"/>
      </w:tabs>
      <w:snapToGrid w:val="0"/>
    </w:pPr>
  </w:style>
  <w:style w:type="character" w:customStyle="1" w:styleId="FooterChar">
    <w:name w:val="Footer Char"/>
    <w:link w:val="Footer"/>
    <w:uiPriority w:val="99"/>
    <w:rPr>
      <w:sz w:val="24"/>
      <w:szCs w:val="24"/>
      <w:lang w:eastAsia="en-US"/>
    </w:rPr>
  </w:style>
  <w:style w:type="paragraph" w:styleId="ListParagraph">
    <w:name w:val="List Paragraph"/>
    <w:basedOn w:val="Normal"/>
    <w:uiPriority w:val="34"/>
    <w:qFormat/>
    <w:rsid w:val="00BA32F4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BA32F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A32F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A32F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A32F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A32F4"/>
    <w:rPr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A32F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A32F4"/>
    <w:rPr>
      <w:rFonts w:ascii="Segoe UI" w:hAnsi="Segoe UI" w:cs="Segoe UI"/>
      <w:sz w:val="18"/>
      <w:szCs w:val="18"/>
    </w:rPr>
  </w:style>
  <w:style w:type="paragraph" w:styleId="Caption">
    <w:name w:val="caption"/>
    <w:basedOn w:val="Normal"/>
    <w:next w:val="Normal"/>
    <w:uiPriority w:val="35"/>
    <w:unhideWhenUsed/>
    <w:qFormat/>
    <w:rsid w:val="00A02AEC"/>
    <w:pPr>
      <w:spacing w:after="200"/>
    </w:pPr>
    <w:rPr>
      <w:i/>
      <w:iCs/>
      <w:color w:val="44546A" w:themeColor="text2"/>
      <w:sz w:val="18"/>
      <w:szCs w:val="18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491687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491687"/>
  </w:style>
  <w:style w:type="character" w:styleId="FootnoteReference">
    <w:name w:val="footnote reference"/>
    <w:basedOn w:val="DefaultParagraphFont"/>
    <w:uiPriority w:val="99"/>
    <w:semiHidden/>
    <w:unhideWhenUsed/>
    <w:rsid w:val="00491687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408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97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0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13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390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94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1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31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385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738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64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502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400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69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82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54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929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401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082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55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79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83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33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212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75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59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024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099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421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96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207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37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0F0F0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2EA3701-A8B9-414A-B680-6408491F22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526</TotalTime>
  <Pages>4</Pages>
  <Words>621</Words>
  <Characters>3248</Characters>
  <Application>Microsoft Office Word</Application>
  <DocSecurity>0</DocSecurity>
  <Lines>27</Lines>
  <Paragraphs>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タイトル</vt:lpstr>
      </vt:variant>
      <vt:variant>
        <vt:i4>1</vt:i4>
      </vt:variant>
    </vt:vector>
  </HeadingPairs>
  <TitlesOfParts>
    <vt:vector size="2" baseType="lpstr">
      <vt:lpstr>INTERNATIONAL ORGANISATION FOR STANDARDISATION</vt:lpstr>
      <vt:lpstr>INTERNATIONAL ORGANISATION FOR STANDARDISATION</vt:lpstr>
    </vt:vector>
  </TitlesOfParts>
  <Company>ITSCJ</Company>
  <LinksUpToDate>false</LinksUpToDate>
  <CharactersWithSpaces>3862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INTERNATIONAL ORGANISATION FOR STANDARDISATION</dc:title>
  <dc:subject/>
  <dc:creator/>
  <cp:keywords/>
  <cp:lastModifiedBy>Renaud Dore</cp:lastModifiedBy>
  <cp:revision>44</cp:revision>
  <cp:lastPrinted>1899-12-31T23:00:00Z</cp:lastPrinted>
  <dcterms:created xsi:type="dcterms:W3CDTF">2019-06-03T14:57:00Z</dcterms:created>
  <dcterms:modified xsi:type="dcterms:W3CDTF">2019-10-02T12:47:00Z</dcterms:modified>
</cp:coreProperties>
</file>