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2300" w14:textId="77777777" w:rsidR="00385C5D" w:rsidRPr="00F224A6" w:rsidRDefault="00385C5D" w:rsidP="00F224A6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</w:pPr>
      <w:r w:rsidRPr="00F224A6"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  <w:t>INTERNATIONAL ORGANISATION FOR STANDARDISATION</w:t>
      </w:r>
    </w:p>
    <w:p w14:paraId="7FCF95DB" w14:textId="77777777" w:rsidR="00385C5D" w:rsidRPr="00F224A6" w:rsidRDefault="00385C5D" w:rsidP="00F224A6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</w:pPr>
      <w:r w:rsidRPr="00F224A6"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  <w:t>ORGANISATION INTERNATIONALE DE NORMALISATION</w:t>
      </w:r>
    </w:p>
    <w:p w14:paraId="59B4F11C" w14:textId="644DBC71" w:rsidR="00385C5D" w:rsidRPr="00F224A6" w:rsidRDefault="00385C5D" w:rsidP="00F224A6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</w:pPr>
      <w:r w:rsidRPr="00F224A6"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  <w:t xml:space="preserve">ISO/IEC JTC 1/SC 29/WG </w:t>
      </w:r>
      <w:r w:rsidR="00FF5B3D">
        <w:rPr>
          <w:rFonts w:ascii="Times New Roman" w:eastAsia="SimSun" w:hAnsi="Times New Roman" w:cs="Times New Roman"/>
          <w:b/>
          <w:sz w:val="28"/>
          <w:szCs w:val="24"/>
          <w:lang w:val="fr-FR" w:eastAsia="zh-CN"/>
        </w:rPr>
        <w:t>4</w:t>
      </w:r>
    </w:p>
    <w:p w14:paraId="0D92B76F" w14:textId="77777777" w:rsidR="00385C5D" w:rsidRPr="001E281D" w:rsidRDefault="00385C5D" w:rsidP="00F224A6">
      <w:pPr>
        <w:widowControl/>
        <w:autoSpaceDE/>
        <w:autoSpaceDN/>
        <w:jc w:val="center"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 w:rsidRPr="001E281D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CODING OF MOVING PICTURES AND AUDIO</w:t>
      </w:r>
    </w:p>
    <w:p w14:paraId="5093E541" w14:textId="77777777" w:rsidR="00385C5D" w:rsidRPr="007100EA" w:rsidRDefault="00385C5D" w:rsidP="00385C5D">
      <w:pPr>
        <w:rPr>
          <w:lang w:val="en-GB"/>
        </w:rPr>
      </w:pPr>
    </w:p>
    <w:p w14:paraId="54CED6D6" w14:textId="0D01E092" w:rsidR="00385C5D" w:rsidRPr="00F224A6" w:rsidRDefault="00385C5D" w:rsidP="00385C5D">
      <w:pPr>
        <w:widowControl/>
        <w:jc w:val="right"/>
        <w:rPr>
          <w:rFonts w:ascii="Times New Roman" w:eastAsia="SimSun" w:hAnsi="Times New Roman" w:cs="Times New Roman"/>
          <w:b/>
          <w:sz w:val="48"/>
          <w:szCs w:val="24"/>
          <w:lang w:val="en-GB" w:eastAsia="zh-CN"/>
        </w:rPr>
      </w:pPr>
      <w:r w:rsidRPr="00F224A6">
        <w:rPr>
          <w:rFonts w:ascii="Times New Roman" w:eastAsia="SimSun" w:hAnsi="Times New Roman" w:cs="Times New Roman"/>
          <w:b/>
          <w:sz w:val="28"/>
          <w:szCs w:val="24"/>
          <w:lang w:val="en-GB" w:eastAsia="zh-CN"/>
        </w:rPr>
        <w:t xml:space="preserve">ISO/IEC JTC 1/SC 29/WG </w:t>
      </w:r>
      <w:r w:rsidR="00FF5B3D">
        <w:rPr>
          <w:rFonts w:ascii="Times New Roman" w:eastAsia="SimSun" w:hAnsi="Times New Roman" w:cs="Times New Roman"/>
          <w:b/>
          <w:sz w:val="28"/>
          <w:szCs w:val="24"/>
          <w:lang w:val="en-GB" w:eastAsia="zh-CN"/>
        </w:rPr>
        <w:t>4</w:t>
      </w:r>
      <w:r w:rsidRPr="00F224A6">
        <w:rPr>
          <w:rFonts w:ascii="Times New Roman" w:eastAsia="SimSun" w:hAnsi="Times New Roman" w:cs="Times New Roman"/>
          <w:b/>
          <w:sz w:val="28"/>
          <w:szCs w:val="24"/>
          <w:lang w:val="en-GB" w:eastAsia="zh-CN"/>
        </w:rPr>
        <w:t xml:space="preserve"> </w:t>
      </w:r>
      <w:r w:rsidR="00F224A6" w:rsidRPr="00F224A6">
        <w:rPr>
          <w:rFonts w:ascii="Times New Roman" w:eastAsia="SimSun" w:hAnsi="Times New Roman" w:cs="Times New Roman"/>
          <w:b/>
          <w:sz w:val="48"/>
          <w:szCs w:val="24"/>
          <w:lang w:val="en-GB" w:eastAsia="zh-CN"/>
        </w:rPr>
        <w:t>m</w:t>
      </w:r>
      <w:r w:rsidRPr="00F224A6">
        <w:rPr>
          <w:rFonts w:ascii="Times New Roman" w:hAnsi="Times New Roman" w:cs="Times New Roman"/>
          <w:lang w:val="en-GB"/>
        </w:rPr>
        <w:t xml:space="preserve"> </w:t>
      </w:r>
      <w:r w:rsidR="001E281D">
        <w:rPr>
          <w:rFonts w:ascii="Times New Roman" w:eastAsia="SimSun" w:hAnsi="Times New Roman" w:cs="Times New Roman"/>
          <w:b/>
          <w:sz w:val="48"/>
          <w:szCs w:val="24"/>
          <w:lang w:val="en-GB" w:eastAsia="zh-CN"/>
        </w:rPr>
        <w:t>55091</w:t>
      </w:r>
    </w:p>
    <w:p w14:paraId="1E14C2FC" w14:textId="08559A67" w:rsidR="00385C5D" w:rsidRPr="00F224A6" w:rsidRDefault="00385C5D" w:rsidP="00385C5D">
      <w:pPr>
        <w:widowControl/>
        <w:jc w:val="right"/>
        <w:rPr>
          <w:rFonts w:ascii="Times New Roman" w:eastAsia="SimSun" w:hAnsi="Times New Roman" w:cs="Times New Roman"/>
          <w:b/>
          <w:sz w:val="28"/>
          <w:szCs w:val="24"/>
          <w:lang w:val="en-GB" w:eastAsia="zh-CN"/>
        </w:rPr>
      </w:pPr>
      <w:r w:rsidRPr="00F224A6">
        <w:rPr>
          <w:rFonts w:ascii="Times New Roman" w:eastAsia="SimSun" w:hAnsi="Times New Roman" w:cs="Times New Roman"/>
          <w:b/>
          <w:sz w:val="28"/>
          <w:szCs w:val="24"/>
          <w:lang w:val="en-GB" w:eastAsia="zh-CN"/>
        </w:rPr>
        <w:t>Online – October 2020</w:t>
      </w:r>
    </w:p>
    <w:p w14:paraId="0F0DC0D2" w14:textId="72A149C6" w:rsidR="00FF2653" w:rsidRPr="00F224A6" w:rsidRDefault="00FF2653" w:rsidP="0018563E">
      <w:pPr>
        <w:rPr>
          <w:rFonts w:ascii="Times New Roman" w:hAnsi="Times New Roman" w:cs="Times New Roman"/>
          <w:sz w:val="24"/>
        </w:rPr>
      </w:pPr>
    </w:p>
    <w:p w14:paraId="3098297E" w14:textId="04329B01" w:rsidR="00F224A6" w:rsidRPr="001E281D" w:rsidRDefault="00F224A6" w:rsidP="00F224A6">
      <w:pPr>
        <w:widowControl/>
        <w:autoSpaceDE/>
        <w:autoSpaceDN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 w:rsidRPr="001E281D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Title: </w:t>
      </w:r>
      <w:r w:rsidR="001E281D" w:rsidRPr="001E281D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MIV CTC modification proposal</w:t>
      </w:r>
    </w:p>
    <w:p w14:paraId="6202267B" w14:textId="3EAC7BF4" w:rsidR="00F224A6" w:rsidRPr="005150D6" w:rsidRDefault="00F224A6" w:rsidP="00F224A6">
      <w:pPr>
        <w:widowControl/>
        <w:autoSpaceDE/>
        <w:autoSpaceDN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  <w:r w:rsidRPr="005150D6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Author: </w:t>
      </w:r>
      <w:r w:rsidR="001E281D" w:rsidRPr="005150D6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Renaud Doré, </w:t>
      </w:r>
      <w:r w:rsidR="002213E9" w:rsidRPr="005150D6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Franck Thudor, </w:t>
      </w:r>
      <w:r w:rsidR="001E281D" w:rsidRPr="005150D6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Bertrand Chupeau (Interdigital)</w:t>
      </w:r>
    </w:p>
    <w:p w14:paraId="14230217" w14:textId="1E13E8D3" w:rsidR="001E281D" w:rsidRPr="005150D6" w:rsidRDefault="001E281D" w:rsidP="00F224A6">
      <w:pPr>
        <w:widowControl/>
        <w:autoSpaceDE/>
        <w:autoSpaceDN/>
        <w:rPr>
          <w:rFonts w:ascii="Times New Roman" w:eastAsia="SimSun" w:hAnsi="Times New Roman" w:cs="Times New Roman"/>
          <w:b/>
          <w:sz w:val="28"/>
          <w:szCs w:val="24"/>
          <w:lang w:eastAsia="zh-CN"/>
        </w:rPr>
      </w:pPr>
    </w:p>
    <w:p w14:paraId="18A85C3C" w14:textId="31EE52FC" w:rsidR="001E281D" w:rsidRDefault="001E281D" w:rsidP="005150D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The purpose of m55089 </w:t>
      </w:r>
      <w:r w:rsidR="00D84147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is to justify the </w:t>
      </w:r>
      <w:r w:rsidR="00B259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possible</w:t>
      </w:r>
      <w:r w:rsidR="00D84147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5150D6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activati</w:t>
      </w:r>
      <w:r w:rsidR="00B259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on of</w:t>
      </w:r>
      <w:r w:rsidR="00D84147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the transparency information in a</w:t>
      </w:r>
      <w:r w:rsidR="005150D6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n extended</w:t>
      </w:r>
      <w:r w:rsidR="00D84147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profile.</w:t>
      </w:r>
      <w:r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5150D6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This profile would be used when some contents require it</w:t>
      </w:r>
      <w:r w:rsidR="00BA52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 w:rsidR="005150D6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Interdigital claims that this requirement happens even before the content includes truly transparent material </w:t>
      </w:r>
      <w:r w:rsidR="00BA52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like glass</w:t>
      </w:r>
      <w:r w:rsidR="005150D6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– which is </w:t>
      </w:r>
      <w:r w:rsidR="00B259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by the way </w:t>
      </w:r>
      <w:r w:rsidR="005150D6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almost absent in the current CTC contents – and for example when the contours are either very sensitive to any artefact because of sharp contrast of foreground versus background or in presence of fine geometry.</w:t>
      </w:r>
      <w:r w:rsidR="00655E8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8956B1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</w:t>
      </w:r>
      <w:r w:rsidR="00BA52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55089 also explains that </w:t>
      </w:r>
      <w:r w:rsidR="00655E8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MPI is a mean</w:t>
      </w:r>
      <w:r w:rsidR="00A77B7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s</w:t>
      </w:r>
      <w:r w:rsidR="00655E88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to bring and render this transparency information.</w:t>
      </w:r>
    </w:p>
    <w:p w14:paraId="53317048" w14:textId="77777777" w:rsidR="00352E6A" w:rsidRDefault="00352E6A" w:rsidP="005150D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21535D3" w14:textId="50DB078C" w:rsidR="001E281D" w:rsidRPr="005150D6" w:rsidRDefault="00352E6A" w:rsidP="005150D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m55089 only recommends opening a new extended profile. </w:t>
      </w:r>
      <w:r w:rsidR="001E281D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This contribution aims discuss</w:t>
      </w:r>
      <w:r w:rsidR="009D158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ing</w:t>
      </w:r>
      <w:r w:rsidR="001E281D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about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the</w:t>
      </w:r>
      <w:r w:rsidR="00BA52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introduction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of </w:t>
      </w:r>
      <w:r w:rsidR="00B259F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content with </w:t>
      </w:r>
      <w:r w:rsidR="00BA52C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transparency component</w:t>
      </w:r>
      <w:r w:rsidR="009D1587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in the CTC</w:t>
      </w:r>
      <w:r w:rsidR="001E281D" w:rsidRPr="005150D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</w:p>
    <w:p w14:paraId="740CF6B2" w14:textId="77777777" w:rsidR="001E281D" w:rsidRDefault="001E281D" w:rsidP="00F224A6">
      <w:pPr>
        <w:widowControl/>
        <w:autoSpaceDE/>
        <w:autoSpaceDN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6CD49D7B" w14:textId="7A1C1462" w:rsidR="00D84147" w:rsidRDefault="00D84147" w:rsidP="0054119E">
      <w:pPr>
        <w:pStyle w:val="Heading1"/>
        <w:numPr>
          <w:ilvl w:val="0"/>
          <w:numId w:val="5"/>
        </w:numPr>
        <w:ind w:left="360"/>
        <w:rPr>
          <w:lang w:eastAsia="zh-CN"/>
        </w:rPr>
      </w:pPr>
      <w:r>
        <w:rPr>
          <w:lang w:eastAsia="zh-CN"/>
        </w:rPr>
        <w:t>MPI</w:t>
      </w:r>
      <w:r w:rsidR="0054119E">
        <w:rPr>
          <w:lang w:eastAsia="zh-CN"/>
        </w:rPr>
        <w:t xml:space="preserve"> as a possible input for test material</w:t>
      </w:r>
    </w:p>
    <w:p w14:paraId="2BE48DB2" w14:textId="77777777" w:rsidR="006040A2" w:rsidRDefault="006040A2" w:rsidP="005150D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759B9CBB" w14:textId="4D9D284B" w:rsidR="007402A9" w:rsidRDefault="005150D6" w:rsidP="009D1587">
      <w:pPr>
        <w:widowControl/>
        <w:autoSpaceDE/>
        <w:autoSpaceDN/>
        <w:spacing w:after="120"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5150D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It has been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mentioned in </w:t>
      </w:r>
      <w:r w:rsidR="00B259F9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m55089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[1] that the creation of </w:t>
      </w:r>
      <w:r w:rsidR="00A77B70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an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MPI is extremely long</w:t>
      </w:r>
      <w:r w:rsidR="007402A9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and requires GPU processing,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preventing </w:t>
      </w:r>
      <w:r w:rsidR="00655E88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in practice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 </w:t>
      </w:r>
      <w:r w:rsidR="007402A9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computation in the TMIV software as done so far. </w:t>
      </w:r>
    </w:p>
    <w:p w14:paraId="10C344F5" w14:textId="2600836B" w:rsidR="005150D6" w:rsidRDefault="007402A9" w:rsidP="005150D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Instead, it </w:t>
      </w:r>
      <w:r w:rsidR="00427272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would be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natural to </w:t>
      </w:r>
      <w:r w:rsidR="00427272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allow </w:t>
      </w:r>
      <w:r w:rsidR="00655E88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a content provider to propose</w:t>
      </w:r>
      <w:r w:rsidR="00D5784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as an alternative method</w:t>
      </w:r>
      <w:r w:rsidR="00655E88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his content for CTC integration directly under the </w:t>
      </w:r>
      <w:r w:rsidR="00D5784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form</w:t>
      </w:r>
      <w:r w:rsidR="00655E88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of </w:t>
      </w:r>
      <w:r w:rsidR="00A77B70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an </w:t>
      </w:r>
      <w:r w:rsidR="00655E88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MPI. A few remarks:</w:t>
      </w:r>
    </w:p>
    <w:p w14:paraId="4275EAFB" w14:textId="77777777" w:rsidR="008956B1" w:rsidRDefault="008956B1" w:rsidP="005150D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775B12DB" w14:textId="79517170" w:rsidR="00655E88" w:rsidRDefault="00655E88" w:rsidP="00655E88">
      <w:pPr>
        <w:pStyle w:val="ListParagraph"/>
        <w:widowControl/>
        <w:numPr>
          <w:ilvl w:val="0"/>
          <w:numId w:val="8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MPI input would be a parallel with MVD inputs, as an alternative input</w:t>
      </w:r>
      <w:r w:rsid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. It would use the last update of Call for Visual Test Material [2] allowing transparency as complementary input as YUV file. </w:t>
      </w:r>
    </w:p>
    <w:p w14:paraId="4A0DC7C0" w14:textId="77777777" w:rsidR="008956B1" w:rsidRPr="008956B1" w:rsidRDefault="008956B1" w:rsidP="008956B1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0DDB0806" w14:textId="35F0DEC9" w:rsidR="00655E88" w:rsidRDefault="00655E88" w:rsidP="00655E88">
      <w:pPr>
        <w:pStyle w:val="ListParagraph"/>
        <w:widowControl/>
        <w:numPr>
          <w:ilvl w:val="0"/>
          <w:numId w:val="8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 TMIV would </w:t>
      </w:r>
      <w:r w:rsid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have to accept this alternative inputs as well but could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mutualize a number of blocks in the encoder. An exception to this is the pruning which does not longer exist</w:t>
      </w:r>
      <w:r w:rsid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with MPI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27B5B117" w14:textId="77777777" w:rsidR="008956B1" w:rsidRPr="008956B1" w:rsidRDefault="008956B1" w:rsidP="008956B1">
      <w:pPr>
        <w:pStyle w:val="ListParagrap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55581908" w14:textId="246EC2B7" w:rsidR="008956B1" w:rsidRDefault="008956B1" w:rsidP="00655E88">
      <w:pPr>
        <w:pStyle w:val="ListParagraph"/>
        <w:widowControl/>
        <w:numPr>
          <w:ilvl w:val="0"/>
          <w:numId w:val="8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lastRenderedPageBreak/>
        <w:t>TMIV Renderer would be of course different</w:t>
      </w:r>
      <w:r w:rsidR="00352E6A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but blocks in the decoder could be mutualized as well like </w:t>
      </w:r>
      <w:r w:rsidR="00B259F9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metadata </w:t>
      </w:r>
      <w:r w:rsidR="00352E6A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parsing, etc.</w:t>
      </w:r>
    </w:p>
    <w:p w14:paraId="31E0773B" w14:textId="77777777" w:rsidR="00B259F9" w:rsidRPr="00B259F9" w:rsidRDefault="00B259F9" w:rsidP="00B259F9">
      <w:pPr>
        <w:pStyle w:val="ListParagrap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20D15138" w14:textId="3784CF61" w:rsidR="00655E88" w:rsidRPr="00D84147" w:rsidRDefault="00655E88" w:rsidP="00655E88">
      <w:pPr>
        <w:pStyle w:val="Heading1"/>
        <w:numPr>
          <w:ilvl w:val="0"/>
          <w:numId w:val="5"/>
        </w:numPr>
        <w:ind w:left="360"/>
        <w:rPr>
          <w:lang w:eastAsia="zh-CN"/>
        </w:rPr>
      </w:pPr>
      <w:r>
        <w:rPr>
          <w:lang w:eastAsia="zh-CN"/>
        </w:rPr>
        <w:t xml:space="preserve">OpenEXR 2.0 as a possible </w:t>
      </w:r>
      <w:r w:rsidR="000A035A">
        <w:rPr>
          <w:lang w:eastAsia="zh-CN"/>
        </w:rPr>
        <w:t xml:space="preserve">input </w:t>
      </w:r>
      <w:r>
        <w:rPr>
          <w:lang w:eastAsia="zh-CN"/>
        </w:rPr>
        <w:t xml:space="preserve">format </w:t>
      </w:r>
    </w:p>
    <w:p w14:paraId="5C9AF88C" w14:textId="77777777" w:rsidR="00655E88" w:rsidRDefault="00655E88" w:rsidP="00655E88">
      <w:pPr>
        <w:widowControl/>
        <w:autoSpaceDE/>
        <w:autoSpaceDN/>
        <w:ind w:left="360"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48529D7F" w14:textId="480F2AFC" w:rsidR="00655E88" w:rsidRDefault="00655E88" w:rsidP="00655E88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MPI is just a set of texture and transparency planes. </w:t>
      </w:r>
      <w:r w:rsid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We see 2 options</w:t>
      </w:r>
      <w:r w:rsidR="00352E6A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as an input format</w:t>
      </w:r>
      <w:r w:rsid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:</w:t>
      </w:r>
    </w:p>
    <w:p w14:paraId="50BCCCC6" w14:textId="3205782E" w:rsidR="00655E88" w:rsidRPr="008956B1" w:rsidRDefault="00655E88" w:rsidP="008956B1">
      <w:pPr>
        <w:pStyle w:val="ListParagraph"/>
        <w:widowControl/>
        <w:numPr>
          <w:ilvl w:val="0"/>
          <w:numId w:val="9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One first option would be to create a view per planes. </w:t>
      </w:r>
      <w:r w:rsid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It would lead to more than one hundred of views, which may be not manageable in terms of input pixel rates. </w:t>
      </w:r>
    </w:p>
    <w:p w14:paraId="0EFB47E1" w14:textId="7CBE6913" w:rsidR="00352E6A" w:rsidRDefault="008956B1" w:rsidP="008956B1">
      <w:pPr>
        <w:pStyle w:val="ListParagraph"/>
        <w:widowControl/>
        <w:numPr>
          <w:ilvl w:val="0"/>
          <w:numId w:val="9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The 2</w:t>
      </w:r>
      <w:r w:rsidRPr="008956B1">
        <w:rPr>
          <w:rFonts w:ascii="Times New Roman" w:eastAsia="SimSun" w:hAnsi="Times New Roman" w:cs="Times New Roman"/>
          <w:bCs/>
          <w:sz w:val="28"/>
          <w:szCs w:val="24"/>
          <w:vertAlign w:val="superscript"/>
          <w:lang w:eastAsia="zh-CN"/>
        </w:rPr>
        <w:t>nd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option is </w:t>
      </w:r>
      <w:r w:rsidR="00352E6A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Open</w:t>
      </w:r>
      <w:r w:rsidR="000C5BEC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E</w:t>
      </w:r>
      <w:r w:rsidR="00352E6A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XR 2.0</w:t>
      </w:r>
      <w:r w:rsidR="00655E88" w:rsidRPr="008956B1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</w:t>
      </w:r>
      <w:r w:rsidR="00352E6A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and this has our preference</w:t>
      </w:r>
      <w:r w:rsidR="00A77B70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3EA6386B" w14:textId="77777777" w:rsidR="00352E6A" w:rsidRDefault="00352E6A" w:rsidP="00352E6A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522A59E0" w14:textId="4535B5DC" w:rsidR="00655E88" w:rsidRDefault="000C5BEC" w:rsidP="000C5BEC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Originally, </w:t>
      </w:r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“OpenEXR is a </w:t>
      </w:r>
      <w:hyperlink r:id="rId8" w:tooltip="High dynamic range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high dynamic range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 </w:t>
      </w:r>
      <w:hyperlink r:id="rId9" w:tooltip="Raster graphics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raster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 </w:t>
      </w:r>
      <w:hyperlink r:id="rId10" w:tooltip="File format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file format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, released as an </w:t>
      </w:r>
      <w:hyperlink r:id="rId11" w:tooltip="Open standard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open standard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 along with a set of software tools created by </w:t>
      </w:r>
      <w:hyperlink r:id="rId12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Industrial Light &amp; Magic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 (ILM), under a </w:t>
      </w:r>
      <w:hyperlink r:id="rId13" w:tooltip="Free software license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free software license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 similar to the </w:t>
      </w:r>
      <w:hyperlink r:id="rId14" w:tooltip="BSD license" w:history="1">
        <w:r w:rsidRPr="000C5BEC">
          <w:rPr>
            <w:rFonts w:ascii="Times New Roman" w:eastAsia="SimSun" w:hAnsi="Times New Roman" w:cs="Times New Roman"/>
            <w:bCs/>
            <w:i/>
            <w:iCs/>
            <w:sz w:val="28"/>
            <w:szCs w:val="24"/>
            <w:lang w:eastAsia="zh-CN"/>
          </w:rPr>
          <w:t>BSD license</w:t>
        </w:r>
      </w:hyperlink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”.</w:t>
      </w:r>
    </w:p>
    <w:p w14:paraId="3A51A041" w14:textId="77777777" w:rsidR="000C5BEC" w:rsidRDefault="000C5BEC" w:rsidP="000C5BEC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388E9FF3" w14:textId="7B2BD989" w:rsidR="000C5BEC" w:rsidRDefault="000C5BEC" w:rsidP="000C5BEC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In April 2013, ILM introduced a major release OpenEXR2.0 </w:t>
      </w:r>
      <w:r w:rsidR="003B46AC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(cf [4]</w:t>
      </w:r>
      <w:r w:rsidR="00D5784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)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with depth support:</w:t>
      </w:r>
    </w:p>
    <w:p w14:paraId="5F1731B9" w14:textId="77777777" w:rsidR="000C5BEC" w:rsidRDefault="000C5BEC" w:rsidP="000C5BEC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37A38974" w14:textId="6797E1BF" w:rsidR="000C5BEC" w:rsidRPr="000C5BEC" w:rsidRDefault="000C5BEC" w:rsidP="000C5BEC">
      <w:pPr>
        <w:widowControl/>
        <w:autoSpaceDE/>
        <w:autoSpaceDN/>
        <w:ind w:left="360"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 w:rsidRPr="000C5BEC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Deep Data support - Pixels can now store a variable-length list of samples. The main rationale behind deep images is to enable the storage of multiple values at different depths for each pixel. OpenEXR 2.0 supports both hard-surface and volumetric representations for Deep Compositing workflows</w:t>
      </w:r>
    </w:p>
    <w:p w14:paraId="24A6E8B2" w14:textId="77EDF930" w:rsidR="000C5BEC" w:rsidRDefault="000C5BEC" w:rsidP="000C5BEC">
      <w:pPr>
        <w:widowControl/>
        <w:autoSpaceDE/>
        <w:autoSpaceDN/>
        <w:ind w:left="360"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</w:p>
    <w:p w14:paraId="7F7D9268" w14:textId="63492C70" w:rsidR="003B46AC" w:rsidRDefault="003B46AC" w:rsidP="003B46AC">
      <w:pPr>
        <w:widowControl/>
        <w:autoSpaceDE/>
        <w:autoSpaceDN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3B46AC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There are different method for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lossless or lossy </w:t>
      </w:r>
      <w:r w:rsidRPr="003B46AC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compression as listed in </w:t>
      </w:r>
      <w:hyperlink r:id="rId15" w:history="1">
        <w:r w:rsidRPr="003B46AC">
          <w:rPr>
            <w:rStyle w:val="Hyperlink"/>
            <w:rFonts w:ascii="Times New Roman" w:eastAsia="SimSun" w:hAnsi="Times New Roman" w:cs="Times New Roman"/>
            <w:bCs/>
            <w:sz w:val="28"/>
            <w:szCs w:val="24"/>
            <w:lang w:eastAsia="zh-CN"/>
          </w:rPr>
          <w:t>OpenEXR Wikipedia page</w:t>
        </w:r>
      </w:hyperlink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093AB708" w14:textId="2C8C686D" w:rsidR="004230B6" w:rsidRDefault="004230B6" w:rsidP="003B46AC">
      <w:pPr>
        <w:widowControl/>
        <w:autoSpaceDE/>
        <w:autoSpaceDN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03EB3E8C" w14:textId="23E1B354" w:rsidR="004230B6" w:rsidRPr="006040A2" w:rsidRDefault="004230B6" w:rsidP="004230B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Also, the use of OpenEXR2.0 as input format would open the door to other information like material ID, etc. and to advanced investigations </w:t>
      </w:r>
      <w:r w:rsidR="00D5784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but this is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beyond the current specification version.</w:t>
      </w:r>
    </w:p>
    <w:p w14:paraId="218EF21E" w14:textId="77777777" w:rsidR="004230B6" w:rsidRPr="003B46AC" w:rsidRDefault="004230B6" w:rsidP="003B46AC">
      <w:pPr>
        <w:widowControl/>
        <w:autoSpaceDE/>
        <w:autoSpaceDN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3FF28DA3" w14:textId="77777777" w:rsidR="000C5BEC" w:rsidRDefault="000C5BEC" w:rsidP="00655E88">
      <w:pPr>
        <w:widowControl/>
        <w:autoSpaceDE/>
        <w:autoSpaceDN/>
        <w:ind w:left="360"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7E80CB6C" w14:textId="24A96599" w:rsidR="00D84147" w:rsidRDefault="00D84147" w:rsidP="0054119E">
      <w:pPr>
        <w:pStyle w:val="Heading1"/>
        <w:numPr>
          <w:ilvl w:val="0"/>
          <w:numId w:val="5"/>
        </w:numPr>
        <w:ind w:left="360"/>
        <w:rPr>
          <w:lang w:eastAsia="zh-CN"/>
        </w:rPr>
      </w:pPr>
      <w:r>
        <w:rPr>
          <w:lang w:eastAsia="zh-CN"/>
        </w:rPr>
        <w:t>Required Changes in the methodology related to objective performance</w:t>
      </w:r>
      <w:r w:rsidR="00D57846">
        <w:rPr>
          <w:lang w:eastAsia="zh-CN"/>
        </w:rPr>
        <w:t>s</w:t>
      </w:r>
    </w:p>
    <w:p w14:paraId="4D89913A" w14:textId="24FAFF9A" w:rsidR="00E32BA1" w:rsidRDefault="00E32BA1" w:rsidP="00E32BA1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4C2C7F67" w14:textId="58902165" w:rsidR="00E32BA1" w:rsidRDefault="00E32BA1" w:rsidP="00E32BA1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A recent contribution</w:t>
      </w:r>
      <w:r w:rsidR="00C10013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“</w:t>
      </w:r>
      <w:r w:rsidR="00C10013" w:rsidRPr="00C10013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On quality evaluation for MIV activity”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[</w:t>
      </w:r>
      <w:r w:rsidR="009D1587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3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]</w:t>
      </w:r>
      <w:r w:rsidR="00C10013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has listed the issues with the objective performance method based on source views, among which :</w:t>
      </w:r>
    </w:p>
    <w:p w14:paraId="1DD0109D" w14:textId="6CCA1ABA" w:rsidR="00C10013" w:rsidRPr="00C10013" w:rsidRDefault="00C10013" w:rsidP="00E32BA1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“</w:t>
      </w:r>
    </w:p>
    <w:p w14:paraId="038E6AA0" w14:textId="033F7D64" w:rsidR="00C10013" w:rsidRPr="00C10013" w:rsidRDefault="00C10013" w:rsidP="00C10013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 w:rsidRPr="00C10013">
        <w:rPr>
          <w:rFonts w:ascii="Times New Roman" w:eastAsia="SimSun" w:hAnsi="Times New Roman" w:cs="Times New Roman"/>
          <w:b/>
          <w:bCs/>
          <w:i/>
          <w:iCs/>
          <w:sz w:val="28"/>
          <w:szCs w:val="24"/>
          <w:lang w:eastAsia="zh-CN"/>
        </w:rPr>
        <w:t>Issue 1:</w:t>
      </w:r>
      <w:r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 most of the displayed views, for which the quality should be assessed, don’t have a ground truth reference. </w:t>
      </w:r>
    </w:p>
    <w:p w14:paraId="099D39CB" w14:textId="77777777" w:rsidR="00C10013" w:rsidRPr="00C10013" w:rsidRDefault="00C10013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</w:p>
    <w:p w14:paraId="6FBEE707" w14:textId="77777777" w:rsidR="00C10013" w:rsidRPr="00C10013" w:rsidRDefault="00C10013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lastRenderedPageBreak/>
        <w:t>As a consequence, for objective evaluation, only the intermediate views estimated at position and orientation of captured source views are considered.</w:t>
      </w:r>
    </w:p>
    <w:p w14:paraId="09B1DFEC" w14:textId="77777777" w:rsidR="00C10013" w:rsidRPr="00C10013" w:rsidRDefault="00C10013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</w:p>
    <w:p w14:paraId="07E81543" w14:textId="4E8087FD" w:rsidR="00C10013" w:rsidRPr="00C10013" w:rsidRDefault="00C10013" w:rsidP="00C10013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 w:rsidRPr="00C10013">
        <w:rPr>
          <w:rFonts w:ascii="Times New Roman" w:eastAsia="SimSun" w:hAnsi="Times New Roman" w:cs="Times New Roman"/>
          <w:b/>
          <w:bCs/>
          <w:i/>
          <w:iCs/>
          <w:sz w:val="28"/>
          <w:szCs w:val="24"/>
          <w:lang w:eastAsia="zh-CN"/>
        </w:rPr>
        <w:t>Issue 2:</w:t>
      </w:r>
      <w:r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 full-reference objective metrics can only be used on a limited amount of view positions and orientations.”</w:t>
      </w:r>
    </w:p>
    <w:p w14:paraId="0CDC54A6" w14:textId="77777777" w:rsidR="00C10013" w:rsidRPr="00C10013" w:rsidRDefault="00C10013" w:rsidP="00E32BA1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</w:p>
    <w:p w14:paraId="32B01CF7" w14:textId="4193BDAB" w:rsidR="0054119E" w:rsidRPr="00C10013" w:rsidRDefault="00D84147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No more source views</w:t>
      </w:r>
      <w:r w:rsidR="0054119E"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 to compare with</w:t>
      </w:r>
      <w:r w:rsidR="00C10013"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, and </w:t>
      </w:r>
      <w:r w:rsidR="0054119E"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PSNR computed on pose traces</w:t>
      </w:r>
      <w:r w:rsidR="008556F2" w:rsidRPr="00C10013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, as mentioned by the contribution on how to improve metrics for immersive content </w:t>
      </w:r>
    </w:p>
    <w:p w14:paraId="22F0DF72" w14:textId="77777777" w:rsidR="00592D6F" w:rsidRDefault="00592D6F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</w:p>
    <w:p w14:paraId="794A85FE" w14:textId="56959546" w:rsidR="00592D6F" w:rsidRPr="00592D6F" w:rsidRDefault="00592D6F" w:rsidP="00592D6F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.. </w:t>
      </w:r>
      <w:r w:rsidRPr="00592D6F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The group has limited confidence in the metrics</w:t>
      </w:r>
      <w:r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 xml:space="preserve"> [ currently used in the CTC ]</w:t>
      </w:r>
      <w:r w:rsidRPr="00592D6F"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, in this specific context.</w:t>
      </w:r>
    </w:p>
    <w:p w14:paraId="6D0B4531" w14:textId="2CD8C0F7" w:rsidR="00A77B70" w:rsidRDefault="00A77B70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i/>
          <w:iCs/>
          <w:sz w:val="28"/>
          <w:szCs w:val="24"/>
          <w:lang w:eastAsia="zh-CN"/>
        </w:rPr>
        <w:t>”</w:t>
      </w:r>
    </w:p>
    <w:p w14:paraId="19131C5B" w14:textId="3D05C923" w:rsidR="00592D6F" w:rsidRDefault="00592D6F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The use of a MPI changes a little bit the game:</w:t>
      </w:r>
    </w:p>
    <w:p w14:paraId="22020D26" w14:textId="77777777" w:rsidR="00204B3B" w:rsidRDefault="00204B3B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724A0FF6" w14:textId="646A6BB3" w:rsidR="00592D6F" w:rsidRDefault="00592D6F" w:rsidP="00592D6F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There is no more “source views”, preventing the comparison to original images</w:t>
      </w:r>
      <w:r w:rsidR="00A77B70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13B93F4B" w14:textId="126FA0A5" w:rsidR="00204B3B" w:rsidRDefault="00592D6F" w:rsidP="00592D6F">
      <w:pPr>
        <w:pStyle w:val="ListParagraph"/>
        <w:widowControl/>
        <w:numPr>
          <w:ilvl w:val="0"/>
          <w:numId w:val="11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592D6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but on another hand</w:t>
      </w:r>
      <w:r w:rsidR="00204B3B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,</w:t>
      </w:r>
      <w:r w:rsidRPr="00592D6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the renderer is </w:t>
      </w:r>
      <w:r w:rsidR="00204B3B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straightforward, allowing to render </w:t>
      </w:r>
      <w:r w:rsidR="00697FE7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the generation of</w:t>
      </w:r>
      <w:r w:rsidR="00204B3B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any position with very little</w:t>
      </w:r>
      <w:r w:rsidR="00D306A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,</w:t>
      </w:r>
      <w:r w:rsidR="00204B3B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</w:t>
      </w:r>
      <w:r w:rsidR="00D306A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if any, </w:t>
      </w:r>
      <w:r w:rsidR="00204B3B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ambiguity</w:t>
      </w:r>
      <w:r w:rsidR="00A77B70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4398190C" w14:textId="77777777" w:rsidR="00204B3B" w:rsidRPr="00204B3B" w:rsidRDefault="00204B3B" w:rsidP="00204B3B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745330C3" w14:textId="2EEA05E7" w:rsidR="00592D6F" w:rsidRDefault="00204B3B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Therefore, would the group decide to investigate more </w:t>
      </w:r>
      <w:r w:rsidR="00651D4E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MPI in the </w:t>
      </w:r>
      <w:r w:rsidR="00D306A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framework of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TMIV, objective metrics </w:t>
      </w:r>
      <w:r w:rsidR="006040A2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computation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would consist in using the same metrics as in current CTC, but apply</w:t>
      </w:r>
      <w:r w:rsidR="00651D4E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ing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them on very diverse source position</w:t>
      </w:r>
      <w:r w:rsidR="00863360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s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, typically </w:t>
      </w:r>
      <w:r w:rsidRPr="009712C4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>integrated through the pose trace</w:t>
      </w:r>
      <w:r w:rsidR="00863360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 paths</w:t>
      </w:r>
      <w:r w:rsidR="006040A2">
        <w:rPr>
          <w:rFonts w:ascii="Times New Roman" w:eastAsia="SimSun" w:hAnsi="Times New Roman" w:cs="Times New Roman"/>
          <w:b/>
          <w:sz w:val="28"/>
          <w:szCs w:val="24"/>
          <w:lang w:eastAsia="zh-CN"/>
        </w:rPr>
        <w:t xml:space="preserve"> </w:t>
      </w:r>
      <w:r w:rsidR="006040A2" w:rsidRPr="006040A2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as illustrated below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6BE77AD7" w14:textId="12632C82" w:rsidR="00697FE7" w:rsidRDefault="009D1587" w:rsidP="00C10013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9D1587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drawing>
          <wp:inline distT="0" distB="0" distL="0" distR="0" wp14:anchorId="01AF3C8A" wp14:editId="37FF49C5">
            <wp:extent cx="5727700" cy="196532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AB7EA" w14:textId="3F49BBFD" w:rsidR="0054119E" w:rsidRDefault="00697FE7" w:rsidP="00697FE7">
      <w:pPr>
        <w:pStyle w:val="Caption"/>
        <w:jc w:val="center"/>
      </w:pPr>
      <w:r>
        <w:t xml:space="preserve">Figure </w:t>
      </w:r>
      <w:r w:rsidR="004867F8">
        <w:fldChar w:fldCharType="begin"/>
      </w:r>
      <w:r w:rsidR="004867F8">
        <w:instrText xml:space="preserve"> SEQ Figure \* ARABIC </w:instrText>
      </w:r>
      <w:r w:rsidR="004867F8">
        <w:fldChar w:fldCharType="separate"/>
      </w:r>
      <w:r>
        <w:rPr>
          <w:noProof/>
        </w:rPr>
        <w:t>1</w:t>
      </w:r>
      <w:r w:rsidR="004867F8">
        <w:rPr>
          <w:noProof/>
        </w:rPr>
        <w:fldChar w:fldCharType="end"/>
      </w:r>
      <w:r>
        <w:t>: metrics computation along pose trace paths</w:t>
      </w:r>
    </w:p>
    <w:p w14:paraId="48E750FF" w14:textId="1937FB7A" w:rsidR="00697FE7" w:rsidRDefault="006040A2" w:rsidP="006040A2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 introduction of MPI as a content input raises anyway the question of the viewing </w:t>
      </w:r>
      <w:r w:rsidR="009D1587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quality 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of this content. </w:t>
      </w:r>
      <w:r w:rsidRPr="006040A2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The group could decide the acceptance of a new content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by viewing the content from the MPI renderer (cf A above)</w:t>
      </w:r>
      <w:r w:rsidR="00D306A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and assess whether the visual quality is good enough</w:t>
      </w: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.</w:t>
      </w:r>
    </w:p>
    <w:p w14:paraId="183C7B6F" w14:textId="6358137C" w:rsidR="004230B6" w:rsidRDefault="004230B6" w:rsidP="006040A2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42CAE2B2" w14:textId="77777777" w:rsidR="00697FE7" w:rsidRDefault="00697FE7" w:rsidP="0054119E">
      <w:pPr>
        <w:rPr>
          <w:lang w:eastAsia="zh-CN"/>
        </w:rPr>
      </w:pPr>
    </w:p>
    <w:p w14:paraId="743F6DCC" w14:textId="77777777" w:rsidR="009D1587" w:rsidRDefault="009D1587">
      <w:pPr>
        <w:rPr>
          <w:b/>
          <w:bCs/>
          <w:sz w:val="24"/>
          <w:szCs w:val="24"/>
        </w:rPr>
      </w:pPr>
      <w:r>
        <w:br w:type="page"/>
      </w:r>
    </w:p>
    <w:p w14:paraId="15026D61" w14:textId="13B72627" w:rsidR="0054119E" w:rsidRDefault="00352E6A" w:rsidP="006040A2">
      <w:pPr>
        <w:pStyle w:val="Heading1"/>
        <w:numPr>
          <w:ilvl w:val="0"/>
          <w:numId w:val="5"/>
        </w:numPr>
        <w:rPr>
          <w:lang w:eastAsia="zh-CN"/>
        </w:rPr>
      </w:pPr>
      <w:r w:rsidRPr="006040A2">
        <w:lastRenderedPageBreak/>
        <w:t>Recommandation</w:t>
      </w:r>
      <w:r w:rsidR="005B4452">
        <w:t>s</w:t>
      </w:r>
    </w:p>
    <w:p w14:paraId="35FDF3E7" w14:textId="77777777" w:rsidR="005B4452" w:rsidRDefault="005B4452" w:rsidP="004230B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4A6F07D0" w14:textId="5A42DF6D" w:rsidR="004230B6" w:rsidRDefault="004230B6" w:rsidP="004230B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4230B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We </w:t>
      </w:r>
      <w:r w:rsidR="005B4452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therefore </w:t>
      </w:r>
      <w:r w:rsidRPr="004230B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recommend to open the CTC</w:t>
      </w:r>
      <w:r w:rsidR="004867F8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 and allow</w:t>
      </w:r>
      <w:r w:rsidR="00D306AF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:</w:t>
      </w:r>
    </w:p>
    <w:p w14:paraId="5BD90516" w14:textId="77777777" w:rsidR="009D1587" w:rsidRPr="004230B6" w:rsidRDefault="009D1587" w:rsidP="004230B6">
      <w:pPr>
        <w:widowControl/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6162BED7" w14:textId="69A09F31" w:rsidR="006040A2" w:rsidRDefault="004230B6" w:rsidP="004230B6">
      <w:pPr>
        <w:pStyle w:val="ListParagraph"/>
        <w:widowControl/>
        <w:numPr>
          <w:ilvl w:val="0"/>
          <w:numId w:val="15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 w:rsidRPr="004230B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to accept content under the form of OpenEXR format with texture, depth and transparency informations</w:t>
      </w:r>
    </w:p>
    <w:p w14:paraId="62DFA3A2" w14:textId="520804C0" w:rsidR="004230B6" w:rsidRDefault="00D306AF" w:rsidP="004230B6">
      <w:pPr>
        <w:pStyle w:val="ListParagraph"/>
        <w:widowControl/>
        <w:numPr>
          <w:ilvl w:val="0"/>
          <w:numId w:val="15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to </w:t>
      </w:r>
      <w:r w:rsidR="004230B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determine the process of acceptance of a content in such a format, typically with the use of qualified MPI renderer</w:t>
      </w:r>
    </w:p>
    <w:p w14:paraId="7539EB4E" w14:textId="18AB0D73" w:rsidR="004230B6" w:rsidRPr="004230B6" w:rsidRDefault="00D306AF" w:rsidP="004230B6">
      <w:pPr>
        <w:pStyle w:val="ListParagraph"/>
        <w:widowControl/>
        <w:numPr>
          <w:ilvl w:val="0"/>
          <w:numId w:val="15"/>
        </w:numPr>
        <w:autoSpaceDE/>
        <w:autoSpaceDN/>
        <w:jc w:val="both"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 xml:space="preserve">to </w:t>
      </w:r>
      <w:r w:rsidR="004230B6">
        <w:rPr>
          <w:rFonts w:ascii="Times New Roman" w:eastAsia="SimSun" w:hAnsi="Times New Roman" w:cs="Times New Roman"/>
          <w:bCs/>
          <w:sz w:val="28"/>
          <w:szCs w:val="24"/>
          <w:lang w:eastAsia="zh-CN"/>
        </w:rPr>
        <w:t>precise the methodology for objective performances, typically along the pose trace paths</w:t>
      </w:r>
    </w:p>
    <w:p w14:paraId="1EB6D83A" w14:textId="77777777" w:rsidR="0054119E" w:rsidRDefault="0054119E" w:rsidP="00F224A6">
      <w:pPr>
        <w:widowControl/>
        <w:autoSpaceDE/>
        <w:autoSpaceDN/>
        <w:rPr>
          <w:rFonts w:ascii="Times New Roman" w:eastAsia="SimSun" w:hAnsi="Times New Roman" w:cs="Times New Roman"/>
          <w:bCs/>
          <w:sz w:val="28"/>
          <w:szCs w:val="24"/>
          <w:lang w:eastAsia="zh-CN"/>
        </w:rPr>
      </w:pPr>
    </w:p>
    <w:p w14:paraId="138CE3D8" w14:textId="2E7BA4FE" w:rsidR="001E281D" w:rsidRDefault="001E281D" w:rsidP="006040A2">
      <w:pPr>
        <w:pStyle w:val="Heading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Reference</w:t>
      </w:r>
    </w:p>
    <w:p w14:paraId="352CA71B" w14:textId="77777777" w:rsidR="006040A2" w:rsidRDefault="006040A2" w:rsidP="005B4452">
      <w:pPr>
        <w:pStyle w:val="NormalWeb"/>
        <w:spacing w:before="0" w:beforeAutospacing="0" w:after="0" w:afterAutospacing="0"/>
        <w:rPr>
          <w:rFonts w:ascii="Times New Roman" w:eastAsia="SimSun" w:hAnsi="Times New Roman"/>
          <w:bCs/>
          <w:sz w:val="28"/>
          <w:szCs w:val="24"/>
          <w:lang w:eastAsia="zh-CN"/>
        </w:rPr>
      </w:pPr>
    </w:p>
    <w:p w14:paraId="5806C738" w14:textId="1715818B" w:rsidR="00D306AF" w:rsidRPr="009D1587" w:rsidRDefault="005150D6" w:rsidP="009D1587">
      <w:pPr>
        <w:pStyle w:val="NormalWeb"/>
        <w:spacing w:before="0" w:beforeAutospacing="0" w:after="0" w:afterAutospacing="0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9C172D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[1] </w:t>
      </w:r>
      <w:r w:rsidR="001E281D" w:rsidRPr="009C172D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m55089 “MIV CE1 related: activation of transparency attribute based on MIV”, October 2020, Julien Fleureau, Franck Thudor, Bertrand Chupeau, Renaud </w:t>
      </w:r>
      <w:r w:rsidR="001E281D"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>Doré</w:t>
      </w:r>
    </w:p>
    <w:p w14:paraId="027D2C5C" w14:textId="1103E033" w:rsidR="001E281D" w:rsidRPr="009D1587" w:rsidRDefault="005150D6" w:rsidP="009D1587">
      <w:pPr>
        <w:pStyle w:val="NormalWeb"/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</w:rPr>
      </w:pPr>
      <w:r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[2] </w:t>
      </w:r>
      <w:r w:rsidR="001E281D"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N19490 </w:t>
      </w:r>
      <w:r w:rsidR="001E281D" w:rsidRPr="009D1587">
        <w:rPr>
          <w:rFonts w:ascii="Times New Roman" w:hAnsi="Times New Roman"/>
          <w:color w:val="000000"/>
          <w:sz w:val="28"/>
          <w:szCs w:val="28"/>
        </w:rPr>
        <w:t>Call for MPEG-I Visual Test Materials, July 2020</w:t>
      </w:r>
    </w:p>
    <w:p w14:paraId="37FD7682" w14:textId="62D6A17C" w:rsidR="009D1587" w:rsidRPr="009D1587" w:rsidRDefault="008556F2" w:rsidP="009D1587">
      <w:pPr>
        <w:pStyle w:val="NormalWeb"/>
        <w:widowControl/>
        <w:spacing w:before="0" w:beforeAutospacing="0" w:after="0" w:afterAutospacing="0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9C172D">
        <w:rPr>
          <w:rFonts w:ascii="Times New Roman" w:eastAsia="SimSun" w:hAnsi="Times New Roman"/>
          <w:bCs/>
          <w:sz w:val="28"/>
          <w:szCs w:val="28"/>
          <w:lang w:eastAsia="zh-CN"/>
        </w:rPr>
        <w:t>[3] m54361 “On quality evaluation for MIV (MPEG Immersive Video)</w:t>
      </w:r>
      <w:r w:rsidR="009D1587" w:rsidRPr="009D1587">
        <w:rPr>
          <w:rFonts w:ascii="Times New Roman" w:hAnsi="Times New Roman"/>
          <w:sz w:val="28"/>
          <w:szCs w:val="28"/>
        </w:rPr>
        <w:t xml:space="preserve"> </w:t>
      </w:r>
      <w:r w:rsidR="009D1587" w:rsidRPr="00107CDA">
        <w:rPr>
          <w:rFonts w:ascii="Times New Roman" w:hAnsi="Times New Roman"/>
          <w:sz w:val="28"/>
          <w:szCs w:val="28"/>
        </w:rPr>
        <w:t xml:space="preserve">”, Joël Jung &amp; All (Tencent), Vinod </w:t>
      </w:r>
      <w:r w:rsidR="009D1587" w:rsidRPr="009C172D">
        <w:rPr>
          <w:rFonts w:ascii="Times New Roman" w:eastAsia="SimSun" w:hAnsi="Times New Roman"/>
          <w:bCs/>
          <w:sz w:val="28"/>
          <w:szCs w:val="28"/>
          <w:lang w:eastAsia="zh-CN"/>
        </w:rPr>
        <w:t>Kumar Malamal Vadakital</w:t>
      </w:r>
      <w:r w:rsidR="009D1587"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 (Nokia)</w:t>
      </w:r>
    </w:p>
    <w:p w14:paraId="0A0BE59A" w14:textId="388BD5F8" w:rsidR="00352E6A" w:rsidRPr="009C172D" w:rsidRDefault="00352E6A" w:rsidP="009D1587">
      <w:pPr>
        <w:pStyle w:val="NormalWeb"/>
        <w:widowControl/>
        <w:spacing w:before="0" w:beforeAutospacing="0" w:after="0" w:afterAutospacing="0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>[4] Open</w:t>
      </w:r>
      <w:r w:rsidR="000C5BEC"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>E</w:t>
      </w:r>
      <w:r w:rsidRPr="009D1587">
        <w:rPr>
          <w:rFonts w:ascii="Times New Roman" w:eastAsia="SimSun" w:hAnsi="Times New Roman"/>
          <w:bCs/>
          <w:sz w:val="28"/>
          <w:szCs w:val="28"/>
          <w:lang w:eastAsia="zh-CN"/>
        </w:rPr>
        <w:t xml:space="preserve">XR: </w:t>
      </w:r>
      <w:hyperlink r:id="rId17" w:history="1">
        <w:r w:rsidR="003B46AC" w:rsidRPr="009D1587">
          <w:rPr>
            <w:rStyle w:val="Hyperlink"/>
            <w:rFonts w:ascii="Times New Roman" w:hAnsi="Times New Roman"/>
            <w:sz w:val="28"/>
            <w:szCs w:val="28"/>
          </w:rPr>
          <w:t>https://www.openexr.com/</w:t>
        </w:r>
      </w:hyperlink>
    </w:p>
    <w:p w14:paraId="35DD4B01" w14:textId="3B9F478F" w:rsidR="00E32BA1" w:rsidRPr="008556F2" w:rsidRDefault="00E32BA1" w:rsidP="00C10013">
      <w:pPr>
        <w:pStyle w:val="NormalWeb"/>
        <w:widowControl/>
        <w:spacing w:before="0" w:beforeAutospacing="0" w:after="0" w:afterAutospacing="0"/>
        <w:rPr>
          <w:rFonts w:ascii="Times New Roman" w:eastAsia="SimSun" w:hAnsi="Times New Roman"/>
          <w:bCs/>
          <w:sz w:val="28"/>
          <w:szCs w:val="24"/>
          <w:lang w:eastAsia="zh-CN"/>
        </w:rPr>
      </w:pPr>
    </w:p>
    <w:sectPr w:rsidR="00E32BA1" w:rsidRPr="008556F2" w:rsidSect="00385C5D">
      <w:footerReference w:type="default" r:id="rId18"/>
      <w:pgSz w:w="11900" w:h="16840"/>
      <w:pgMar w:top="1701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4E930" w14:textId="77777777" w:rsidR="000A70F8" w:rsidRDefault="000A70F8" w:rsidP="009E784A">
      <w:r>
        <w:separator/>
      </w:r>
    </w:p>
  </w:endnote>
  <w:endnote w:type="continuationSeparator" w:id="0">
    <w:p w14:paraId="025DB85A" w14:textId="77777777" w:rsidR="000A70F8" w:rsidRDefault="000A70F8" w:rsidP="009E7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91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81490" w14:textId="7ED26252" w:rsidR="00385C5D" w:rsidRDefault="00385C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2206B" w14:textId="77777777" w:rsidR="00385C5D" w:rsidRDefault="00385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2C4B0" w14:textId="77777777" w:rsidR="000A70F8" w:rsidRDefault="000A70F8" w:rsidP="009E784A">
      <w:r>
        <w:separator/>
      </w:r>
    </w:p>
  </w:footnote>
  <w:footnote w:type="continuationSeparator" w:id="0">
    <w:p w14:paraId="55B55AF8" w14:textId="77777777" w:rsidR="000A70F8" w:rsidRDefault="000A70F8" w:rsidP="009E7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4EFD"/>
    <w:multiLevelType w:val="hybridMultilevel"/>
    <w:tmpl w:val="1F36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260B"/>
    <w:multiLevelType w:val="hybridMultilevel"/>
    <w:tmpl w:val="053AEF08"/>
    <w:lvl w:ilvl="0" w:tplc="040C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" w15:restartNumberingAfterBreak="0">
    <w:nsid w:val="24F21F17"/>
    <w:multiLevelType w:val="hybridMultilevel"/>
    <w:tmpl w:val="C91E0F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74428"/>
    <w:multiLevelType w:val="hybridMultilevel"/>
    <w:tmpl w:val="CF022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505"/>
    <w:multiLevelType w:val="hybridMultilevel"/>
    <w:tmpl w:val="2C1EE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01640"/>
    <w:multiLevelType w:val="hybridMultilevel"/>
    <w:tmpl w:val="59BE4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D455A"/>
    <w:multiLevelType w:val="hybridMultilevel"/>
    <w:tmpl w:val="1A661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D3EFE"/>
    <w:multiLevelType w:val="hybridMultilevel"/>
    <w:tmpl w:val="CE3C75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1DDA"/>
    <w:multiLevelType w:val="hybridMultilevel"/>
    <w:tmpl w:val="E3B41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24560"/>
    <w:multiLevelType w:val="hybridMultilevel"/>
    <w:tmpl w:val="561A8624"/>
    <w:lvl w:ilvl="0" w:tplc="40020A2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3272B"/>
    <w:multiLevelType w:val="hybridMultilevel"/>
    <w:tmpl w:val="B374E9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4C4023"/>
    <w:multiLevelType w:val="hybridMultilevel"/>
    <w:tmpl w:val="83C8F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5581"/>
    <w:multiLevelType w:val="hybridMultilevel"/>
    <w:tmpl w:val="0352D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E85512"/>
    <w:multiLevelType w:val="hybridMultilevel"/>
    <w:tmpl w:val="C9AEB6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A645ED"/>
    <w:multiLevelType w:val="hybridMultilevel"/>
    <w:tmpl w:val="D6D65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374"/>
    <w:multiLevelType w:val="hybridMultilevel"/>
    <w:tmpl w:val="2DC06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E249D"/>
    <w:multiLevelType w:val="hybridMultilevel"/>
    <w:tmpl w:val="B1A49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1495C"/>
    <w:multiLevelType w:val="hybridMultilevel"/>
    <w:tmpl w:val="48483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10"/>
  </w:num>
  <w:num w:numId="7">
    <w:abstractNumId w:val="8"/>
  </w:num>
  <w:num w:numId="8">
    <w:abstractNumId w:val="16"/>
  </w:num>
  <w:num w:numId="9">
    <w:abstractNumId w:val="15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8F"/>
    <w:rsid w:val="000968DA"/>
    <w:rsid w:val="000A035A"/>
    <w:rsid w:val="000A70F8"/>
    <w:rsid w:val="000C5BEC"/>
    <w:rsid w:val="000C78E6"/>
    <w:rsid w:val="0018563E"/>
    <w:rsid w:val="001E281D"/>
    <w:rsid w:val="00204B3B"/>
    <w:rsid w:val="00206C91"/>
    <w:rsid w:val="002213E9"/>
    <w:rsid w:val="00263789"/>
    <w:rsid w:val="00352E6A"/>
    <w:rsid w:val="00385C5D"/>
    <w:rsid w:val="003B0FC6"/>
    <w:rsid w:val="003B46AC"/>
    <w:rsid w:val="004230B6"/>
    <w:rsid w:val="00427272"/>
    <w:rsid w:val="004867F8"/>
    <w:rsid w:val="004E45B6"/>
    <w:rsid w:val="004F5473"/>
    <w:rsid w:val="005150D6"/>
    <w:rsid w:val="0054119E"/>
    <w:rsid w:val="005612C2"/>
    <w:rsid w:val="00592D6F"/>
    <w:rsid w:val="005B4452"/>
    <w:rsid w:val="005C2A51"/>
    <w:rsid w:val="006040A2"/>
    <w:rsid w:val="00651D4E"/>
    <w:rsid w:val="00655E88"/>
    <w:rsid w:val="00691E77"/>
    <w:rsid w:val="00697FE7"/>
    <w:rsid w:val="007402A9"/>
    <w:rsid w:val="008556F2"/>
    <w:rsid w:val="00863360"/>
    <w:rsid w:val="008956B1"/>
    <w:rsid w:val="009636E0"/>
    <w:rsid w:val="009712C4"/>
    <w:rsid w:val="009B09C2"/>
    <w:rsid w:val="009C172D"/>
    <w:rsid w:val="009C5AAC"/>
    <w:rsid w:val="009D1587"/>
    <w:rsid w:val="009D5D9F"/>
    <w:rsid w:val="009E784A"/>
    <w:rsid w:val="009F7BFD"/>
    <w:rsid w:val="00A77B70"/>
    <w:rsid w:val="00B259F9"/>
    <w:rsid w:val="00B506D8"/>
    <w:rsid w:val="00BA52C6"/>
    <w:rsid w:val="00C10013"/>
    <w:rsid w:val="00CB798F"/>
    <w:rsid w:val="00CD36BE"/>
    <w:rsid w:val="00CF1629"/>
    <w:rsid w:val="00D306AF"/>
    <w:rsid w:val="00D57846"/>
    <w:rsid w:val="00D709E9"/>
    <w:rsid w:val="00D84147"/>
    <w:rsid w:val="00E32BA1"/>
    <w:rsid w:val="00E46187"/>
    <w:rsid w:val="00E843CE"/>
    <w:rsid w:val="00E9507F"/>
    <w:rsid w:val="00E965CC"/>
    <w:rsid w:val="00F03F9B"/>
    <w:rsid w:val="00F224A6"/>
    <w:rsid w:val="00F73309"/>
    <w:rsid w:val="00FF2653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7BC0E5"/>
  <w15:docId w15:val="{3E19EF59-E53F-9C45-8447-CDCFF117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194"/>
    </w:pPr>
    <w:rPr>
      <w:b/>
      <w:bCs/>
      <w:sz w:val="29"/>
      <w:szCs w:val="29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sid w:val="00FF265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2653"/>
    <w:pPr>
      <w:autoSpaceDE/>
      <w:autoSpaceDN/>
      <w:spacing w:before="100" w:beforeAutospacing="1" w:after="100" w:afterAutospacing="1" w:line="276" w:lineRule="auto"/>
    </w:pPr>
    <w:rPr>
      <w:rFonts w:ascii="Calibri" w:eastAsia="Times New Roman" w:hAnsi="Calibri" w:cs="Times New Roman"/>
      <w:lang w:eastAsia="zh-TW"/>
    </w:rPr>
  </w:style>
  <w:style w:type="character" w:customStyle="1" w:styleId="BodyTextChar">
    <w:name w:val="Body Text Char"/>
    <w:basedOn w:val="DefaultParagraphFont"/>
    <w:link w:val="BodyText"/>
    <w:uiPriority w:val="1"/>
    <w:rsid w:val="00FF2653"/>
    <w:rPr>
      <w:rFonts w:ascii="Arial" w:eastAsia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FF26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F26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7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784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78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784A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F2"/>
    <w:rPr>
      <w:rFonts w:ascii="Segoe UI" w:eastAsia="Arial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697FE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6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igh_dynamic_range" TargetMode="External"/><Relationship Id="rId13" Type="http://schemas.openxmlformats.org/officeDocument/2006/relationships/hyperlink" Target="https://en.wikipedia.org/wiki/Free_software_licens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Industrial_Light_%26_Magic" TargetMode="External"/><Relationship Id="rId17" Type="http://schemas.openxmlformats.org/officeDocument/2006/relationships/hyperlink" Target="https://www.openexr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Open_standa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OpenEXR" TargetMode="External"/><Relationship Id="rId10" Type="http://schemas.openxmlformats.org/officeDocument/2006/relationships/hyperlink" Target="https://en.wikipedia.org/wiki/File_forma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Raster_graphics" TargetMode="External"/><Relationship Id="rId14" Type="http://schemas.openxmlformats.org/officeDocument/2006/relationships/hyperlink" Target="https://en.wikipedia.org/wiki/BSD_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52C0-74EE-457A-AF0C-EC0827171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4</Pages>
  <Words>1008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Renaud</cp:lastModifiedBy>
  <cp:revision>38</cp:revision>
  <dcterms:created xsi:type="dcterms:W3CDTF">2020-09-16T05:02:00Z</dcterms:created>
  <dcterms:modified xsi:type="dcterms:W3CDTF">2020-10-07T11:21:00Z</dcterms:modified>
  <cp:category/>
</cp:coreProperties>
</file>