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E3DDC" w14:textId="77777777" w:rsidR="004D64E2" w:rsidRPr="00C03B2D" w:rsidRDefault="00C87E78">
      <w:pPr>
        <w:jc w:val="center"/>
        <w:rPr>
          <w:b/>
          <w:sz w:val="28"/>
          <w:szCs w:val="28"/>
          <w:lang w:val="fr-CA"/>
        </w:rPr>
      </w:pPr>
      <w:bookmarkStart w:id="0" w:name="_GoBack"/>
      <w:bookmarkEnd w:id="0"/>
      <w:r w:rsidRPr="00C03B2D">
        <w:rPr>
          <w:b/>
          <w:sz w:val="28"/>
          <w:szCs w:val="28"/>
          <w:lang w:val="fr-CA"/>
        </w:rPr>
        <w:t>INTERNATIONAL ORGANISATION FOR STANDARDISATION</w:t>
      </w:r>
    </w:p>
    <w:p w14:paraId="73181475" w14:textId="77777777" w:rsidR="004D64E2" w:rsidRPr="00C03B2D" w:rsidRDefault="00C87E78">
      <w:pPr>
        <w:jc w:val="center"/>
        <w:rPr>
          <w:b/>
          <w:sz w:val="28"/>
          <w:lang w:val="fr-CA"/>
        </w:rPr>
      </w:pPr>
      <w:r w:rsidRPr="00C03B2D">
        <w:rPr>
          <w:b/>
          <w:sz w:val="28"/>
          <w:lang w:val="fr-CA"/>
        </w:rPr>
        <w:t>ORGANISATION INTERNATIONALE DE NORMALISATION</w:t>
      </w:r>
    </w:p>
    <w:p w14:paraId="7DD5D026" w14:textId="77777777" w:rsidR="004D64E2" w:rsidRDefault="00C87E78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0E9F478E" w14:textId="77777777" w:rsidR="004D64E2" w:rsidRDefault="00C87E78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0F88CEE8" w14:textId="77777777" w:rsidR="004D64E2" w:rsidRDefault="004D64E2">
      <w:pPr>
        <w:tabs>
          <w:tab w:val="left" w:pos="5387"/>
        </w:tabs>
        <w:spacing w:line="240" w:lineRule="exact"/>
        <w:jc w:val="center"/>
        <w:rPr>
          <w:b/>
        </w:rPr>
      </w:pPr>
    </w:p>
    <w:p w14:paraId="0E76563A" w14:textId="39435359" w:rsidR="004D64E2" w:rsidRDefault="00C87E78" w:rsidP="00320571">
      <w:pPr>
        <w:jc w:val="right"/>
        <w:rPr>
          <w:b/>
        </w:rPr>
      </w:pPr>
      <w:r>
        <w:rPr>
          <w:b/>
        </w:rPr>
        <w:t xml:space="preserve">ISO/IEC JTC1/SC29/WG11 </w:t>
      </w:r>
      <w:r w:rsidR="00AB7A03">
        <w:rPr>
          <w:b/>
          <w:color w:val="FF0000"/>
          <w:lang w:eastAsia="ja-JP"/>
        </w:rPr>
        <w:t>m</w:t>
      </w:r>
      <w:r w:rsidR="00A341EA">
        <w:rPr>
          <w:b/>
          <w:color w:val="FF0000"/>
        </w:rPr>
        <w:t>50912</w:t>
      </w:r>
    </w:p>
    <w:p w14:paraId="6CD6AE88" w14:textId="665554B6" w:rsidR="004D64E2" w:rsidRDefault="00AB7A03" w:rsidP="00691CE5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 xml:space="preserve">October </w:t>
      </w:r>
      <w:r w:rsidR="00BB69A3">
        <w:rPr>
          <w:b/>
          <w:lang w:eastAsia="ja-JP"/>
        </w:rPr>
        <w:t>2019</w:t>
      </w:r>
      <w:r w:rsidR="00C87E78">
        <w:rPr>
          <w:rFonts w:eastAsia="Malgun Gothic"/>
          <w:b/>
        </w:rPr>
        <w:t xml:space="preserve">, </w:t>
      </w:r>
      <w:r>
        <w:rPr>
          <w:rFonts w:eastAsia="Malgun Gothic"/>
          <w:b/>
        </w:rPr>
        <w:t>Geneva</w:t>
      </w:r>
      <w:r w:rsidR="00691CE5">
        <w:rPr>
          <w:rFonts w:eastAsia="Malgun Gothic"/>
          <w:b/>
        </w:rPr>
        <w:t xml:space="preserve">, </w:t>
      </w:r>
      <w:r>
        <w:rPr>
          <w:rFonts w:eastAsia="Malgun Gothic"/>
          <w:b/>
        </w:rPr>
        <w:t>CH</w:t>
      </w:r>
    </w:p>
    <w:p w14:paraId="02F291D8" w14:textId="77777777" w:rsidR="004D64E2" w:rsidRDefault="004D64E2">
      <w:pPr>
        <w:jc w:val="right"/>
        <w:rPr>
          <w:b/>
          <w:lang w:eastAsia="ja-JP"/>
        </w:rPr>
      </w:pPr>
    </w:p>
    <w:p w14:paraId="2ED1B774" w14:textId="77777777" w:rsidR="004D64E2" w:rsidRDefault="004D64E2">
      <w:pPr>
        <w:jc w:val="right"/>
        <w:rPr>
          <w:b/>
          <w:lang w:eastAsia="ja-JP"/>
        </w:rPr>
      </w:pPr>
    </w:p>
    <w:p w14:paraId="3E77A885" w14:textId="77777777" w:rsidR="004D64E2" w:rsidRPr="00691CE5" w:rsidRDefault="004D64E2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4D64E2" w14:paraId="6C416BCD" w14:textId="77777777">
        <w:tc>
          <w:tcPr>
            <w:tcW w:w="1080" w:type="dxa"/>
          </w:tcPr>
          <w:p w14:paraId="0F88DCD2" w14:textId="77777777" w:rsidR="004D64E2" w:rsidRDefault="00C87E78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108C2A5A" w14:textId="77777777" w:rsidR="004D64E2" w:rsidRDefault="00253AE8">
            <w:pPr>
              <w:suppressAutoHyphens/>
              <w:rPr>
                <w:b/>
              </w:rPr>
            </w:pPr>
            <w:proofErr w:type="spellStart"/>
            <w:r>
              <w:rPr>
                <w:b/>
              </w:rPr>
              <w:t>InterDigital</w:t>
            </w:r>
            <w:proofErr w:type="spellEnd"/>
            <w:r w:rsidR="00C03B2D">
              <w:rPr>
                <w:b/>
              </w:rPr>
              <w:t xml:space="preserve"> </w:t>
            </w:r>
            <w:r w:rsidR="00546331">
              <w:rPr>
                <w:b/>
              </w:rPr>
              <w:t>Communications</w:t>
            </w:r>
            <w:r>
              <w:rPr>
                <w:b/>
              </w:rPr>
              <w:t>, Inc.</w:t>
            </w:r>
          </w:p>
        </w:tc>
      </w:tr>
      <w:tr w:rsidR="004D64E2" w14:paraId="26971519" w14:textId="77777777">
        <w:tc>
          <w:tcPr>
            <w:tcW w:w="1080" w:type="dxa"/>
          </w:tcPr>
          <w:p w14:paraId="24D17EA7" w14:textId="77777777" w:rsidR="004D64E2" w:rsidRDefault="00C87E78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13F484CB" w14:textId="77777777" w:rsidR="004D64E2" w:rsidRDefault="00253AE8">
            <w:pPr>
              <w:suppressAutoHyphens/>
              <w:rPr>
                <w:b/>
              </w:rPr>
            </w:pPr>
            <w:r>
              <w:rPr>
                <w:b/>
              </w:rPr>
              <w:t>Input</w:t>
            </w:r>
          </w:p>
        </w:tc>
      </w:tr>
      <w:tr w:rsidR="004D64E2" w14:paraId="7493F8C8" w14:textId="77777777">
        <w:tc>
          <w:tcPr>
            <w:tcW w:w="1080" w:type="dxa"/>
          </w:tcPr>
          <w:p w14:paraId="0D112026" w14:textId="77777777" w:rsidR="004D64E2" w:rsidRDefault="00C87E78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8491" w:type="dxa"/>
          </w:tcPr>
          <w:p w14:paraId="650B10E4" w14:textId="26D23157" w:rsidR="004D64E2" w:rsidRDefault="009E4093" w:rsidP="00BA1A0F">
            <w:pPr>
              <w:suppressAutoHyphens/>
              <w:rPr>
                <w:b/>
              </w:rPr>
            </w:pPr>
            <w:r>
              <w:rPr>
                <w:b/>
              </w:rPr>
              <w:t>On</w:t>
            </w:r>
            <w:r w:rsidR="00691CE5">
              <w:rPr>
                <w:b/>
              </w:rPr>
              <w:t xml:space="preserve"> </w:t>
            </w:r>
            <w:r w:rsidR="00BB69A3">
              <w:rPr>
                <w:b/>
              </w:rPr>
              <w:t>DASH Signaling for V-PCC</w:t>
            </w:r>
          </w:p>
        </w:tc>
      </w:tr>
      <w:tr w:rsidR="004D64E2" w14:paraId="1DD5FCC0" w14:textId="77777777">
        <w:tc>
          <w:tcPr>
            <w:tcW w:w="1080" w:type="dxa"/>
          </w:tcPr>
          <w:p w14:paraId="6BBBF775" w14:textId="77777777" w:rsidR="004D64E2" w:rsidRDefault="00C87E78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25112570" w14:textId="77777777" w:rsidR="004D64E2" w:rsidRDefault="00253AE8">
            <w:pPr>
              <w:rPr>
                <w:lang w:eastAsia="ja-JP"/>
              </w:rPr>
            </w:pPr>
            <w:r>
              <w:rPr>
                <w:lang w:eastAsia="ja-JP"/>
              </w:rPr>
              <w:t>Ahmed Hamza</w:t>
            </w:r>
            <w:r w:rsidR="009A7EC9">
              <w:rPr>
                <w:lang w:eastAsia="ja-JP"/>
              </w:rPr>
              <w:t>, Yong He</w:t>
            </w:r>
          </w:p>
        </w:tc>
      </w:tr>
    </w:tbl>
    <w:p w14:paraId="354E1B08" w14:textId="77777777" w:rsidR="00311C17" w:rsidRDefault="00311C17">
      <w:pPr>
        <w:rPr>
          <w:lang w:val="de-AT"/>
        </w:rPr>
      </w:pPr>
    </w:p>
    <w:p w14:paraId="106FCE1D" w14:textId="77777777" w:rsidR="00253AE8" w:rsidRDefault="00253AE8">
      <w:pPr>
        <w:rPr>
          <w:lang w:val="de-AT"/>
        </w:rPr>
      </w:pPr>
    </w:p>
    <w:p w14:paraId="2C42D799" w14:textId="77777777" w:rsidR="005C6D50" w:rsidRDefault="005C6D50" w:rsidP="005C6D50">
      <w:pPr>
        <w:pStyle w:val="Heading1"/>
      </w:pPr>
      <w:r>
        <w:t>Introduction</w:t>
      </w:r>
    </w:p>
    <w:p w14:paraId="4F949D8C" w14:textId="55BDC874" w:rsidR="009560C7" w:rsidRDefault="009560C7" w:rsidP="009560C7">
      <w:pPr>
        <w:ind w:right="240"/>
        <w:rPr>
          <w:color w:val="000000" w:themeColor="text1"/>
          <w:lang w:val="en-CA" w:eastAsia="ko-KR"/>
        </w:rPr>
      </w:pPr>
    </w:p>
    <w:p w14:paraId="481F3EF6" w14:textId="6ED8203E" w:rsidR="00EF0C5E" w:rsidRDefault="00EF0C5E" w:rsidP="00286E2D">
      <w:pPr>
        <w:rPr>
          <w:color w:val="000000" w:themeColor="text1"/>
          <w:lang w:val="en-CA" w:eastAsia="ko-KR"/>
        </w:rPr>
      </w:pPr>
      <w:r>
        <w:rPr>
          <w:color w:val="000000" w:themeColor="text1"/>
          <w:lang w:val="en-CA" w:eastAsia="ko-KR"/>
        </w:rPr>
        <w:t>In the MPEG#127 meeting, ISO/IEC 23090-10 (Carriage of Point Cloud Data) reached committee draft (CD) stage</w:t>
      </w:r>
      <w:r w:rsidR="00FD3E85">
        <w:rPr>
          <w:color w:val="000000" w:themeColor="text1"/>
          <w:lang w:val="en-CA" w:eastAsia="ko-KR"/>
        </w:rPr>
        <w:t xml:space="preserve"> </w:t>
      </w:r>
      <w:r w:rsidR="00FD3E85">
        <w:rPr>
          <w:color w:val="000000" w:themeColor="text1"/>
          <w:lang w:val="en-CA" w:eastAsia="ko-KR"/>
        </w:rPr>
        <w:fldChar w:fldCharType="begin"/>
      </w:r>
      <w:r w:rsidR="00FD3E85">
        <w:rPr>
          <w:color w:val="000000" w:themeColor="text1"/>
          <w:lang w:val="en-CA" w:eastAsia="ko-KR"/>
        </w:rPr>
        <w:instrText xml:space="preserve"> REF _Ref20388486 \r \h </w:instrText>
      </w:r>
      <w:r w:rsidR="00FD3E85">
        <w:rPr>
          <w:color w:val="000000" w:themeColor="text1"/>
          <w:lang w:val="en-CA" w:eastAsia="ko-KR"/>
        </w:rPr>
      </w:r>
      <w:r w:rsidR="00FD3E85">
        <w:rPr>
          <w:color w:val="000000" w:themeColor="text1"/>
          <w:lang w:val="en-CA" w:eastAsia="ko-KR"/>
        </w:rPr>
        <w:fldChar w:fldCharType="separate"/>
      </w:r>
      <w:r w:rsidR="00FD3E85">
        <w:rPr>
          <w:color w:val="000000" w:themeColor="text1"/>
          <w:cs/>
          <w:lang w:val="en-CA" w:eastAsia="ko-KR"/>
        </w:rPr>
        <w:t>‎</w:t>
      </w:r>
      <w:r w:rsidR="00FD3E85">
        <w:rPr>
          <w:color w:val="000000" w:themeColor="text1"/>
          <w:lang w:val="en-CA" w:eastAsia="ko-KR"/>
        </w:rPr>
        <w:t>[1]</w:t>
      </w:r>
      <w:r w:rsidR="00FD3E85">
        <w:rPr>
          <w:color w:val="000000" w:themeColor="text1"/>
          <w:lang w:val="en-CA" w:eastAsia="ko-KR"/>
        </w:rPr>
        <w:fldChar w:fldCharType="end"/>
      </w:r>
      <w:r>
        <w:rPr>
          <w:color w:val="000000" w:themeColor="text1"/>
          <w:lang w:val="en-CA" w:eastAsia="ko-KR"/>
        </w:rPr>
        <w:t xml:space="preserve">. One important aspect that is still missing in the CD is MPEG-DASH signalling of point cloud media to support adaptive streaming of point clouds. A number of contributions on </w:t>
      </w:r>
      <w:r w:rsidR="003B6CB8">
        <w:rPr>
          <w:color w:val="000000" w:themeColor="text1"/>
          <w:lang w:val="en-CA" w:eastAsia="ko-KR"/>
        </w:rPr>
        <w:t>MPEG-DASH signalling of V-PCC content</w:t>
      </w:r>
      <w:r>
        <w:rPr>
          <w:color w:val="000000" w:themeColor="text1"/>
          <w:lang w:val="en-CA" w:eastAsia="ko-KR"/>
        </w:rPr>
        <w:t xml:space="preserve"> were presented in MPEG#126 and MPEG#127, including</w:t>
      </w:r>
      <w:r w:rsidR="003B6CB8">
        <w:rPr>
          <w:color w:val="000000" w:themeColor="text1"/>
          <w:lang w:val="en-CA" w:eastAsia="ko-KR"/>
        </w:rPr>
        <w:t>:</w:t>
      </w:r>
      <w:r>
        <w:rPr>
          <w:color w:val="000000" w:themeColor="text1"/>
          <w:lang w:val="en-CA" w:eastAsia="ko-KR"/>
        </w:rPr>
        <w:t xml:space="preserve"> m47436</w:t>
      </w:r>
      <w:r w:rsidR="003B6CB8">
        <w:rPr>
          <w:color w:val="000000" w:themeColor="text1"/>
          <w:lang w:val="en-CA" w:eastAsia="ko-KR"/>
        </w:rPr>
        <w:t xml:space="preserve"> </w:t>
      </w:r>
      <w:r w:rsidR="00FD3E85">
        <w:rPr>
          <w:color w:val="000000" w:themeColor="text1"/>
          <w:lang w:val="en-CA" w:eastAsia="ko-KR"/>
        </w:rPr>
        <w:fldChar w:fldCharType="begin"/>
      </w:r>
      <w:r w:rsidR="00FD3E85">
        <w:rPr>
          <w:color w:val="000000" w:themeColor="text1"/>
          <w:lang w:val="en-CA" w:eastAsia="ko-KR"/>
        </w:rPr>
        <w:instrText xml:space="preserve"> REF _Ref20388501 \r \h </w:instrText>
      </w:r>
      <w:r w:rsidR="00FD3E85">
        <w:rPr>
          <w:color w:val="000000" w:themeColor="text1"/>
          <w:lang w:val="en-CA" w:eastAsia="ko-KR"/>
        </w:rPr>
      </w:r>
      <w:r w:rsidR="00FD3E85">
        <w:rPr>
          <w:color w:val="000000" w:themeColor="text1"/>
          <w:lang w:val="en-CA" w:eastAsia="ko-KR"/>
        </w:rPr>
        <w:fldChar w:fldCharType="separate"/>
      </w:r>
      <w:r w:rsidR="00FD3E85">
        <w:rPr>
          <w:color w:val="000000" w:themeColor="text1"/>
          <w:cs/>
          <w:lang w:val="en-CA" w:eastAsia="ko-KR"/>
        </w:rPr>
        <w:t>‎</w:t>
      </w:r>
      <w:r w:rsidR="00FD3E85">
        <w:rPr>
          <w:color w:val="000000" w:themeColor="text1"/>
          <w:lang w:val="en-CA" w:eastAsia="ko-KR"/>
        </w:rPr>
        <w:t>[2]</w:t>
      </w:r>
      <w:r w:rsidR="00FD3E85">
        <w:rPr>
          <w:color w:val="000000" w:themeColor="text1"/>
          <w:lang w:val="en-CA" w:eastAsia="ko-KR"/>
        </w:rPr>
        <w:fldChar w:fldCharType="end"/>
      </w:r>
      <w:r>
        <w:rPr>
          <w:color w:val="000000" w:themeColor="text1"/>
          <w:lang w:val="en-CA" w:eastAsia="ko-KR"/>
        </w:rPr>
        <w:t>, m</w:t>
      </w:r>
      <w:r w:rsidR="003B6CB8">
        <w:rPr>
          <w:color w:val="000000" w:themeColor="text1"/>
          <w:lang w:val="en-CA" w:eastAsia="ko-KR"/>
        </w:rPr>
        <w:t xml:space="preserve">49109 </w:t>
      </w:r>
      <w:r w:rsidR="00FD3E85">
        <w:rPr>
          <w:color w:val="000000" w:themeColor="text1"/>
          <w:lang w:val="en-CA" w:eastAsia="ko-KR"/>
        </w:rPr>
        <w:fldChar w:fldCharType="begin"/>
      </w:r>
      <w:r w:rsidR="00FD3E85">
        <w:rPr>
          <w:color w:val="000000" w:themeColor="text1"/>
          <w:lang w:val="en-CA" w:eastAsia="ko-KR"/>
        </w:rPr>
        <w:instrText xml:space="preserve"> REF _Ref20388511 \r \h </w:instrText>
      </w:r>
      <w:r w:rsidR="00FD3E85">
        <w:rPr>
          <w:color w:val="000000" w:themeColor="text1"/>
          <w:lang w:val="en-CA" w:eastAsia="ko-KR"/>
        </w:rPr>
      </w:r>
      <w:r w:rsidR="00FD3E85">
        <w:rPr>
          <w:color w:val="000000" w:themeColor="text1"/>
          <w:lang w:val="en-CA" w:eastAsia="ko-KR"/>
        </w:rPr>
        <w:fldChar w:fldCharType="separate"/>
      </w:r>
      <w:r w:rsidR="00FD3E85">
        <w:rPr>
          <w:color w:val="000000" w:themeColor="text1"/>
          <w:cs/>
          <w:lang w:val="en-CA" w:eastAsia="ko-KR"/>
        </w:rPr>
        <w:t>‎</w:t>
      </w:r>
      <w:r w:rsidR="00FD3E85">
        <w:rPr>
          <w:color w:val="000000" w:themeColor="text1"/>
          <w:lang w:val="en-CA" w:eastAsia="ko-KR"/>
        </w:rPr>
        <w:t>[3]</w:t>
      </w:r>
      <w:r w:rsidR="00FD3E85">
        <w:rPr>
          <w:color w:val="000000" w:themeColor="text1"/>
          <w:lang w:val="en-CA" w:eastAsia="ko-KR"/>
        </w:rPr>
        <w:fldChar w:fldCharType="end"/>
      </w:r>
      <w:r>
        <w:rPr>
          <w:color w:val="000000" w:themeColor="text1"/>
          <w:lang w:val="en-CA" w:eastAsia="ko-KR"/>
        </w:rPr>
        <w:t>, and m</w:t>
      </w:r>
      <w:r w:rsidR="003B6CB8">
        <w:rPr>
          <w:color w:val="000000" w:themeColor="text1"/>
          <w:lang w:val="en-CA" w:eastAsia="ko-KR"/>
        </w:rPr>
        <w:t xml:space="preserve">49110 </w:t>
      </w:r>
      <w:r w:rsidR="00FD3E85">
        <w:rPr>
          <w:color w:val="000000" w:themeColor="text1"/>
          <w:lang w:val="en-CA" w:eastAsia="ko-KR"/>
        </w:rPr>
        <w:fldChar w:fldCharType="begin"/>
      </w:r>
      <w:r w:rsidR="00FD3E85">
        <w:rPr>
          <w:color w:val="000000" w:themeColor="text1"/>
          <w:lang w:val="en-CA" w:eastAsia="ko-KR"/>
        </w:rPr>
        <w:instrText xml:space="preserve"> REF _Ref20388524 \r \h </w:instrText>
      </w:r>
      <w:r w:rsidR="00FD3E85">
        <w:rPr>
          <w:color w:val="000000" w:themeColor="text1"/>
          <w:lang w:val="en-CA" w:eastAsia="ko-KR"/>
        </w:rPr>
      </w:r>
      <w:r w:rsidR="00FD3E85">
        <w:rPr>
          <w:color w:val="000000" w:themeColor="text1"/>
          <w:lang w:val="en-CA" w:eastAsia="ko-KR"/>
        </w:rPr>
        <w:fldChar w:fldCharType="separate"/>
      </w:r>
      <w:r w:rsidR="00FD3E85">
        <w:rPr>
          <w:color w:val="000000" w:themeColor="text1"/>
          <w:cs/>
          <w:lang w:val="en-CA" w:eastAsia="ko-KR"/>
        </w:rPr>
        <w:t>‎</w:t>
      </w:r>
      <w:r w:rsidR="00FD3E85">
        <w:rPr>
          <w:color w:val="000000" w:themeColor="text1"/>
          <w:lang w:val="en-CA" w:eastAsia="ko-KR"/>
        </w:rPr>
        <w:t>[4]</w:t>
      </w:r>
      <w:r w:rsidR="00FD3E85">
        <w:rPr>
          <w:color w:val="000000" w:themeColor="text1"/>
          <w:lang w:val="en-CA" w:eastAsia="ko-KR"/>
        </w:rPr>
        <w:fldChar w:fldCharType="end"/>
      </w:r>
      <w:r w:rsidR="003B6CB8">
        <w:rPr>
          <w:color w:val="000000" w:themeColor="text1"/>
          <w:lang w:val="en-CA" w:eastAsia="ko-KR"/>
        </w:rPr>
        <w:t>. It was agreed to include the XML elements and attributes proposed in these contributions into the technologies under consideration (</w:t>
      </w:r>
      <w:proofErr w:type="spellStart"/>
      <w:r w:rsidR="003B6CB8">
        <w:rPr>
          <w:color w:val="000000" w:themeColor="text1"/>
          <w:lang w:val="en-CA" w:eastAsia="ko-KR"/>
        </w:rPr>
        <w:t>TuC</w:t>
      </w:r>
      <w:proofErr w:type="spellEnd"/>
      <w:r w:rsidR="003B6CB8">
        <w:rPr>
          <w:color w:val="000000" w:themeColor="text1"/>
          <w:lang w:val="en-CA" w:eastAsia="ko-KR"/>
        </w:rPr>
        <w:t xml:space="preserve">) for carriage of PC data </w:t>
      </w:r>
      <w:r w:rsidR="00FD3E85">
        <w:rPr>
          <w:color w:val="000000" w:themeColor="text1"/>
          <w:lang w:val="en-CA" w:eastAsia="ko-KR"/>
        </w:rPr>
        <w:fldChar w:fldCharType="begin"/>
      </w:r>
      <w:r w:rsidR="00FD3E85">
        <w:rPr>
          <w:color w:val="000000" w:themeColor="text1"/>
          <w:lang w:val="en-CA" w:eastAsia="ko-KR"/>
        </w:rPr>
        <w:instrText xml:space="preserve"> REF _Ref20388533 \r \h </w:instrText>
      </w:r>
      <w:r w:rsidR="00FD3E85">
        <w:rPr>
          <w:color w:val="000000" w:themeColor="text1"/>
          <w:lang w:val="en-CA" w:eastAsia="ko-KR"/>
        </w:rPr>
      </w:r>
      <w:r w:rsidR="00FD3E85">
        <w:rPr>
          <w:color w:val="000000" w:themeColor="text1"/>
          <w:lang w:val="en-CA" w:eastAsia="ko-KR"/>
        </w:rPr>
        <w:fldChar w:fldCharType="separate"/>
      </w:r>
      <w:r w:rsidR="00FD3E85">
        <w:rPr>
          <w:color w:val="000000" w:themeColor="text1"/>
          <w:cs/>
          <w:lang w:val="en-CA" w:eastAsia="ko-KR"/>
        </w:rPr>
        <w:t>‎</w:t>
      </w:r>
      <w:r w:rsidR="00FD3E85">
        <w:rPr>
          <w:color w:val="000000" w:themeColor="text1"/>
          <w:lang w:val="en-CA" w:eastAsia="ko-KR"/>
        </w:rPr>
        <w:t>[5]</w:t>
      </w:r>
      <w:r w:rsidR="00FD3E85">
        <w:rPr>
          <w:color w:val="000000" w:themeColor="text1"/>
          <w:lang w:val="en-CA" w:eastAsia="ko-KR"/>
        </w:rPr>
        <w:fldChar w:fldCharType="end"/>
      </w:r>
      <w:r w:rsidR="003B6CB8">
        <w:rPr>
          <w:color w:val="000000" w:themeColor="text1"/>
          <w:lang w:val="en-CA" w:eastAsia="ko-KR"/>
        </w:rPr>
        <w:t>.</w:t>
      </w:r>
      <w:r w:rsidR="009F02EA">
        <w:rPr>
          <w:color w:val="000000" w:themeColor="text1"/>
          <w:lang w:val="en-CA" w:eastAsia="ko-KR"/>
        </w:rPr>
        <w:t xml:space="preserve"> Moreover, m49109 </w:t>
      </w:r>
      <w:r w:rsidR="002220CF">
        <w:rPr>
          <w:color w:val="000000" w:themeColor="text1"/>
          <w:lang w:val="en-CA" w:eastAsia="ko-KR"/>
        </w:rPr>
        <w:fldChar w:fldCharType="begin"/>
      </w:r>
      <w:r w:rsidR="002220CF">
        <w:rPr>
          <w:color w:val="000000" w:themeColor="text1"/>
          <w:lang w:val="en-CA" w:eastAsia="ko-KR"/>
        </w:rPr>
        <w:instrText xml:space="preserve"> REF _Ref20388511 \r \h </w:instrText>
      </w:r>
      <w:r w:rsidR="002220CF">
        <w:rPr>
          <w:color w:val="000000" w:themeColor="text1"/>
          <w:lang w:val="en-CA" w:eastAsia="ko-KR"/>
        </w:rPr>
      </w:r>
      <w:r w:rsidR="002220CF">
        <w:rPr>
          <w:color w:val="000000" w:themeColor="text1"/>
          <w:lang w:val="en-CA" w:eastAsia="ko-KR"/>
        </w:rPr>
        <w:fldChar w:fldCharType="separate"/>
      </w:r>
      <w:r w:rsidR="002220CF">
        <w:rPr>
          <w:color w:val="000000" w:themeColor="text1"/>
          <w:cs/>
          <w:lang w:val="en-CA" w:eastAsia="ko-KR"/>
        </w:rPr>
        <w:t>‎</w:t>
      </w:r>
      <w:r w:rsidR="002220CF">
        <w:rPr>
          <w:color w:val="000000" w:themeColor="text1"/>
          <w:lang w:val="en-CA" w:eastAsia="ko-KR"/>
        </w:rPr>
        <w:t>[3]</w:t>
      </w:r>
      <w:r w:rsidR="002220CF">
        <w:rPr>
          <w:color w:val="000000" w:themeColor="text1"/>
          <w:lang w:val="en-CA" w:eastAsia="ko-KR"/>
        </w:rPr>
        <w:fldChar w:fldCharType="end"/>
      </w:r>
      <w:r w:rsidR="009F02EA">
        <w:rPr>
          <w:color w:val="000000" w:themeColor="text1"/>
          <w:lang w:val="en-CA" w:eastAsia="ko-KR"/>
        </w:rPr>
        <w:t xml:space="preserve"> was discussed in a joint session between the DASH subgroup and the Systems subgroup on PCC carriage and DASH experts </w:t>
      </w:r>
      <w:r w:rsidR="002220CF">
        <w:rPr>
          <w:color w:val="000000" w:themeColor="text1"/>
          <w:lang w:val="en-CA" w:eastAsia="ko-KR"/>
        </w:rPr>
        <w:t xml:space="preserve">supported the proposed solution of using MPEG-DASH </w:t>
      </w:r>
      <w:proofErr w:type="spellStart"/>
      <w:r w:rsidR="002220CF">
        <w:rPr>
          <w:color w:val="000000" w:themeColor="text1"/>
          <w:lang w:val="en-CA" w:eastAsia="ko-KR"/>
        </w:rPr>
        <w:t>PreSelections</w:t>
      </w:r>
      <w:proofErr w:type="spellEnd"/>
      <w:r w:rsidR="002220CF">
        <w:rPr>
          <w:color w:val="000000" w:themeColor="text1"/>
          <w:lang w:val="en-CA" w:eastAsia="ko-KR"/>
        </w:rPr>
        <w:t xml:space="preserve"> for signalling V-PCC media and grouping the component adaptation sets since these adaptation sets are meant to be consumed together. </w:t>
      </w:r>
    </w:p>
    <w:p w14:paraId="4739362A" w14:textId="3282D99E" w:rsidR="00FD3E85" w:rsidRDefault="00FD3E85" w:rsidP="00286E2D">
      <w:pPr>
        <w:rPr>
          <w:color w:val="000000" w:themeColor="text1"/>
          <w:lang w:val="en-CA" w:eastAsia="ko-KR"/>
        </w:rPr>
      </w:pPr>
    </w:p>
    <w:p w14:paraId="60E33EA4" w14:textId="616EACC7" w:rsidR="00FD3E85" w:rsidRDefault="00FD3E85" w:rsidP="00286E2D">
      <w:pPr>
        <w:rPr>
          <w:color w:val="000000" w:themeColor="text1"/>
          <w:lang w:val="en-CA" w:eastAsia="ko-KR"/>
        </w:rPr>
      </w:pPr>
      <w:r>
        <w:rPr>
          <w:color w:val="000000" w:themeColor="text1"/>
          <w:lang w:val="en-CA" w:eastAsia="ko-KR"/>
        </w:rPr>
        <w:t xml:space="preserve">This document provides an example of how </w:t>
      </w:r>
      <w:r w:rsidR="003E5BE5">
        <w:rPr>
          <w:color w:val="000000" w:themeColor="text1"/>
          <w:lang w:val="en-CA" w:eastAsia="ko-KR"/>
        </w:rPr>
        <w:t xml:space="preserve">the technologies described in Section 10 of the </w:t>
      </w:r>
      <w:proofErr w:type="spellStart"/>
      <w:r w:rsidR="003E5BE5">
        <w:rPr>
          <w:color w:val="000000" w:themeColor="text1"/>
          <w:lang w:val="en-CA" w:eastAsia="ko-KR"/>
        </w:rPr>
        <w:t>TuC</w:t>
      </w:r>
      <w:proofErr w:type="spellEnd"/>
      <w:r w:rsidR="003E5BE5">
        <w:rPr>
          <w:color w:val="000000" w:themeColor="text1"/>
          <w:lang w:val="en-CA" w:eastAsia="ko-KR"/>
        </w:rPr>
        <w:t xml:space="preserve"> </w:t>
      </w:r>
      <w:r w:rsidR="003E5BE5">
        <w:rPr>
          <w:color w:val="000000" w:themeColor="text1"/>
          <w:lang w:val="en-CA" w:eastAsia="ko-KR"/>
        </w:rPr>
        <w:fldChar w:fldCharType="begin"/>
      </w:r>
      <w:r w:rsidR="003E5BE5">
        <w:rPr>
          <w:color w:val="000000" w:themeColor="text1"/>
          <w:lang w:val="en-CA" w:eastAsia="ko-KR"/>
        </w:rPr>
        <w:instrText xml:space="preserve"> REF _Ref20388533 \r \h </w:instrText>
      </w:r>
      <w:r w:rsidR="003E5BE5">
        <w:rPr>
          <w:color w:val="000000" w:themeColor="text1"/>
          <w:lang w:val="en-CA" w:eastAsia="ko-KR"/>
        </w:rPr>
      </w:r>
      <w:r w:rsidR="003E5BE5">
        <w:rPr>
          <w:color w:val="000000" w:themeColor="text1"/>
          <w:lang w:val="en-CA" w:eastAsia="ko-KR"/>
        </w:rPr>
        <w:fldChar w:fldCharType="separate"/>
      </w:r>
      <w:r w:rsidR="003E5BE5">
        <w:rPr>
          <w:color w:val="000000" w:themeColor="text1"/>
          <w:cs/>
          <w:lang w:val="en-CA" w:eastAsia="ko-KR"/>
        </w:rPr>
        <w:t>‎</w:t>
      </w:r>
      <w:r w:rsidR="003E5BE5">
        <w:rPr>
          <w:color w:val="000000" w:themeColor="text1"/>
          <w:lang w:val="en-CA" w:eastAsia="ko-KR"/>
        </w:rPr>
        <w:t>[5]</w:t>
      </w:r>
      <w:r w:rsidR="003E5BE5">
        <w:rPr>
          <w:color w:val="000000" w:themeColor="text1"/>
          <w:lang w:val="en-CA" w:eastAsia="ko-KR"/>
        </w:rPr>
        <w:fldChar w:fldCharType="end"/>
      </w:r>
      <w:r w:rsidR="003E5BE5">
        <w:rPr>
          <w:color w:val="000000" w:themeColor="text1"/>
          <w:lang w:val="en-CA" w:eastAsia="ko-KR"/>
        </w:rPr>
        <w:t xml:space="preserve"> can be used to signal V-PCC content in the MPEG-DASH media presentation descriptor (MPD) and </w:t>
      </w:r>
      <w:r w:rsidR="002220CF">
        <w:rPr>
          <w:color w:val="000000" w:themeColor="text1"/>
          <w:lang w:val="en-CA" w:eastAsia="ko-KR"/>
        </w:rPr>
        <w:t>recommends moving these technologies to the DIS version of ISO/IEC 23090-10.</w:t>
      </w:r>
    </w:p>
    <w:p w14:paraId="747CB6EC" w14:textId="77777777" w:rsidR="003E5BE5" w:rsidRDefault="003E5BE5" w:rsidP="00286E2D">
      <w:pPr>
        <w:rPr>
          <w:color w:val="000000" w:themeColor="text1"/>
          <w:lang w:val="en-CA" w:eastAsia="ko-KR"/>
        </w:rPr>
      </w:pPr>
    </w:p>
    <w:p w14:paraId="2FF43839" w14:textId="725917AB" w:rsidR="00B5259B" w:rsidRDefault="00AB7A03" w:rsidP="00AB7A03">
      <w:pPr>
        <w:pStyle w:val="Heading1"/>
      </w:pPr>
      <w:r>
        <w:t>Example of V-PCC Media</w:t>
      </w:r>
      <w:r w:rsidR="005365DA">
        <w:t xml:space="preserve"> and MPD</w:t>
      </w:r>
    </w:p>
    <w:p w14:paraId="426B4A8A" w14:textId="55FD7EEB" w:rsidR="00AB7A03" w:rsidRDefault="00CE49C7" w:rsidP="00AB7A03">
      <w:r>
        <w:t xml:space="preserve">In this example, </w:t>
      </w:r>
      <w:r w:rsidR="00613438">
        <w:t xml:space="preserve">the video-coded components of a V-PCC sequence are available in two different resolutions. Note that </w:t>
      </w:r>
      <w:r w:rsidR="002220CF">
        <w:t xml:space="preserve">the </w:t>
      </w:r>
      <w:r w:rsidR="00613438">
        <w:t>resolution of the occupancy map component may not necessarily be identical to that of the geometry and attribute components. For each resolution of the video-coded bitstream of the geometry or attribute components, two versions of the bitstream are available (encoded at different bitrates).</w:t>
      </w:r>
    </w:p>
    <w:p w14:paraId="00ADE4CB" w14:textId="2A2F00A3" w:rsidR="005A7D17" w:rsidRDefault="005A7D17" w:rsidP="00AB7A03"/>
    <w:p w14:paraId="68382C3B" w14:textId="13353563" w:rsidR="005A7D17" w:rsidRDefault="005A7D17" w:rsidP="00AB7A03">
      <w:r>
        <w:t>Let O</w:t>
      </w:r>
      <w:r w:rsidR="0040472A">
        <w:rPr>
          <w:vertAlign w:val="subscript"/>
        </w:rPr>
        <w:t xml:space="preserve">A </w:t>
      </w:r>
      <w:r w:rsidR="0040472A">
        <w:t>and O</w:t>
      </w:r>
      <w:r w:rsidR="0040472A">
        <w:rPr>
          <w:vertAlign w:val="subscript"/>
        </w:rPr>
        <w:t>B</w:t>
      </w:r>
      <w:r w:rsidR="0040472A">
        <w:t xml:space="preserve"> be the two occupancy map resolutions. Similarly, let G</w:t>
      </w:r>
      <w:r w:rsidR="0040472A">
        <w:rPr>
          <w:vertAlign w:val="subscript"/>
        </w:rPr>
        <w:t>A</w:t>
      </w:r>
      <w:r w:rsidR="0040472A">
        <w:t xml:space="preserve"> and G</w:t>
      </w:r>
      <w:r w:rsidR="0040472A">
        <w:rPr>
          <w:vertAlign w:val="subscript"/>
        </w:rPr>
        <w:t>B</w:t>
      </w:r>
      <w:r w:rsidR="0040472A">
        <w:t xml:space="preserve"> be the two available geometry resolutions and A</w:t>
      </w:r>
      <w:r w:rsidR="0040472A">
        <w:rPr>
          <w:vertAlign w:val="subscript"/>
        </w:rPr>
        <w:t>A</w:t>
      </w:r>
      <w:r w:rsidR="0040472A">
        <w:t xml:space="preserve"> and A</w:t>
      </w:r>
      <w:r w:rsidR="0040472A">
        <w:rPr>
          <w:vertAlign w:val="subscript"/>
        </w:rPr>
        <w:t>B</w:t>
      </w:r>
      <w:r w:rsidR="0040472A">
        <w:t xml:space="preserve"> be the two attribute resolutions. Since each geometry and attribute resolution is available at two different bitrates, let us denote these as G</w:t>
      </w:r>
      <w:r w:rsidR="0040472A">
        <w:rPr>
          <w:vertAlign w:val="subscript"/>
        </w:rPr>
        <w:t>A,1</w:t>
      </w:r>
      <w:r w:rsidR="0040472A">
        <w:t>, G</w:t>
      </w:r>
      <w:r w:rsidR="0040472A">
        <w:rPr>
          <w:vertAlign w:val="subscript"/>
        </w:rPr>
        <w:t>A,2</w:t>
      </w:r>
      <w:r w:rsidR="0040472A">
        <w:t>, G</w:t>
      </w:r>
      <w:r w:rsidR="0040472A">
        <w:rPr>
          <w:vertAlign w:val="subscript"/>
        </w:rPr>
        <w:t>B,1</w:t>
      </w:r>
      <w:r w:rsidR="0040472A">
        <w:t>, G</w:t>
      </w:r>
      <w:r w:rsidR="0040472A">
        <w:rPr>
          <w:vertAlign w:val="subscript"/>
        </w:rPr>
        <w:t>B,2</w:t>
      </w:r>
      <w:r w:rsidR="0040472A">
        <w:t>, A</w:t>
      </w:r>
      <w:r w:rsidR="0040472A">
        <w:rPr>
          <w:vertAlign w:val="subscript"/>
        </w:rPr>
        <w:t>A,1</w:t>
      </w:r>
      <w:r w:rsidR="0040472A">
        <w:t>, A</w:t>
      </w:r>
      <w:r w:rsidR="0040472A">
        <w:rPr>
          <w:vertAlign w:val="subscript"/>
        </w:rPr>
        <w:t>A,2</w:t>
      </w:r>
      <w:r w:rsidR="0040472A">
        <w:t>, A</w:t>
      </w:r>
      <w:r w:rsidR="0040472A">
        <w:rPr>
          <w:vertAlign w:val="subscript"/>
        </w:rPr>
        <w:t>B,1</w:t>
      </w:r>
      <w:r w:rsidR="0040472A">
        <w:t>, and A</w:t>
      </w:r>
      <w:r w:rsidR="0040472A">
        <w:rPr>
          <w:vertAlign w:val="subscript"/>
        </w:rPr>
        <w:t>B,2</w:t>
      </w:r>
      <w:r w:rsidR="0040472A">
        <w:t>.</w:t>
      </w:r>
      <w:r w:rsidR="004F5840">
        <w:t xml:space="preserve"> Occupancy map O</w:t>
      </w:r>
      <w:r w:rsidR="004F5840">
        <w:rPr>
          <w:vertAlign w:val="subscript"/>
        </w:rPr>
        <w:t>A</w:t>
      </w:r>
      <w:r w:rsidR="004F5840">
        <w:t xml:space="preserve"> is compatible with G</w:t>
      </w:r>
      <w:r w:rsidR="004F5840">
        <w:rPr>
          <w:vertAlign w:val="subscript"/>
        </w:rPr>
        <w:t>A,1</w:t>
      </w:r>
      <w:r w:rsidR="004F5840">
        <w:t>, G</w:t>
      </w:r>
      <w:r w:rsidR="004F5840">
        <w:rPr>
          <w:vertAlign w:val="subscript"/>
        </w:rPr>
        <w:t>A,2</w:t>
      </w:r>
      <w:r w:rsidR="004F5840">
        <w:t>, A</w:t>
      </w:r>
      <w:r w:rsidR="004F5840">
        <w:rPr>
          <w:vertAlign w:val="subscript"/>
        </w:rPr>
        <w:t>A,1</w:t>
      </w:r>
      <w:r w:rsidR="004F5840">
        <w:t>, and A</w:t>
      </w:r>
      <w:r w:rsidR="004F5840">
        <w:rPr>
          <w:vertAlign w:val="subscript"/>
        </w:rPr>
        <w:t>A,2</w:t>
      </w:r>
      <w:r w:rsidR="004F5840">
        <w:t>. While occupancy map O</w:t>
      </w:r>
      <w:r w:rsidR="004F5840">
        <w:rPr>
          <w:vertAlign w:val="subscript"/>
        </w:rPr>
        <w:t>B</w:t>
      </w:r>
      <w:r w:rsidR="004F5840">
        <w:t xml:space="preserve"> is compatible with G</w:t>
      </w:r>
      <w:r w:rsidR="004F5840">
        <w:rPr>
          <w:vertAlign w:val="subscript"/>
        </w:rPr>
        <w:t>B,1</w:t>
      </w:r>
      <w:r w:rsidR="004F5840">
        <w:t>, G</w:t>
      </w:r>
      <w:r w:rsidR="004F5840">
        <w:rPr>
          <w:vertAlign w:val="subscript"/>
        </w:rPr>
        <w:t>B,2</w:t>
      </w:r>
      <w:r w:rsidR="004F5840">
        <w:t>, A</w:t>
      </w:r>
      <w:r w:rsidR="004F5840">
        <w:rPr>
          <w:vertAlign w:val="subscript"/>
        </w:rPr>
        <w:t>B,1</w:t>
      </w:r>
      <w:r w:rsidR="004F5840">
        <w:t>, and A</w:t>
      </w:r>
      <w:r w:rsidR="004F5840">
        <w:rPr>
          <w:vertAlign w:val="subscript"/>
        </w:rPr>
        <w:t>B,2</w:t>
      </w:r>
      <w:r w:rsidR="004F5840">
        <w:t>.</w:t>
      </w:r>
    </w:p>
    <w:p w14:paraId="7B4DC950" w14:textId="62E301DC" w:rsidR="00AC4537" w:rsidRDefault="00C62DD7" w:rsidP="00C62DD7">
      <w:r>
        <w:lastRenderedPageBreak/>
        <w:t>Following</w:t>
      </w:r>
      <w:r w:rsidR="00AC4537">
        <w:t xml:space="preserve"> Section 10.</w:t>
      </w:r>
      <w:r>
        <w:t xml:space="preserve">2 in the </w:t>
      </w:r>
      <w:proofErr w:type="spellStart"/>
      <w:r>
        <w:t>TuC</w:t>
      </w:r>
      <w:proofErr w:type="spellEnd"/>
      <w:r>
        <w:t>, e</w:t>
      </w:r>
      <w:r w:rsidR="00AC4537">
        <w:t xml:space="preserve">ach </w:t>
      </w:r>
      <w:r>
        <w:t xml:space="preserve">resolution of the geometry and attribute </w:t>
      </w:r>
      <w:r w:rsidR="00AC4537">
        <w:t>component</w:t>
      </w:r>
      <w:r>
        <w:t>s</w:t>
      </w:r>
      <w:r w:rsidR="00AC4537">
        <w:t xml:space="preserve"> can be </w:t>
      </w:r>
      <w:r>
        <w:t>signaled</w:t>
      </w:r>
      <w:r w:rsidR="00AC4537">
        <w:t xml:space="preserve"> by a separate </w:t>
      </w:r>
      <w:proofErr w:type="spellStart"/>
      <w:r w:rsidR="00AC4537" w:rsidRPr="00801E30">
        <w:rPr>
          <w:rFonts w:ascii="Courier" w:hAnsi="Courier"/>
        </w:rPr>
        <w:t>AdaptationSet</w:t>
      </w:r>
      <w:proofErr w:type="spellEnd"/>
      <w:r w:rsidR="00AC4537">
        <w:t xml:space="preserve"> </w:t>
      </w:r>
      <w:r>
        <w:t xml:space="preserve">with two representations, one for each bitrate. Each occupancy map </w:t>
      </w:r>
      <w:r w:rsidR="00FB4BB9">
        <w:t xml:space="preserve">resolution is also signaled using a separate </w:t>
      </w:r>
      <w:proofErr w:type="spellStart"/>
      <w:r w:rsidR="00FB4BB9" w:rsidRPr="00801E30">
        <w:rPr>
          <w:rFonts w:ascii="Courier" w:hAnsi="Courier"/>
        </w:rPr>
        <w:t>AdaptationSet</w:t>
      </w:r>
      <w:proofErr w:type="spellEnd"/>
      <w:r w:rsidR="00FB4BB9">
        <w:t xml:space="preserve"> with a single representation. Each </w:t>
      </w:r>
      <w:proofErr w:type="spellStart"/>
      <w:r w:rsidR="00FB4BB9" w:rsidRPr="00801E30">
        <w:rPr>
          <w:rFonts w:ascii="Courier" w:hAnsi="Courier"/>
        </w:rPr>
        <w:t>AdaptationSet</w:t>
      </w:r>
      <w:proofErr w:type="spellEnd"/>
      <w:r w:rsidR="00FB4BB9">
        <w:t xml:space="preserve"> of the occupanc</w:t>
      </w:r>
      <w:r w:rsidR="002C72E2">
        <w:t>y,</w:t>
      </w:r>
      <w:r w:rsidR="00FB4BB9">
        <w:t xml:space="preserve"> geometry</w:t>
      </w:r>
      <w:r w:rsidR="002C72E2">
        <w:t xml:space="preserve">, and attribute components includes a </w:t>
      </w:r>
      <w:proofErr w:type="spellStart"/>
      <w:r w:rsidR="002C72E2">
        <w:t>VPCCComponent</w:t>
      </w:r>
      <w:proofErr w:type="spellEnd"/>
      <w:r w:rsidR="002C72E2">
        <w:t xml:space="preserve"> descriptor with the </w:t>
      </w:r>
      <w:r w:rsidR="00801E30" w:rsidRPr="00801E30">
        <w:rPr>
          <w:rFonts w:ascii="Courier New" w:hAnsi="Courier New" w:cs="Courier New"/>
          <w:sz w:val="22"/>
          <w:szCs w:val="22"/>
        </w:rPr>
        <w:t>@</w:t>
      </w:r>
      <w:proofErr w:type="spellStart"/>
      <w:r w:rsidR="002C72E2" w:rsidRPr="00801E30">
        <w:rPr>
          <w:rFonts w:ascii="Courier New" w:hAnsi="Courier New" w:cs="Courier New"/>
          <w:sz w:val="22"/>
          <w:szCs w:val="22"/>
        </w:rPr>
        <w:t>component_type</w:t>
      </w:r>
      <w:proofErr w:type="spellEnd"/>
      <w:r w:rsidR="002C72E2">
        <w:t xml:space="preserve"> attribute set to the corresponding value. </w:t>
      </w:r>
      <w:r w:rsidR="00FB4BB9">
        <w:t xml:space="preserve">Finally, the V-PCC track which includes the atlas bitstream is signaled with an </w:t>
      </w:r>
      <w:proofErr w:type="spellStart"/>
      <w:r w:rsidR="00FB4BB9" w:rsidRPr="00801E30">
        <w:rPr>
          <w:rFonts w:ascii="Courier" w:hAnsi="Courier"/>
        </w:rPr>
        <w:t>AdaptationSet</w:t>
      </w:r>
      <w:proofErr w:type="spellEnd"/>
      <w:r w:rsidR="00FB4BB9">
        <w:t xml:space="preserve"> with a single representation.</w:t>
      </w:r>
      <w:r w:rsidR="002C72E2">
        <w:t xml:space="preserve"> </w:t>
      </w:r>
    </w:p>
    <w:p w14:paraId="35C7660C" w14:textId="3DA2A596" w:rsidR="002C72E2" w:rsidRDefault="002C72E2" w:rsidP="00C62DD7"/>
    <w:p w14:paraId="23B7536B" w14:textId="119CDDD6" w:rsidR="002C72E2" w:rsidRDefault="002C72E2" w:rsidP="00C62DD7">
      <w:r>
        <w:t>Compatible component adaptation sets</w:t>
      </w:r>
      <w:r w:rsidR="00801E30">
        <w:t>,</w:t>
      </w:r>
      <w:r>
        <w:t xml:space="preserve"> along with the main </w:t>
      </w:r>
      <w:proofErr w:type="spellStart"/>
      <w:r w:rsidRPr="00801E30">
        <w:rPr>
          <w:rFonts w:ascii="Courier" w:hAnsi="Courier"/>
        </w:rPr>
        <w:t>AdaptationSet</w:t>
      </w:r>
      <w:proofErr w:type="spellEnd"/>
      <w:r w:rsidR="00801E30" w:rsidRPr="00801E30">
        <w:t>,</w:t>
      </w:r>
      <w:r>
        <w:t xml:space="preserve"> are grouped together in two </w:t>
      </w:r>
      <w:proofErr w:type="spellStart"/>
      <w:r>
        <w:t>preselections</w:t>
      </w:r>
      <w:proofErr w:type="spellEnd"/>
      <w:r>
        <w:t xml:space="preserve"> in the MPD. To indicate that these adaptation sets are referenced in at least one preselection, a preselection descriptor</w:t>
      </w:r>
      <w:r w:rsidR="00801E30">
        <w:t xml:space="preserve"> without the </w:t>
      </w:r>
      <w:r w:rsidR="00801E30" w:rsidRPr="00801E30">
        <w:rPr>
          <w:rFonts w:ascii="Courier New" w:hAnsi="Courier New" w:cs="Courier New"/>
          <w:sz w:val="22"/>
          <w:szCs w:val="22"/>
        </w:rPr>
        <w:t>@value</w:t>
      </w:r>
      <w:r w:rsidR="00801E30">
        <w:t xml:space="preserve"> attribute is signaled in each </w:t>
      </w:r>
      <w:proofErr w:type="spellStart"/>
      <w:r w:rsidR="00801E30" w:rsidRPr="00801E30">
        <w:rPr>
          <w:rFonts w:ascii="Courier" w:hAnsi="Courier"/>
        </w:rPr>
        <w:t>AdaptationSet</w:t>
      </w:r>
      <w:proofErr w:type="spellEnd"/>
      <w:r w:rsidR="00801E30">
        <w:t>.</w:t>
      </w:r>
      <w:r w:rsidR="000D73F2">
        <w:t xml:space="preserve"> Each preselection shall include a VPCC descriptor that indicates a</w:t>
      </w:r>
      <w:r w:rsidR="00651E4F">
        <w:t>t least the</w:t>
      </w:r>
      <w:r w:rsidR="000D73F2">
        <w:t xml:space="preserve"> mandatory </w:t>
      </w:r>
      <w:r w:rsidR="000D73F2" w:rsidRPr="000D73F2">
        <w:rPr>
          <w:rFonts w:ascii="Courier New" w:hAnsi="Courier New" w:cs="Courier New"/>
          <w:sz w:val="22"/>
          <w:szCs w:val="22"/>
        </w:rPr>
        <w:t>@</w:t>
      </w:r>
      <w:proofErr w:type="spellStart"/>
      <w:r w:rsidR="000D73F2" w:rsidRPr="000D73F2">
        <w:rPr>
          <w:rFonts w:ascii="Courier New" w:hAnsi="Courier New" w:cs="Courier New"/>
          <w:sz w:val="22"/>
          <w:szCs w:val="22"/>
        </w:rPr>
        <w:t>pcId</w:t>
      </w:r>
      <w:proofErr w:type="spellEnd"/>
      <w:r w:rsidR="000D73F2">
        <w:t xml:space="preserve"> attribute</w:t>
      </w:r>
      <w:r w:rsidR="00651E4F">
        <w:t>. T</w:t>
      </w:r>
      <w:r w:rsidR="000D73F2">
        <w:t xml:space="preserve">he </w:t>
      </w:r>
      <w:r w:rsidR="00651E4F">
        <w:t xml:space="preserve">values assigned to the </w:t>
      </w:r>
      <w:r w:rsidR="00651E4F" w:rsidRPr="00651E4F">
        <w:rPr>
          <w:rFonts w:ascii="Courier New" w:hAnsi="Courier New" w:cs="Courier New"/>
          <w:sz w:val="22"/>
          <w:szCs w:val="22"/>
        </w:rPr>
        <w:t>@</w:t>
      </w:r>
      <w:proofErr w:type="spellStart"/>
      <w:r w:rsidR="00651E4F" w:rsidRPr="00651E4F">
        <w:rPr>
          <w:rFonts w:ascii="Courier New" w:hAnsi="Courier New" w:cs="Courier New"/>
          <w:sz w:val="22"/>
          <w:szCs w:val="22"/>
        </w:rPr>
        <w:t>pcId</w:t>
      </w:r>
      <w:proofErr w:type="spellEnd"/>
      <w:r w:rsidR="00651E4F">
        <w:t xml:space="preserve"> attributes of the two </w:t>
      </w:r>
      <w:proofErr w:type="spellStart"/>
      <w:r w:rsidR="00651E4F">
        <w:t>preselections</w:t>
      </w:r>
      <w:proofErr w:type="spellEnd"/>
      <w:r w:rsidR="00651E4F">
        <w:t xml:space="preserve"> are identical</w:t>
      </w:r>
      <w:r w:rsidR="000D73F2">
        <w:t xml:space="preserve">, indicating that both </w:t>
      </w:r>
      <w:proofErr w:type="spellStart"/>
      <w:r w:rsidR="000D73F2">
        <w:t>preselections</w:t>
      </w:r>
      <w:proofErr w:type="spellEnd"/>
      <w:r w:rsidR="000D73F2">
        <w:t xml:space="preserve"> belong to the same point cloud content.</w:t>
      </w:r>
    </w:p>
    <w:p w14:paraId="2F586583" w14:textId="6D3B2E60" w:rsidR="00FB4BB9" w:rsidRDefault="00FB4BB9" w:rsidP="00C62DD7"/>
    <w:p w14:paraId="126F0646" w14:textId="48219FEF" w:rsidR="00FB4BB9" w:rsidRDefault="003027A3" w:rsidP="00C62DD7">
      <w:r>
        <w:t xml:space="preserve">The main V-PCC </w:t>
      </w:r>
      <w:proofErr w:type="spellStart"/>
      <w:r w:rsidRPr="004C569F">
        <w:rPr>
          <w:rFonts w:ascii="Courier" w:hAnsi="Courier"/>
        </w:rPr>
        <w:t>AdaptationSet</w:t>
      </w:r>
      <w:proofErr w:type="spellEnd"/>
      <w:r>
        <w:t xml:space="preserve"> shall </w:t>
      </w:r>
      <w:r w:rsidR="006B2CC4" w:rsidRPr="004F5A49">
        <w:t xml:space="preserve">contain the </w:t>
      </w:r>
      <w:proofErr w:type="spellStart"/>
      <w:r w:rsidR="006B2CC4" w:rsidRPr="004F5A49">
        <w:t>Initialisation</w:t>
      </w:r>
      <w:proofErr w:type="spellEnd"/>
      <w:r w:rsidR="006B2CC4" w:rsidRPr="004F5A49">
        <w:t xml:space="preserve"> Segment for the complete experience</w:t>
      </w:r>
      <w:r w:rsidR="006B2CC4">
        <w:t xml:space="preserve">. Therefore, in the case of an ISOBMFF container, the initialization segment shall contain </w:t>
      </w:r>
      <w:proofErr w:type="spellStart"/>
      <w:r w:rsidR="006B2CC4" w:rsidRPr="004C569F">
        <w:rPr>
          <w:rFonts w:ascii="Courier New" w:hAnsi="Courier New" w:cs="Courier New"/>
        </w:rPr>
        <w:t>TrackBox</w:t>
      </w:r>
      <w:r w:rsidR="006B2CC4">
        <w:t>es</w:t>
      </w:r>
      <w:proofErr w:type="spellEnd"/>
      <w:r w:rsidR="006B2CC4">
        <w:t xml:space="preserve"> for the V-PCC track as well as the tracks of all versions of the V-PCC components (all resolutions and bitrates).</w:t>
      </w:r>
    </w:p>
    <w:p w14:paraId="16F6329C" w14:textId="3AD9B001" w:rsidR="004C569F" w:rsidRDefault="004C569F" w:rsidP="00C62DD7"/>
    <w:p w14:paraId="4C41DDEB" w14:textId="6E6264E1" w:rsidR="004C569F" w:rsidRDefault="004C569F" w:rsidP="00C62DD7">
      <w:r>
        <w:t xml:space="preserve">Figure </w:t>
      </w:r>
      <w:commentRangeStart w:id="1"/>
      <w:r>
        <w:t>X</w:t>
      </w:r>
      <w:commentRangeEnd w:id="1"/>
      <w:r w:rsidR="002220CF">
        <w:rPr>
          <w:rStyle w:val="CommentReference"/>
          <w:rFonts w:ascii="Calibri" w:eastAsia="Calibri" w:hAnsi="Calibri"/>
        </w:rPr>
        <w:commentReference w:id="1"/>
      </w:r>
      <w:r>
        <w:t xml:space="preserve"> illustrates the different adaptation sets and their relation to the </w:t>
      </w:r>
      <w:proofErr w:type="spellStart"/>
      <w:r>
        <w:t>preselections</w:t>
      </w:r>
      <w:proofErr w:type="spellEnd"/>
      <w:r>
        <w:t xml:space="preserve"> that represent the point cloud content described in this example.</w:t>
      </w:r>
    </w:p>
    <w:p w14:paraId="4FC50126" w14:textId="53CA00EB" w:rsidR="004C569F" w:rsidRDefault="004C569F" w:rsidP="00C62DD7"/>
    <w:p w14:paraId="079229B7" w14:textId="41E78F6B" w:rsidR="004C569F" w:rsidRDefault="004C569F" w:rsidP="00C62DD7"/>
    <w:p w14:paraId="6B75D9D4" w14:textId="233291AE" w:rsidR="001B1802" w:rsidRDefault="001B1802" w:rsidP="00C62DD7"/>
    <w:p w14:paraId="660B76D5" w14:textId="77777777" w:rsidR="001B1802" w:rsidRDefault="001B1802" w:rsidP="00C62DD7"/>
    <w:p w14:paraId="5F743084" w14:textId="33842FB6" w:rsidR="004C569F" w:rsidRPr="004F5840" w:rsidRDefault="004C569F" w:rsidP="00C62DD7">
      <w:r>
        <w:t>A skeleton for the complete MPD file that signals the point cloud content described in this example is given below.</w:t>
      </w:r>
    </w:p>
    <w:p w14:paraId="00215FF7" w14:textId="0BD16D2B" w:rsidR="00AB7A03" w:rsidRDefault="00AB7A03" w:rsidP="00AB7A03"/>
    <w:p w14:paraId="025BE062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>&lt;Period&gt;</w:t>
      </w:r>
    </w:p>
    <w:p w14:paraId="19BBD2AA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</w:t>
      </w:r>
      <w:proofErr w:type="gramStart"/>
      <w:r>
        <w:rPr>
          <w:rFonts w:ascii="Courier" w:hAnsi="Courier" w:cs="Lucida Sans Typewriter"/>
          <w:sz w:val="18"/>
          <w:szCs w:val="18"/>
        </w:rPr>
        <w:t>&lt;!--</w:t>
      </w:r>
      <w:proofErr w:type="gramEnd"/>
      <w:r>
        <w:rPr>
          <w:rFonts w:ascii="Courier" w:hAnsi="Courier" w:cs="Lucida Sans Typewriter"/>
          <w:sz w:val="18"/>
          <w:szCs w:val="18"/>
        </w:rPr>
        <w:t xml:space="preserve"> Main V-PCC 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--&gt;</w:t>
      </w:r>
    </w:p>
    <w:p w14:paraId="558D8D0A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id=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codecs=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vpc1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32689BD7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"urn:</w:t>
      </w:r>
      <w:proofErr w:type="gramStart"/>
      <w:r w:rsidRPr="003F7731">
        <w:rPr>
          <w:rFonts w:ascii="Courier" w:hAnsi="Courier" w:cs="Lucida Sans Typewriter"/>
          <w:sz w:val="18"/>
          <w:szCs w:val="18"/>
        </w:rPr>
        <w:t>mpeg:dash</w:t>
      </w:r>
      <w:proofErr w:type="gramEnd"/>
      <w:r w:rsidRPr="003F7731">
        <w:rPr>
          <w:rFonts w:ascii="Courier" w:hAnsi="Courier" w:cs="Lucida Sans Typewriter"/>
          <w:sz w:val="18"/>
          <w:szCs w:val="18"/>
        </w:rPr>
        <w:t>:preselection:2016"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722F4D76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&lt;Representation&gt;</w:t>
      </w:r>
    </w:p>
    <w:p w14:paraId="1BBB9737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...</w:t>
      </w:r>
    </w:p>
    <w:p w14:paraId="06A4C977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&lt;/Representation&gt;</w:t>
      </w:r>
    </w:p>
    <w:p w14:paraId="7AD17B58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&lt;/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5175EA1C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33A319DA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</w:t>
      </w:r>
      <w:proofErr w:type="gramStart"/>
      <w:r>
        <w:rPr>
          <w:rFonts w:ascii="Courier" w:hAnsi="Courier" w:cs="Lucida Sans Typewriter"/>
          <w:sz w:val="18"/>
          <w:szCs w:val="18"/>
        </w:rPr>
        <w:t>&lt;!--</w:t>
      </w:r>
      <w:proofErr w:type="gramEnd"/>
      <w:r>
        <w:rPr>
          <w:rFonts w:ascii="Courier" w:hAnsi="Courier" w:cs="Lucida Sans Typewriter"/>
          <w:sz w:val="18"/>
          <w:szCs w:val="18"/>
        </w:rPr>
        <w:t xml:space="preserve"> Occupancy Map --&gt;</w:t>
      </w:r>
    </w:p>
    <w:p w14:paraId="13238655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id=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2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codecs=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gramStart"/>
      <w:r>
        <w:rPr>
          <w:rFonts w:ascii="Courier" w:hAnsi="Courier" w:cs="Lucida Sans Typewriter"/>
          <w:sz w:val="18"/>
          <w:szCs w:val="18"/>
        </w:rPr>
        <w:t>resv.pccv</w:t>
      </w:r>
      <w:proofErr w:type="gramEnd"/>
      <w:r>
        <w:rPr>
          <w:rFonts w:ascii="Courier" w:hAnsi="Courier" w:cs="Lucida Sans Typewriter"/>
          <w:sz w:val="18"/>
          <w:szCs w:val="18"/>
        </w:rPr>
        <w:t>.hvc1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54E51EF4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"urn:</w:t>
      </w:r>
      <w:proofErr w:type="gramStart"/>
      <w:r w:rsidRPr="003F7731">
        <w:rPr>
          <w:rFonts w:ascii="Courier" w:hAnsi="Courier" w:cs="Lucida Sans Typewriter"/>
          <w:sz w:val="18"/>
          <w:szCs w:val="18"/>
        </w:rPr>
        <w:t>mpeg:dash</w:t>
      </w:r>
      <w:proofErr w:type="gramEnd"/>
      <w:r w:rsidRPr="003F7731">
        <w:rPr>
          <w:rFonts w:ascii="Courier" w:hAnsi="Courier" w:cs="Lucida Sans Typewriter"/>
          <w:sz w:val="18"/>
          <w:szCs w:val="18"/>
        </w:rPr>
        <w:t>:preselection:2016"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74E159B1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urn:</w:t>
      </w:r>
      <w:proofErr w:type="gramStart"/>
      <w:r>
        <w:rPr>
          <w:rFonts w:ascii="Courier" w:hAnsi="Courier" w:cs="Lucida Sans Typewriter"/>
          <w:sz w:val="18"/>
          <w:szCs w:val="18"/>
        </w:rPr>
        <w:t>mpeg:mpegI</w:t>
      </w:r>
      <w:proofErr w:type="gramEnd"/>
      <w:r>
        <w:rPr>
          <w:rFonts w:ascii="Courier" w:hAnsi="Courier" w:cs="Lucida Sans Typewriter"/>
          <w:sz w:val="18"/>
          <w:szCs w:val="18"/>
        </w:rPr>
        <w:t>:vpcc:2019:component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043AE074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    &lt;</w:t>
      </w:r>
      <w:proofErr w:type="spellStart"/>
      <w:proofErr w:type="gramStart"/>
      <w:r>
        <w:rPr>
          <w:rFonts w:ascii="Courier" w:hAnsi="Courier" w:cs="Lucida Sans Typewriter"/>
          <w:sz w:val="18"/>
          <w:szCs w:val="18"/>
        </w:rPr>
        <w:t>vpcc:component</w:t>
      </w:r>
      <w:proofErr w:type="spellEnd"/>
      <w:proofErr w:type="gram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component_type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spellStart"/>
      <w:r>
        <w:rPr>
          <w:rFonts w:ascii="Courier" w:hAnsi="Courier" w:cs="Lucida Sans Typewriter"/>
          <w:sz w:val="18"/>
          <w:szCs w:val="18"/>
        </w:rPr>
        <w:t>occp</w:t>
      </w:r>
      <w:proofErr w:type="spellEnd"/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61C16D13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54824ED0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&lt;Representation&gt;</w:t>
      </w:r>
    </w:p>
    <w:p w14:paraId="26166465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...</w:t>
      </w:r>
    </w:p>
    <w:p w14:paraId="44164092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&lt;/Representation&gt;</w:t>
      </w:r>
    </w:p>
    <w:p w14:paraId="24B7FEA0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&lt;/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41B014F2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1B205312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id=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3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codecs=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gramStart"/>
      <w:r>
        <w:rPr>
          <w:rFonts w:ascii="Courier" w:hAnsi="Courier" w:cs="Lucida Sans Typewriter"/>
          <w:sz w:val="18"/>
          <w:szCs w:val="18"/>
        </w:rPr>
        <w:t>resv.pccv</w:t>
      </w:r>
      <w:proofErr w:type="gramEnd"/>
      <w:r>
        <w:rPr>
          <w:rFonts w:ascii="Courier" w:hAnsi="Courier" w:cs="Lucida Sans Typewriter"/>
          <w:sz w:val="18"/>
          <w:szCs w:val="18"/>
        </w:rPr>
        <w:t>.hvc1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421F9422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"urn:</w:t>
      </w:r>
      <w:proofErr w:type="gramStart"/>
      <w:r w:rsidRPr="003F7731">
        <w:rPr>
          <w:rFonts w:ascii="Courier" w:hAnsi="Courier" w:cs="Lucida Sans Typewriter"/>
          <w:sz w:val="18"/>
          <w:szCs w:val="18"/>
        </w:rPr>
        <w:t>mpeg:dash</w:t>
      </w:r>
      <w:proofErr w:type="gramEnd"/>
      <w:r w:rsidRPr="003F7731">
        <w:rPr>
          <w:rFonts w:ascii="Courier" w:hAnsi="Courier" w:cs="Lucida Sans Typewriter"/>
          <w:sz w:val="18"/>
          <w:szCs w:val="18"/>
        </w:rPr>
        <w:t>:preselection:2016"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5082B7D7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urn:</w:t>
      </w:r>
      <w:proofErr w:type="gramStart"/>
      <w:r>
        <w:rPr>
          <w:rFonts w:ascii="Courier" w:hAnsi="Courier" w:cs="Lucida Sans Typewriter"/>
          <w:sz w:val="18"/>
          <w:szCs w:val="18"/>
        </w:rPr>
        <w:t>mpeg:mpegI</w:t>
      </w:r>
      <w:proofErr w:type="gramEnd"/>
      <w:r>
        <w:rPr>
          <w:rFonts w:ascii="Courier" w:hAnsi="Courier" w:cs="Lucida Sans Typewriter"/>
          <w:sz w:val="18"/>
          <w:szCs w:val="18"/>
        </w:rPr>
        <w:t>:vpcc:2019:component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41D384A1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    &lt;</w:t>
      </w:r>
      <w:proofErr w:type="spellStart"/>
      <w:proofErr w:type="gramStart"/>
      <w:r>
        <w:rPr>
          <w:rFonts w:ascii="Courier" w:hAnsi="Courier" w:cs="Lucida Sans Typewriter"/>
          <w:sz w:val="18"/>
          <w:szCs w:val="18"/>
        </w:rPr>
        <w:t>vpcc:component</w:t>
      </w:r>
      <w:proofErr w:type="spellEnd"/>
      <w:proofErr w:type="gram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component_type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spellStart"/>
      <w:r>
        <w:rPr>
          <w:rFonts w:ascii="Courier" w:hAnsi="Courier" w:cs="Lucida Sans Typewriter"/>
          <w:sz w:val="18"/>
          <w:szCs w:val="18"/>
        </w:rPr>
        <w:t>occp</w:t>
      </w:r>
      <w:proofErr w:type="spellEnd"/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6A93DFF0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4602F705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&lt;Representation&gt;</w:t>
      </w:r>
    </w:p>
    <w:p w14:paraId="7ACB45D1" w14:textId="77777777" w:rsidR="00567489" w:rsidRDefault="00567489" w:rsidP="00651E4F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ind w:left="720" w:hanging="72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...</w:t>
      </w:r>
    </w:p>
    <w:p w14:paraId="63425C4F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&lt;/Representation&gt;</w:t>
      </w:r>
    </w:p>
    <w:p w14:paraId="03DC266F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&lt;/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2FBB1ABC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37FD70CB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10DCF510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</w:t>
      </w:r>
      <w:proofErr w:type="gramStart"/>
      <w:r>
        <w:rPr>
          <w:rFonts w:ascii="Courier" w:hAnsi="Courier" w:cs="Lucida Sans Typewriter"/>
          <w:sz w:val="18"/>
          <w:szCs w:val="18"/>
        </w:rPr>
        <w:t>&lt;!--</w:t>
      </w:r>
      <w:proofErr w:type="gramEnd"/>
      <w:r>
        <w:rPr>
          <w:rFonts w:ascii="Courier" w:hAnsi="Courier" w:cs="Lucida Sans Typewriter"/>
          <w:sz w:val="18"/>
          <w:szCs w:val="18"/>
        </w:rPr>
        <w:t xml:space="preserve"> Geometry --&gt;</w:t>
      </w:r>
    </w:p>
    <w:p w14:paraId="07B22E13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id=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4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codecs=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gramStart"/>
      <w:r>
        <w:rPr>
          <w:rFonts w:ascii="Courier" w:hAnsi="Courier" w:cs="Lucida Sans Typewriter"/>
          <w:sz w:val="18"/>
          <w:szCs w:val="18"/>
        </w:rPr>
        <w:t>resv.pccv</w:t>
      </w:r>
      <w:proofErr w:type="gramEnd"/>
      <w:r>
        <w:rPr>
          <w:rFonts w:ascii="Courier" w:hAnsi="Courier" w:cs="Lucida Sans Typewriter"/>
          <w:sz w:val="18"/>
          <w:szCs w:val="18"/>
        </w:rPr>
        <w:t>.hvc1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599E3869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"urn:</w:t>
      </w:r>
      <w:proofErr w:type="gramStart"/>
      <w:r w:rsidRPr="003F7731">
        <w:rPr>
          <w:rFonts w:ascii="Courier" w:hAnsi="Courier" w:cs="Lucida Sans Typewriter"/>
          <w:sz w:val="18"/>
          <w:szCs w:val="18"/>
        </w:rPr>
        <w:t>mpeg:dash</w:t>
      </w:r>
      <w:proofErr w:type="gramEnd"/>
      <w:r w:rsidRPr="003F7731">
        <w:rPr>
          <w:rFonts w:ascii="Courier" w:hAnsi="Courier" w:cs="Lucida Sans Typewriter"/>
          <w:sz w:val="18"/>
          <w:szCs w:val="18"/>
        </w:rPr>
        <w:t>:preselection:2016"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25E7061D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urn:</w:t>
      </w:r>
      <w:proofErr w:type="gramStart"/>
      <w:r>
        <w:rPr>
          <w:rFonts w:ascii="Courier" w:hAnsi="Courier" w:cs="Lucida Sans Typewriter"/>
          <w:sz w:val="18"/>
          <w:szCs w:val="18"/>
        </w:rPr>
        <w:t>mpeg:mpegI</w:t>
      </w:r>
      <w:proofErr w:type="gramEnd"/>
      <w:r>
        <w:rPr>
          <w:rFonts w:ascii="Courier" w:hAnsi="Courier" w:cs="Lucida Sans Typewriter"/>
          <w:sz w:val="18"/>
          <w:szCs w:val="18"/>
        </w:rPr>
        <w:t>:vpcc:2019:component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2AE24494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    &lt;</w:t>
      </w:r>
      <w:proofErr w:type="spellStart"/>
      <w:proofErr w:type="gramStart"/>
      <w:r>
        <w:rPr>
          <w:rFonts w:ascii="Courier" w:hAnsi="Courier" w:cs="Lucida Sans Typewriter"/>
          <w:sz w:val="18"/>
          <w:szCs w:val="18"/>
        </w:rPr>
        <w:t>vpcc:component</w:t>
      </w:r>
      <w:proofErr w:type="spellEnd"/>
      <w:proofErr w:type="gram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component_type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spellStart"/>
      <w:r>
        <w:rPr>
          <w:rFonts w:ascii="Courier" w:hAnsi="Courier" w:cs="Lucida Sans Typewriter"/>
          <w:sz w:val="18"/>
          <w:szCs w:val="18"/>
        </w:rPr>
        <w:t>geom</w:t>
      </w:r>
      <w:proofErr w:type="spellEnd"/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456DA487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1A4DA2D1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&lt;Representation&gt;</w:t>
      </w:r>
    </w:p>
    <w:p w14:paraId="2F6BE240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...</w:t>
      </w:r>
    </w:p>
    <w:p w14:paraId="58D37F2D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&lt;/Representation&gt;</w:t>
      </w:r>
    </w:p>
    <w:p w14:paraId="44C2B797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&lt;Representation&gt;</w:t>
      </w:r>
    </w:p>
    <w:p w14:paraId="7D09F850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...</w:t>
      </w:r>
    </w:p>
    <w:p w14:paraId="02881AD0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&lt;/Representation&gt;</w:t>
      </w:r>
    </w:p>
    <w:p w14:paraId="3A7959E1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&lt;/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5C79EF0C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4CD475D3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id=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5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codecs=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gramStart"/>
      <w:r>
        <w:rPr>
          <w:rFonts w:ascii="Courier" w:hAnsi="Courier" w:cs="Lucida Sans Typewriter"/>
          <w:sz w:val="18"/>
          <w:szCs w:val="18"/>
        </w:rPr>
        <w:t>resv.pccv</w:t>
      </w:r>
      <w:proofErr w:type="gramEnd"/>
      <w:r>
        <w:rPr>
          <w:rFonts w:ascii="Courier" w:hAnsi="Courier" w:cs="Lucida Sans Typewriter"/>
          <w:sz w:val="18"/>
          <w:szCs w:val="18"/>
        </w:rPr>
        <w:t>.hvc1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0DB91106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"urn:</w:t>
      </w:r>
      <w:proofErr w:type="gramStart"/>
      <w:r w:rsidRPr="003F7731">
        <w:rPr>
          <w:rFonts w:ascii="Courier" w:hAnsi="Courier" w:cs="Lucida Sans Typewriter"/>
          <w:sz w:val="18"/>
          <w:szCs w:val="18"/>
        </w:rPr>
        <w:t>mpeg:dash</w:t>
      </w:r>
      <w:proofErr w:type="gramEnd"/>
      <w:r w:rsidRPr="003F7731">
        <w:rPr>
          <w:rFonts w:ascii="Courier" w:hAnsi="Courier" w:cs="Lucida Sans Typewriter"/>
          <w:sz w:val="18"/>
          <w:szCs w:val="18"/>
        </w:rPr>
        <w:t>:preselection:2016"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0FCEBFD7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urn:</w:t>
      </w:r>
      <w:proofErr w:type="gramStart"/>
      <w:r>
        <w:rPr>
          <w:rFonts w:ascii="Courier" w:hAnsi="Courier" w:cs="Lucida Sans Typewriter"/>
          <w:sz w:val="18"/>
          <w:szCs w:val="18"/>
        </w:rPr>
        <w:t>mpeg:mpegI</w:t>
      </w:r>
      <w:proofErr w:type="gramEnd"/>
      <w:r>
        <w:rPr>
          <w:rFonts w:ascii="Courier" w:hAnsi="Courier" w:cs="Lucida Sans Typewriter"/>
          <w:sz w:val="18"/>
          <w:szCs w:val="18"/>
        </w:rPr>
        <w:t>:vpcc:2019:component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09A2587A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    &lt;</w:t>
      </w:r>
      <w:proofErr w:type="spellStart"/>
      <w:proofErr w:type="gramStart"/>
      <w:r>
        <w:rPr>
          <w:rFonts w:ascii="Courier" w:hAnsi="Courier" w:cs="Lucida Sans Typewriter"/>
          <w:sz w:val="18"/>
          <w:szCs w:val="18"/>
        </w:rPr>
        <w:t>vpcc:component</w:t>
      </w:r>
      <w:proofErr w:type="spellEnd"/>
      <w:proofErr w:type="gram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component_type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spellStart"/>
      <w:r>
        <w:rPr>
          <w:rFonts w:ascii="Courier" w:hAnsi="Courier" w:cs="Lucida Sans Typewriter"/>
          <w:sz w:val="18"/>
          <w:szCs w:val="18"/>
        </w:rPr>
        <w:t>geom</w:t>
      </w:r>
      <w:proofErr w:type="spellEnd"/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3428EABB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20C1DA6F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&lt;Representation&gt;</w:t>
      </w:r>
    </w:p>
    <w:p w14:paraId="47E58746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...</w:t>
      </w:r>
    </w:p>
    <w:p w14:paraId="4B83760D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&lt;/Representation&gt;</w:t>
      </w:r>
    </w:p>
    <w:p w14:paraId="0D54A09A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&lt;Representation&gt;</w:t>
      </w:r>
    </w:p>
    <w:p w14:paraId="02A1D930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...</w:t>
      </w:r>
    </w:p>
    <w:p w14:paraId="1615C47B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&lt;/Representation&gt;</w:t>
      </w:r>
    </w:p>
    <w:p w14:paraId="5C1F6572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&lt;/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3B83B130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4631520F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6D25D832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</w:t>
      </w:r>
      <w:proofErr w:type="gramStart"/>
      <w:r>
        <w:rPr>
          <w:rFonts w:ascii="Courier" w:hAnsi="Courier" w:cs="Lucida Sans Typewriter"/>
          <w:sz w:val="18"/>
          <w:szCs w:val="18"/>
        </w:rPr>
        <w:t>&lt;!--</w:t>
      </w:r>
      <w:proofErr w:type="gramEnd"/>
      <w:r>
        <w:rPr>
          <w:rFonts w:ascii="Courier" w:hAnsi="Courier" w:cs="Lucida Sans Typewriter"/>
          <w:sz w:val="18"/>
          <w:szCs w:val="18"/>
        </w:rPr>
        <w:t xml:space="preserve"> Attribute --&gt;</w:t>
      </w:r>
    </w:p>
    <w:p w14:paraId="5FE3F2B1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id=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6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codecs=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gramStart"/>
      <w:r>
        <w:rPr>
          <w:rFonts w:ascii="Courier" w:hAnsi="Courier" w:cs="Lucida Sans Typewriter"/>
          <w:sz w:val="18"/>
          <w:szCs w:val="18"/>
        </w:rPr>
        <w:t>resv.pccv</w:t>
      </w:r>
      <w:proofErr w:type="gramEnd"/>
      <w:r>
        <w:rPr>
          <w:rFonts w:ascii="Courier" w:hAnsi="Courier" w:cs="Lucida Sans Typewriter"/>
          <w:sz w:val="18"/>
          <w:szCs w:val="18"/>
        </w:rPr>
        <w:t>.hvc1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46E26C4F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"urn:</w:t>
      </w:r>
      <w:proofErr w:type="gramStart"/>
      <w:r w:rsidRPr="003F7731">
        <w:rPr>
          <w:rFonts w:ascii="Courier" w:hAnsi="Courier" w:cs="Lucida Sans Typewriter"/>
          <w:sz w:val="18"/>
          <w:szCs w:val="18"/>
        </w:rPr>
        <w:t>mpeg:dash</w:t>
      </w:r>
      <w:proofErr w:type="gramEnd"/>
      <w:r w:rsidRPr="003F7731">
        <w:rPr>
          <w:rFonts w:ascii="Courier" w:hAnsi="Courier" w:cs="Lucida Sans Typewriter"/>
          <w:sz w:val="18"/>
          <w:szCs w:val="18"/>
        </w:rPr>
        <w:t>:preselection:2016"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7761DDC6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urn:</w:t>
      </w:r>
      <w:proofErr w:type="gramStart"/>
      <w:r>
        <w:rPr>
          <w:rFonts w:ascii="Courier" w:hAnsi="Courier" w:cs="Lucida Sans Typewriter"/>
          <w:sz w:val="18"/>
          <w:szCs w:val="18"/>
        </w:rPr>
        <w:t>mpeg:mpegI</w:t>
      </w:r>
      <w:proofErr w:type="gramEnd"/>
      <w:r>
        <w:rPr>
          <w:rFonts w:ascii="Courier" w:hAnsi="Courier" w:cs="Lucida Sans Typewriter"/>
          <w:sz w:val="18"/>
          <w:szCs w:val="18"/>
        </w:rPr>
        <w:t>:vpcc:2019:component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0085F549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    &lt;</w:t>
      </w:r>
      <w:proofErr w:type="spellStart"/>
      <w:proofErr w:type="gramStart"/>
      <w:r>
        <w:rPr>
          <w:rFonts w:ascii="Courier" w:hAnsi="Courier" w:cs="Lucida Sans Typewriter"/>
          <w:sz w:val="18"/>
          <w:szCs w:val="18"/>
        </w:rPr>
        <w:t>vpcc:component</w:t>
      </w:r>
      <w:proofErr w:type="spellEnd"/>
      <w:proofErr w:type="gram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component_type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spellStart"/>
      <w:r>
        <w:rPr>
          <w:rFonts w:ascii="Courier" w:hAnsi="Courier" w:cs="Lucida Sans Typewriter"/>
          <w:sz w:val="18"/>
          <w:szCs w:val="18"/>
        </w:rPr>
        <w:t>attr</w:t>
      </w:r>
      <w:proofErr w:type="spellEnd"/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2E1FAAD7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0FE9D23A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&lt;Representation&gt;</w:t>
      </w:r>
    </w:p>
    <w:p w14:paraId="1832AB11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...</w:t>
      </w:r>
    </w:p>
    <w:p w14:paraId="6AD9588B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&lt;/Representation&gt;</w:t>
      </w:r>
    </w:p>
    <w:p w14:paraId="2F26B8E2" w14:textId="77777777" w:rsidR="00567489" w:rsidRPr="00BC5920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 w:rsidRPr="00BC5920">
        <w:rPr>
          <w:rFonts w:ascii="Courier" w:hAnsi="Courier" w:cs="Lucida Sans Typewriter"/>
          <w:sz w:val="18"/>
          <w:szCs w:val="18"/>
        </w:rPr>
        <w:t xml:space="preserve">    &lt;/</w:t>
      </w:r>
      <w:proofErr w:type="spellStart"/>
      <w:r w:rsidRPr="00BC5920">
        <w:rPr>
          <w:rFonts w:ascii="Courier" w:hAnsi="Courier" w:cs="Lucida Sans Typewriter"/>
          <w:sz w:val="18"/>
          <w:szCs w:val="18"/>
        </w:rPr>
        <w:t>AdaptationSet</w:t>
      </w:r>
      <w:proofErr w:type="spellEnd"/>
      <w:r w:rsidRPr="00BC5920">
        <w:rPr>
          <w:rFonts w:ascii="Courier" w:hAnsi="Courier" w:cs="Lucida Sans Typewriter"/>
          <w:sz w:val="18"/>
          <w:szCs w:val="18"/>
        </w:rPr>
        <w:t>&gt;</w:t>
      </w:r>
    </w:p>
    <w:p w14:paraId="7B8F7304" w14:textId="77777777" w:rsidR="00567489" w:rsidRPr="00BC5920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493C5424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 w:rsidRPr="00BC5920">
        <w:rPr>
          <w:rFonts w:ascii="Courier" w:hAnsi="Courier" w:cs="Lucida Sans Typewriter"/>
          <w:sz w:val="18"/>
          <w:szCs w:val="18"/>
        </w:rPr>
        <w:t xml:space="preserve">    </w:t>
      </w:r>
      <w:r>
        <w:rPr>
          <w:rFonts w:ascii="Courier" w:hAnsi="Courier" w:cs="Lucida Sans Typewriter"/>
          <w:sz w:val="18"/>
          <w:szCs w:val="18"/>
        </w:rPr>
        <w:t>&lt;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id=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7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codecs=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gramStart"/>
      <w:r>
        <w:rPr>
          <w:rFonts w:ascii="Courier" w:hAnsi="Courier" w:cs="Lucida Sans Typewriter"/>
          <w:sz w:val="18"/>
          <w:szCs w:val="18"/>
        </w:rPr>
        <w:t>resv.pccv</w:t>
      </w:r>
      <w:proofErr w:type="gramEnd"/>
      <w:r>
        <w:rPr>
          <w:rFonts w:ascii="Courier" w:hAnsi="Courier" w:cs="Lucida Sans Typewriter"/>
          <w:sz w:val="18"/>
          <w:szCs w:val="18"/>
        </w:rPr>
        <w:t>.hvc1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2A74D44D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"urn:</w:t>
      </w:r>
      <w:proofErr w:type="gramStart"/>
      <w:r w:rsidRPr="003F7731">
        <w:rPr>
          <w:rFonts w:ascii="Courier" w:hAnsi="Courier" w:cs="Lucida Sans Typewriter"/>
          <w:sz w:val="18"/>
          <w:szCs w:val="18"/>
        </w:rPr>
        <w:t>mpeg:dash</w:t>
      </w:r>
      <w:proofErr w:type="gramEnd"/>
      <w:r w:rsidRPr="003F7731">
        <w:rPr>
          <w:rFonts w:ascii="Courier" w:hAnsi="Courier" w:cs="Lucida Sans Typewriter"/>
          <w:sz w:val="18"/>
          <w:szCs w:val="18"/>
        </w:rPr>
        <w:t>:preselection:2016"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5F01650A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urn:</w:t>
      </w:r>
      <w:proofErr w:type="gramStart"/>
      <w:r>
        <w:rPr>
          <w:rFonts w:ascii="Courier" w:hAnsi="Courier" w:cs="Lucida Sans Typewriter"/>
          <w:sz w:val="18"/>
          <w:szCs w:val="18"/>
        </w:rPr>
        <w:t>mpeg:mpegI</w:t>
      </w:r>
      <w:proofErr w:type="gramEnd"/>
      <w:r>
        <w:rPr>
          <w:rFonts w:ascii="Courier" w:hAnsi="Courier" w:cs="Lucida Sans Typewriter"/>
          <w:sz w:val="18"/>
          <w:szCs w:val="18"/>
        </w:rPr>
        <w:t>:vpcc:2019:component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538E0D05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    &lt;</w:t>
      </w:r>
      <w:proofErr w:type="spellStart"/>
      <w:proofErr w:type="gramStart"/>
      <w:r>
        <w:rPr>
          <w:rFonts w:ascii="Courier" w:hAnsi="Courier" w:cs="Lucida Sans Typewriter"/>
          <w:sz w:val="18"/>
          <w:szCs w:val="18"/>
        </w:rPr>
        <w:t>vpcc:component</w:t>
      </w:r>
      <w:proofErr w:type="spellEnd"/>
      <w:proofErr w:type="gram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component_type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proofErr w:type="spellStart"/>
      <w:r>
        <w:rPr>
          <w:rFonts w:ascii="Courier" w:hAnsi="Courier" w:cs="Lucida Sans Typewriter"/>
          <w:sz w:val="18"/>
          <w:szCs w:val="18"/>
        </w:rPr>
        <w:t>attr</w:t>
      </w:r>
      <w:proofErr w:type="spellEnd"/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0B96513C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20B72B2A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&lt;Representation&gt;</w:t>
      </w:r>
    </w:p>
    <w:p w14:paraId="2DFF9EDC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...</w:t>
      </w:r>
    </w:p>
    <w:p w14:paraId="427E2507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&lt;/Representation&gt;</w:t>
      </w:r>
    </w:p>
    <w:p w14:paraId="7C5F65D7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&lt;/</w:t>
      </w:r>
      <w:proofErr w:type="spellStart"/>
      <w:r>
        <w:rPr>
          <w:rFonts w:ascii="Courier" w:hAnsi="Courier" w:cs="Lucida Sans Typewriter"/>
          <w:sz w:val="18"/>
          <w:szCs w:val="18"/>
        </w:rPr>
        <w:t>AdaptationSet</w:t>
      </w:r>
      <w:proofErr w:type="spellEnd"/>
      <w:r>
        <w:rPr>
          <w:rFonts w:ascii="Courier" w:hAnsi="Courier" w:cs="Lucida Sans Typewriter"/>
          <w:sz w:val="18"/>
          <w:szCs w:val="18"/>
        </w:rPr>
        <w:t>&gt;</w:t>
      </w:r>
    </w:p>
    <w:p w14:paraId="72D2E350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1F6757CB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5A9FD798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</w:t>
      </w:r>
      <w:proofErr w:type="gramStart"/>
      <w:r>
        <w:rPr>
          <w:rFonts w:ascii="Courier" w:hAnsi="Courier" w:cs="Lucida Sans Typewriter"/>
          <w:sz w:val="18"/>
          <w:szCs w:val="18"/>
        </w:rPr>
        <w:t>&lt;!--</w:t>
      </w:r>
      <w:proofErr w:type="gram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Preselections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--&gt;</w:t>
      </w:r>
    </w:p>
    <w:p w14:paraId="411EBBAF" w14:textId="511E90B8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&lt;Preselection id=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tag=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preselectionComponents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1 2 4 6</w:t>
      </w:r>
      <w:r w:rsidRPr="003F7731">
        <w:rPr>
          <w:rFonts w:ascii="Courier" w:hAnsi="Courier" w:cs="Lucida Sans Typewriter"/>
          <w:sz w:val="18"/>
          <w:szCs w:val="18"/>
        </w:rPr>
        <w:t>"</w:t>
      </w:r>
      <w:r w:rsidR="00214860">
        <w:rPr>
          <w:rFonts w:ascii="Courier" w:hAnsi="Courier" w:cs="Lucida Sans Typewriter"/>
          <w:sz w:val="18"/>
          <w:szCs w:val="18"/>
        </w:rPr>
        <w:t xml:space="preserve"> codecs=</w:t>
      </w:r>
      <w:r w:rsidR="00214860" w:rsidRPr="003F7731">
        <w:rPr>
          <w:rFonts w:ascii="Courier" w:hAnsi="Courier" w:cs="Lucida Sans Typewriter"/>
          <w:sz w:val="18"/>
          <w:szCs w:val="18"/>
        </w:rPr>
        <w:t>"</w:t>
      </w:r>
      <w:r w:rsidR="00214860">
        <w:rPr>
          <w:rFonts w:ascii="Courier" w:hAnsi="Courier" w:cs="Lucida Sans Typewriter"/>
          <w:sz w:val="18"/>
          <w:szCs w:val="18"/>
        </w:rPr>
        <w:t>vpc1</w:t>
      </w:r>
      <w:r w:rsidR="00214860"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5312FDC4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</w:t>
      </w:r>
      <w:proofErr w:type="gramStart"/>
      <w:r>
        <w:rPr>
          <w:rFonts w:ascii="Courier" w:hAnsi="Courier" w:cs="Lucida Sans Typewriter"/>
          <w:sz w:val="18"/>
          <w:szCs w:val="18"/>
        </w:rPr>
        <w:t>&lt;!--</w:t>
      </w:r>
      <w:proofErr w:type="gramEnd"/>
      <w:r>
        <w:rPr>
          <w:rFonts w:ascii="Courier" w:hAnsi="Courier" w:cs="Lucida Sans Typewriter"/>
          <w:sz w:val="18"/>
          <w:szCs w:val="18"/>
        </w:rPr>
        <w:t xml:space="preserve"> VPCC Descriptor --&gt;</w:t>
      </w:r>
    </w:p>
    <w:p w14:paraId="1A9E3633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urn:</w:t>
      </w:r>
      <w:proofErr w:type="gramStart"/>
      <w:r>
        <w:rPr>
          <w:rFonts w:ascii="Courier" w:hAnsi="Courier" w:cs="Lucida Sans Typewriter"/>
          <w:sz w:val="18"/>
          <w:szCs w:val="18"/>
        </w:rPr>
        <w:t>mpeg:mpegI</w:t>
      </w:r>
      <w:proofErr w:type="gramEnd"/>
      <w:r>
        <w:rPr>
          <w:rFonts w:ascii="Courier" w:hAnsi="Courier" w:cs="Lucida Sans Typewriter"/>
          <w:sz w:val="18"/>
          <w:szCs w:val="18"/>
        </w:rPr>
        <w:t>:vpcc:2019:vpc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pcId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numLayers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2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numTileGroups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42920EE1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&lt;/Preselection&gt;</w:t>
      </w:r>
    </w:p>
    <w:p w14:paraId="7851AB19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701DC45B" w14:textId="687D50A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&lt;Preselection id=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2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tag=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2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preselectionComponents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1 3 5 7</w:t>
      </w:r>
      <w:r w:rsidRPr="003F7731">
        <w:rPr>
          <w:rFonts w:ascii="Courier" w:hAnsi="Courier" w:cs="Lucida Sans Typewriter"/>
          <w:sz w:val="18"/>
          <w:szCs w:val="18"/>
        </w:rPr>
        <w:t>"</w:t>
      </w:r>
      <w:r w:rsidR="00214860">
        <w:rPr>
          <w:rFonts w:ascii="Courier" w:hAnsi="Courier" w:cs="Lucida Sans Typewriter"/>
          <w:sz w:val="18"/>
          <w:szCs w:val="18"/>
        </w:rPr>
        <w:t xml:space="preserve"> codecs=</w:t>
      </w:r>
      <w:r w:rsidR="00214860" w:rsidRPr="003F7731">
        <w:rPr>
          <w:rFonts w:ascii="Courier" w:hAnsi="Courier" w:cs="Lucida Sans Typewriter"/>
          <w:sz w:val="18"/>
          <w:szCs w:val="18"/>
        </w:rPr>
        <w:t>"</w:t>
      </w:r>
      <w:r w:rsidR="00214860">
        <w:rPr>
          <w:rFonts w:ascii="Courier" w:hAnsi="Courier" w:cs="Lucida Sans Typewriter"/>
          <w:sz w:val="18"/>
          <w:szCs w:val="18"/>
        </w:rPr>
        <w:t>vpc1</w:t>
      </w:r>
      <w:r w:rsidR="00214860"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&gt;</w:t>
      </w:r>
    </w:p>
    <w:p w14:paraId="4102D503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</w:t>
      </w:r>
      <w:proofErr w:type="gramStart"/>
      <w:r>
        <w:rPr>
          <w:rFonts w:ascii="Courier" w:hAnsi="Courier" w:cs="Lucida Sans Typewriter"/>
          <w:sz w:val="18"/>
          <w:szCs w:val="18"/>
        </w:rPr>
        <w:t>&lt;!--</w:t>
      </w:r>
      <w:proofErr w:type="gramEnd"/>
      <w:r>
        <w:rPr>
          <w:rFonts w:ascii="Courier" w:hAnsi="Courier" w:cs="Lucida Sans Typewriter"/>
          <w:sz w:val="18"/>
          <w:szCs w:val="18"/>
        </w:rPr>
        <w:t xml:space="preserve"> VPCC Descriptor --&gt;</w:t>
      </w:r>
    </w:p>
    <w:p w14:paraId="24B2BAF8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    &lt;</w:t>
      </w:r>
      <w:proofErr w:type="spellStart"/>
      <w:r>
        <w:rPr>
          <w:rFonts w:ascii="Courier" w:hAnsi="Courier" w:cs="Lucida Sans Typewriter"/>
          <w:sz w:val="18"/>
          <w:szCs w:val="18"/>
        </w:rPr>
        <w:t>EssentialProperty</w:t>
      </w:r>
      <w:proofErr w:type="spellEnd"/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schemeIdUri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urn:</w:t>
      </w:r>
      <w:proofErr w:type="gramStart"/>
      <w:r>
        <w:rPr>
          <w:rFonts w:ascii="Courier" w:hAnsi="Courier" w:cs="Lucida Sans Typewriter"/>
          <w:sz w:val="18"/>
          <w:szCs w:val="18"/>
        </w:rPr>
        <w:t>mpeg:mpegI</w:t>
      </w:r>
      <w:proofErr w:type="gramEnd"/>
      <w:r>
        <w:rPr>
          <w:rFonts w:ascii="Courier" w:hAnsi="Courier" w:cs="Lucida Sans Typewriter"/>
          <w:sz w:val="18"/>
          <w:szCs w:val="18"/>
        </w:rPr>
        <w:t>:vpcc:2019:vpc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pcId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numLayers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2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</w:t>
      </w:r>
      <w:proofErr w:type="spellStart"/>
      <w:r>
        <w:rPr>
          <w:rFonts w:ascii="Courier" w:hAnsi="Courier" w:cs="Lucida Sans Typewriter"/>
          <w:sz w:val="18"/>
          <w:szCs w:val="18"/>
        </w:rPr>
        <w:t>numTileGroups</w:t>
      </w:r>
      <w:proofErr w:type="spellEnd"/>
      <w:r>
        <w:rPr>
          <w:rFonts w:ascii="Courier" w:hAnsi="Courier" w:cs="Lucida Sans Typewriter"/>
          <w:sz w:val="18"/>
          <w:szCs w:val="18"/>
        </w:rPr>
        <w:t>=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>1</w:t>
      </w:r>
      <w:r w:rsidRPr="003F7731">
        <w:rPr>
          <w:rFonts w:ascii="Courier" w:hAnsi="Courier" w:cs="Lucida Sans Typewriter"/>
          <w:sz w:val="18"/>
          <w:szCs w:val="18"/>
        </w:rPr>
        <w:t>"</w:t>
      </w:r>
      <w:r>
        <w:rPr>
          <w:rFonts w:ascii="Courier" w:hAnsi="Courier" w:cs="Lucida Sans Typewriter"/>
          <w:sz w:val="18"/>
          <w:szCs w:val="18"/>
        </w:rPr>
        <w:t xml:space="preserve"> /&gt;</w:t>
      </w:r>
    </w:p>
    <w:p w14:paraId="77BB7EA1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 xml:space="preserve">    &lt;/Preselection&gt;</w:t>
      </w:r>
    </w:p>
    <w:p w14:paraId="6EF5CBB7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</w:p>
    <w:p w14:paraId="6695149A" w14:textId="77777777" w:rsidR="00567489" w:rsidRDefault="00567489" w:rsidP="00567489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left"/>
        <w:rPr>
          <w:rFonts w:ascii="Courier" w:hAnsi="Courier" w:cs="Lucida Sans Typewriter"/>
          <w:sz w:val="18"/>
          <w:szCs w:val="18"/>
        </w:rPr>
      </w:pPr>
      <w:r>
        <w:rPr>
          <w:rFonts w:ascii="Courier" w:hAnsi="Courier" w:cs="Lucida Sans Typewriter"/>
          <w:sz w:val="18"/>
          <w:szCs w:val="18"/>
        </w:rPr>
        <w:t>&lt;/Period&gt;</w:t>
      </w:r>
    </w:p>
    <w:p w14:paraId="7C55CB0E" w14:textId="5F9225A4" w:rsidR="00567489" w:rsidRDefault="00567489" w:rsidP="00AB7A03"/>
    <w:p w14:paraId="04BAF7D2" w14:textId="13C1F4B4" w:rsidR="004857A7" w:rsidRDefault="004857A7" w:rsidP="00AB7A03"/>
    <w:p w14:paraId="12D566D3" w14:textId="1FD6606E" w:rsidR="004857A7" w:rsidRDefault="004857A7" w:rsidP="00AB7A03"/>
    <w:p w14:paraId="0AD148C2" w14:textId="77777777" w:rsidR="00126AD0" w:rsidRDefault="00126AD0" w:rsidP="00BB699F"/>
    <w:p w14:paraId="7263BFF2" w14:textId="49A82B62" w:rsidR="00FA2589" w:rsidRDefault="00FA2589" w:rsidP="00BB699F"/>
    <w:p w14:paraId="3E1E78C8" w14:textId="12D54765" w:rsidR="00BB699F" w:rsidRDefault="00BB699F" w:rsidP="00BB699F"/>
    <w:p w14:paraId="1B20B853" w14:textId="58D32EBC" w:rsidR="004857A7" w:rsidRDefault="004857A7" w:rsidP="004857A7">
      <w:pPr>
        <w:pStyle w:val="Heading1"/>
      </w:pPr>
      <w:r>
        <w:t>Recommendation</w:t>
      </w:r>
    </w:p>
    <w:p w14:paraId="6A8F3D37" w14:textId="47F3B833" w:rsidR="008B2DC8" w:rsidRDefault="00277570" w:rsidP="00C11B74">
      <w:pPr>
        <w:rPr>
          <w:rFonts w:ascii="Courier New" w:hAnsi="Courier New" w:cs="Courier New"/>
          <w:sz w:val="20"/>
          <w:szCs w:val="20"/>
        </w:rPr>
      </w:pPr>
      <w:r>
        <w:t xml:space="preserve">It is recommended to adopt Sections </w:t>
      </w:r>
      <w:r w:rsidR="002220CF">
        <w:t>10.1 to 10.5</w:t>
      </w:r>
      <w:r>
        <w:t xml:space="preserve"> from the </w:t>
      </w:r>
      <w:proofErr w:type="spellStart"/>
      <w:r>
        <w:t>TuC</w:t>
      </w:r>
      <w:proofErr w:type="spellEnd"/>
      <w:r>
        <w:t xml:space="preserve"> and the MPD example given in this contribution for inclusion in ISO/IEC 23090-10 </w:t>
      </w:r>
      <w:r w:rsidR="002220CF">
        <w:t>DIS</w:t>
      </w:r>
      <w:r>
        <w:t>.</w:t>
      </w:r>
    </w:p>
    <w:p w14:paraId="7C01E780" w14:textId="77777777" w:rsidR="00BB69A3" w:rsidRPr="00C11B74" w:rsidRDefault="00BB69A3" w:rsidP="00C11B74">
      <w:pPr>
        <w:rPr>
          <w:rFonts w:ascii="Courier New" w:hAnsi="Courier New" w:cs="Courier New"/>
          <w:sz w:val="20"/>
          <w:szCs w:val="20"/>
        </w:rPr>
      </w:pPr>
    </w:p>
    <w:p w14:paraId="042F2264" w14:textId="52F621FB" w:rsidR="0083371D" w:rsidRDefault="0083371D" w:rsidP="00020FD3">
      <w:pPr>
        <w:pStyle w:val="Heading1"/>
      </w:pPr>
      <w:r>
        <w:t>References</w:t>
      </w:r>
    </w:p>
    <w:p w14:paraId="1CAD0EAA" w14:textId="551B6739" w:rsidR="003B6CB8" w:rsidRDefault="003B6CB8" w:rsidP="00337BD6">
      <w:pPr>
        <w:numPr>
          <w:ilvl w:val="0"/>
          <w:numId w:val="3"/>
        </w:numPr>
        <w:spacing w:before="120" w:after="120"/>
      </w:pPr>
      <w:bookmarkStart w:id="2" w:name="_Ref20388486"/>
      <w:bookmarkStart w:id="3" w:name="_Ref3204954"/>
      <w:r>
        <w:t>N18606, “Text of ISO/IEC CD 23090-10 Carriage of PC Data”, MPEG 127, July 2019</w:t>
      </w:r>
      <w:bookmarkEnd w:id="2"/>
    </w:p>
    <w:p w14:paraId="10551B93" w14:textId="01BFF74A" w:rsidR="003B6CB8" w:rsidRDefault="003B6CB8" w:rsidP="00337BD6">
      <w:pPr>
        <w:numPr>
          <w:ilvl w:val="0"/>
          <w:numId w:val="3"/>
        </w:numPr>
        <w:spacing w:before="120" w:after="120"/>
      </w:pPr>
      <w:bookmarkStart w:id="4" w:name="_Ref20388501"/>
      <w:r>
        <w:t>m47436, “[VPCC] DASH Signaling for V-PCC”, MPEG 126, March 2019</w:t>
      </w:r>
      <w:bookmarkEnd w:id="4"/>
    </w:p>
    <w:p w14:paraId="3C7E8476" w14:textId="21AA2B2C" w:rsidR="003B6CB8" w:rsidRDefault="003B6CB8" w:rsidP="00337BD6">
      <w:pPr>
        <w:numPr>
          <w:ilvl w:val="0"/>
          <w:numId w:val="3"/>
        </w:numPr>
        <w:spacing w:before="120" w:after="120"/>
      </w:pPr>
      <w:bookmarkStart w:id="5" w:name="_Ref20388511"/>
      <w:r>
        <w:t>m49109, “DASH Signaling for V-PCC Tile Groups”, MPEG 127, July 2019</w:t>
      </w:r>
      <w:bookmarkEnd w:id="5"/>
    </w:p>
    <w:p w14:paraId="1846E97D" w14:textId="380989CF" w:rsidR="003B6CB8" w:rsidRDefault="003B6CB8" w:rsidP="00337BD6">
      <w:pPr>
        <w:numPr>
          <w:ilvl w:val="0"/>
          <w:numId w:val="3"/>
        </w:numPr>
        <w:spacing w:before="120" w:after="120"/>
      </w:pPr>
      <w:bookmarkStart w:id="6" w:name="_Ref20388524"/>
      <w:r>
        <w:t>m49110, “On DASH Signaling for V-PCC”, MPEG 127, July 2019</w:t>
      </w:r>
      <w:bookmarkEnd w:id="6"/>
    </w:p>
    <w:p w14:paraId="60F8A9E2" w14:textId="30A41AA3" w:rsidR="003B6CB8" w:rsidRDefault="003B6CB8" w:rsidP="00337BD6">
      <w:pPr>
        <w:numPr>
          <w:ilvl w:val="0"/>
          <w:numId w:val="3"/>
        </w:numPr>
        <w:spacing w:before="120" w:after="120"/>
      </w:pPr>
      <w:bookmarkStart w:id="7" w:name="_Ref20388533"/>
      <w:r>
        <w:t>N18</w:t>
      </w:r>
      <w:r w:rsidR="009221E9">
        <w:t>607</w:t>
      </w:r>
      <w:r>
        <w:t xml:space="preserve">, “Technologies under Consideration </w:t>
      </w:r>
      <w:r w:rsidR="009221E9">
        <w:t>on</w:t>
      </w:r>
      <w:r>
        <w:t xml:space="preserve"> Carriage of PC Data”, MPEG 1</w:t>
      </w:r>
      <w:r w:rsidR="009221E9">
        <w:t>27</w:t>
      </w:r>
      <w:r>
        <w:t xml:space="preserve">, </w:t>
      </w:r>
      <w:r w:rsidR="009221E9">
        <w:t>July</w:t>
      </w:r>
      <w:r>
        <w:t xml:space="preserve"> 2019</w:t>
      </w:r>
      <w:bookmarkEnd w:id="7"/>
    </w:p>
    <w:p w14:paraId="40379C8D" w14:textId="42025B60" w:rsidR="005E4EC1" w:rsidRDefault="00F36066" w:rsidP="00020FD3">
      <w:pPr>
        <w:numPr>
          <w:ilvl w:val="0"/>
          <w:numId w:val="3"/>
        </w:numPr>
        <w:spacing w:before="120" w:after="120"/>
      </w:pPr>
      <w:bookmarkStart w:id="8" w:name="_Ref3817565"/>
      <w:bookmarkEnd w:id="3"/>
      <w:r w:rsidRPr="00F36066">
        <w:t>N18312, “Revised text of ISO/IEC FDIS 23009-1 3rd edition”, MPEG 125, January 2019</w:t>
      </w:r>
      <w:bookmarkEnd w:id="8"/>
    </w:p>
    <w:p w14:paraId="74E628C9" w14:textId="77777777" w:rsidR="0083371D" w:rsidRPr="00006303" w:rsidRDefault="0083371D" w:rsidP="00006303"/>
    <w:sectPr w:rsidR="0083371D" w:rsidRPr="00006303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hmed Hamza" w:date="2019-10-02T16:06:00Z" w:initials="AH">
    <w:p w14:paraId="7459E734" w14:textId="10DB9FFF" w:rsidR="002220CF" w:rsidRDefault="002220CF">
      <w:pPr>
        <w:pStyle w:val="CommentText"/>
      </w:pPr>
      <w:r>
        <w:rPr>
          <w:rStyle w:val="CommentReference"/>
        </w:rPr>
        <w:annotationRef/>
      </w:r>
      <w:r>
        <w:t>Figure.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459E73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59E734" w16cid:durableId="213F49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F637B" w14:textId="77777777" w:rsidR="0007579E" w:rsidRDefault="0007579E">
      <w:r>
        <w:separator/>
      </w:r>
    </w:p>
  </w:endnote>
  <w:endnote w:type="continuationSeparator" w:id="0">
    <w:p w14:paraId="0C84DD03" w14:textId="77777777" w:rsidR="0007579E" w:rsidRDefault="00075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Sans Typewriter">
    <w:panose1 w:val="020B0509030504030204"/>
    <w:charset w:val="4D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AF904" w14:textId="77777777" w:rsidR="0007579E" w:rsidRDefault="0007579E">
      <w:r>
        <w:separator/>
      </w:r>
    </w:p>
  </w:footnote>
  <w:footnote w:type="continuationSeparator" w:id="0">
    <w:p w14:paraId="1E6EFBA6" w14:textId="77777777" w:rsidR="0007579E" w:rsidRDefault="00075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732C6"/>
    <w:multiLevelType w:val="hybridMultilevel"/>
    <w:tmpl w:val="4306A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25B9B"/>
    <w:multiLevelType w:val="hybridMultilevel"/>
    <w:tmpl w:val="DFE26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95B2F"/>
    <w:multiLevelType w:val="hybridMultilevel"/>
    <w:tmpl w:val="E57C7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330B7"/>
    <w:multiLevelType w:val="hybridMultilevel"/>
    <w:tmpl w:val="3530C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9128F"/>
    <w:multiLevelType w:val="multilevel"/>
    <w:tmpl w:val="D8C6C134"/>
    <w:lvl w:ilvl="0">
      <w:start w:val="1"/>
      <w:numFmt w:val="bullet"/>
      <w:pStyle w:val="i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797BAD"/>
    <w:multiLevelType w:val="multilevel"/>
    <w:tmpl w:val="1D88461A"/>
    <w:lvl w:ilvl="0">
      <w:start w:val="1"/>
      <w:numFmt w:val="decimal"/>
      <w:suff w:val="space"/>
      <w:lvlText w:val="%1"/>
      <w:lvlJc w:val="left"/>
      <w:pPr>
        <w:ind w:left="216" w:hanging="216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333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8664D47"/>
    <w:multiLevelType w:val="hybridMultilevel"/>
    <w:tmpl w:val="B26ECF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E64415"/>
    <w:multiLevelType w:val="hybridMultilevel"/>
    <w:tmpl w:val="D85A8C84"/>
    <w:lvl w:ilvl="0" w:tplc="1E6C9DB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2B4CEE"/>
    <w:multiLevelType w:val="hybridMultilevel"/>
    <w:tmpl w:val="09C89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6535A"/>
    <w:multiLevelType w:val="hybridMultilevel"/>
    <w:tmpl w:val="6F885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7250D68"/>
    <w:multiLevelType w:val="hybridMultilevel"/>
    <w:tmpl w:val="CE4CC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F534A"/>
    <w:multiLevelType w:val="hybridMultilevel"/>
    <w:tmpl w:val="F91E939E"/>
    <w:lvl w:ilvl="0" w:tplc="62C8EFF4">
      <w:start w:val="1"/>
      <w:numFmt w:val="decimal"/>
      <w:lvlText w:val="[%1]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936" w:hanging="360"/>
      </w:pPr>
    </w:lvl>
    <w:lvl w:ilvl="2" w:tplc="0409001B" w:tentative="1">
      <w:start w:val="1"/>
      <w:numFmt w:val="lowerRoman"/>
      <w:lvlText w:val="%3."/>
      <w:lvlJc w:val="right"/>
      <w:pPr>
        <w:ind w:left="-216" w:hanging="180"/>
      </w:pPr>
    </w:lvl>
    <w:lvl w:ilvl="3" w:tplc="0409000F" w:tentative="1">
      <w:start w:val="1"/>
      <w:numFmt w:val="decimal"/>
      <w:lvlText w:val="%4."/>
      <w:lvlJc w:val="left"/>
      <w:pPr>
        <w:ind w:left="504" w:hanging="360"/>
      </w:pPr>
    </w:lvl>
    <w:lvl w:ilvl="4" w:tplc="04090019" w:tentative="1">
      <w:start w:val="1"/>
      <w:numFmt w:val="lowerLetter"/>
      <w:lvlText w:val="%5."/>
      <w:lvlJc w:val="left"/>
      <w:pPr>
        <w:ind w:left="1224" w:hanging="360"/>
      </w:pPr>
    </w:lvl>
    <w:lvl w:ilvl="5" w:tplc="0409001B" w:tentative="1">
      <w:start w:val="1"/>
      <w:numFmt w:val="lowerRoman"/>
      <w:lvlText w:val="%6."/>
      <w:lvlJc w:val="right"/>
      <w:pPr>
        <w:ind w:left="1944" w:hanging="180"/>
      </w:pPr>
    </w:lvl>
    <w:lvl w:ilvl="6" w:tplc="0409000F" w:tentative="1">
      <w:start w:val="1"/>
      <w:numFmt w:val="decimal"/>
      <w:lvlText w:val="%7."/>
      <w:lvlJc w:val="left"/>
      <w:pPr>
        <w:ind w:left="2664" w:hanging="360"/>
      </w:pPr>
    </w:lvl>
    <w:lvl w:ilvl="7" w:tplc="04090019" w:tentative="1">
      <w:start w:val="1"/>
      <w:numFmt w:val="lowerLetter"/>
      <w:lvlText w:val="%8."/>
      <w:lvlJc w:val="left"/>
      <w:pPr>
        <w:ind w:left="3384" w:hanging="360"/>
      </w:pPr>
    </w:lvl>
    <w:lvl w:ilvl="8" w:tplc="0409001B" w:tentative="1">
      <w:start w:val="1"/>
      <w:numFmt w:val="lowerRoman"/>
      <w:lvlText w:val="%9."/>
      <w:lvlJc w:val="right"/>
      <w:pPr>
        <w:ind w:left="4104" w:hanging="180"/>
      </w:pPr>
    </w:lvl>
  </w:abstractNum>
  <w:num w:numId="1">
    <w:abstractNumId w:val="10"/>
  </w:num>
  <w:num w:numId="2">
    <w:abstractNumId w:val="10"/>
  </w:num>
  <w:num w:numId="3">
    <w:abstractNumId w:val="7"/>
  </w:num>
  <w:num w:numId="4">
    <w:abstractNumId w:val="10"/>
  </w:num>
  <w:num w:numId="5">
    <w:abstractNumId w:val="10"/>
  </w:num>
  <w:num w:numId="6">
    <w:abstractNumId w:val="10"/>
  </w:num>
  <w:num w:numId="7">
    <w:abstractNumId w:val="8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10"/>
  </w:num>
  <w:num w:numId="13">
    <w:abstractNumId w:val="10"/>
  </w:num>
  <w:num w:numId="14">
    <w:abstractNumId w:val="6"/>
  </w:num>
  <w:num w:numId="15">
    <w:abstractNumId w:val="1"/>
  </w:num>
  <w:num w:numId="16">
    <w:abstractNumId w:val="2"/>
  </w:num>
  <w:num w:numId="17">
    <w:abstractNumId w:val="5"/>
  </w:num>
  <w:num w:numId="18">
    <w:abstractNumId w:val="4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1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hmed Hamza">
    <w15:presenceInfo w15:providerId="AD" w15:userId="S::hamzaax@interdigital.com::33048365-ed7c-4902-b993-9b9b642361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17"/>
    <w:rsid w:val="00000B5E"/>
    <w:rsid w:val="00006303"/>
    <w:rsid w:val="000106DF"/>
    <w:rsid w:val="00010A4E"/>
    <w:rsid w:val="00011483"/>
    <w:rsid w:val="00015AE0"/>
    <w:rsid w:val="00020FD3"/>
    <w:rsid w:val="00024081"/>
    <w:rsid w:val="00035E37"/>
    <w:rsid w:val="00054A11"/>
    <w:rsid w:val="00071282"/>
    <w:rsid w:val="0007579E"/>
    <w:rsid w:val="000835EA"/>
    <w:rsid w:val="00096D25"/>
    <w:rsid w:val="000D73F2"/>
    <w:rsid w:val="000D76F8"/>
    <w:rsid w:val="000E15B4"/>
    <w:rsid w:val="001065D1"/>
    <w:rsid w:val="00126AD0"/>
    <w:rsid w:val="00130AE2"/>
    <w:rsid w:val="001342EC"/>
    <w:rsid w:val="00147EF8"/>
    <w:rsid w:val="00151BE6"/>
    <w:rsid w:val="00161941"/>
    <w:rsid w:val="00170531"/>
    <w:rsid w:val="001B1802"/>
    <w:rsid w:val="001C76FA"/>
    <w:rsid w:val="001F5F51"/>
    <w:rsid w:val="00214860"/>
    <w:rsid w:val="002220CF"/>
    <w:rsid w:val="00232617"/>
    <w:rsid w:val="00233F19"/>
    <w:rsid w:val="002374D9"/>
    <w:rsid w:val="00253AE8"/>
    <w:rsid w:val="0026576A"/>
    <w:rsid w:val="002677C6"/>
    <w:rsid w:val="00275EF5"/>
    <w:rsid w:val="00277570"/>
    <w:rsid w:val="002830C0"/>
    <w:rsid w:val="00286E2D"/>
    <w:rsid w:val="002C72E2"/>
    <w:rsid w:val="002D2DB0"/>
    <w:rsid w:val="003027A3"/>
    <w:rsid w:val="003115D7"/>
    <w:rsid w:val="00311C17"/>
    <w:rsid w:val="00320571"/>
    <w:rsid w:val="00323CBB"/>
    <w:rsid w:val="00337BD6"/>
    <w:rsid w:val="00372B66"/>
    <w:rsid w:val="00376885"/>
    <w:rsid w:val="003B6CB8"/>
    <w:rsid w:val="003C051C"/>
    <w:rsid w:val="003C0E66"/>
    <w:rsid w:val="003C60A6"/>
    <w:rsid w:val="003D0B5B"/>
    <w:rsid w:val="003E2C55"/>
    <w:rsid w:val="003E3B59"/>
    <w:rsid w:val="003E5BE5"/>
    <w:rsid w:val="0040472A"/>
    <w:rsid w:val="004061EC"/>
    <w:rsid w:val="0042683B"/>
    <w:rsid w:val="004349A8"/>
    <w:rsid w:val="00446EEF"/>
    <w:rsid w:val="0045260A"/>
    <w:rsid w:val="00455C61"/>
    <w:rsid w:val="00464F8D"/>
    <w:rsid w:val="004709C7"/>
    <w:rsid w:val="00476762"/>
    <w:rsid w:val="004857A7"/>
    <w:rsid w:val="004A1946"/>
    <w:rsid w:val="004A7AC5"/>
    <w:rsid w:val="004C569F"/>
    <w:rsid w:val="004D2B34"/>
    <w:rsid w:val="004D64E2"/>
    <w:rsid w:val="004F5840"/>
    <w:rsid w:val="00507914"/>
    <w:rsid w:val="005365DA"/>
    <w:rsid w:val="00546331"/>
    <w:rsid w:val="00555D45"/>
    <w:rsid w:val="00567489"/>
    <w:rsid w:val="00593C84"/>
    <w:rsid w:val="005A7D17"/>
    <w:rsid w:val="005C6D50"/>
    <w:rsid w:val="005E4EC1"/>
    <w:rsid w:val="00613438"/>
    <w:rsid w:val="006228F5"/>
    <w:rsid w:val="006268EF"/>
    <w:rsid w:val="006314E9"/>
    <w:rsid w:val="00651E4F"/>
    <w:rsid w:val="00681C66"/>
    <w:rsid w:val="006907CA"/>
    <w:rsid w:val="00691CE5"/>
    <w:rsid w:val="006A6E3D"/>
    <w:rsid w:val="006B2CC4"/>
    <w:rsid w:val="006B78B0"/>
    <w:rsid w:val="006C7919"/>
    <w:rsid w:val="006D2280"/>
    <w:rsid w:val="00725080"/>
    <w:rsid w:val="00730048"/>
    <w:rsid w:val="00754260"/>
    <w:rsid w:val="00761397"/>
    <w:rsid w:val="00766E77"/>
    <w:rsid w:val="00773FCD"/>
    <w:rsid w:val="007A26A0"/>
    <w:rsid w:val="007A316D"/>
    <w:rsid w:val="007C7EE0"/>
    <w:rsid w:val="007E1E29"/>
    <w:rsid w:val="007F4365"/>
    <w:rsid w:val="007F68B6"/>
    <w:rsid w:val="00801E30"/>
    <w:rsid w:val="00807E5A"/>
    <w:rsid w:val="0083371D"/>
    <w:rsid w:val="00835ADC"/>
    <w:rsid w:val="00845617"/>
    <w:rsid w:val="0084580A"/>
    <w:rsid w:val="00846001"/>
    <w:rsid w:val="008509F5"/>
    <w:rsid w:val="00851FC7"/>
    <w:rsid w:val="00854688"/>
    <w:rsid w:val="00856B10"/>
    <w:rsid w:val="00865928"/>
    <w:rsid w:val="00874C3D"/>
    <w:rsid w:val="008877A8"/>
    <w:rsid w:val="00896581"/>
    <w:rsid w:val="008B2DC8"/>
    <w:rsid w:val="00904537"/>
    <w:rsid w:val="00910FB0"/>
    <w:rsid w:val="009118A9"/>
    <w:rsid w:val="009221E9"/>
    <w:rsid w:val="00925704"/>
    <w:rsid w:val="009304FB"/>
    <w:rsid w:val="009351D6"/>
    <w:rsid w:val="009560C7"/>
    <w:rsid w:val="009561EE"/>
    <w:rsid w:val="0095622E"/>
    <w:rsid w:val="00960A89"/>
    <w:rsid w:val="00964AF6"/>
    <w:rsid w:val="009725B6"/>
    <w:rsid w:val="009A377B"/>
    <w:rsid w:val="009A5DFF"/>
    <w:rsid w:val="009A7EC9"/>
    <w:rsid w:val="009B08CC"/>
    <w:rsid w:val="009B3976"/>
    <w:rsid w:val="009C1570"/>
    <w:rsid w:val="009E3EC8"/>
    <w:rsid w:val="009E4093"/>
    <w:rsid w:val="009F02EA"/>
    <w:rsid w:val="00A02B5E"/>
    <w:rsid w:val="00A11B64"/>
    <w:rsid w:val="00A133BF"/>
    <w:rsid w:val="00A20456"/>
    <w:rsid w:val="00A24468"/>
    <w:rsid w:val="00A255ED"/>
    <w:rsid w:val="00A341EA"/>
    <w:rsid w:val="00A42B1E"/>
    <w:rsid w:val="00A567FD"/>
    <w:rsid w:val="00A654FD"/>
    <w:rsid w:val="00A66BC5"/>
    <w:rsid w:val="00A7545D"/>
    <w:rsid w:val="00A7792B"/>
    <w:rsid w:val="00AA06DB"/>
    <w:rsid w:val="00AA5372"/>
    <w:rsid w:val="00AB7A03"/>
    <w:rsid w:val="00AC2BD9"/>
    <w:rsid w:val="00AC392C"/>
    <w:rsid w:val="00AC4537"/>
    <w:rsid w:val="00AE1075"/>
    <w:rsid w:val="00B07C06"/>
    <w:rsid w:val="00B13426"/>
    <w:rsid w:val="00B34184"/>
    <w:rsid w:val="00B5259B"/>
    <w:rsid w:val="00B56CF9"/>
    <w:rsid w:val="00B87835"/>
    <w:rsid w:val="00B93A2F"/>
    <w:rsid w:val="00BA1A0F"/>
    <w:rsid w:val="00BB589C"/>
    <w:rsid w:val="00BB699F"/>
    <w:rsid w:val="00BB69A3"/>
    <w:rsid w:val="00BC54D9"/>
    <w:rsid w:val="00BF2BD9"/>
    <w:rsid w:val="00C03B2D"/>
    <w:rsid w:val="00C11B3A"/>
    <w:rsid w:val="00C11B74"/>
    <w:rsid w:val="00C17B1C"/>
    <w:rsid w:val="00C31A02"/>
    <w:rsid w:val="00C62DD7"/>
    <w:rsid w:val="00C65422"/>
    <w:rsid w:val="00C71428"/>
    <w:rsid w:val="00C71E84"/>
    <w:rsid w:val="00C75C9A"/>
    <w:rsid w:val="00C870E0"/>
    <w:rsid w:val="00C87E78"/>
    <w:rsid w:val="00C90AFD"/>
    <w:rsid w:val="00C90CA8"/>
    <w:rsid w:val="00CB2228"/>
    <w:rsid w:val="00CB77EE"/>
    <w:rsid w:val="00CE49C7"/>
    <w:rsid w:val="00CE69A3"/>
    <w:rsid w:val="00D03DE3"/>
    <w:rsid w:val="00D11E0B"/>
    <w:rsid w:val="00D15B6E"/>
    <w:rsid w:val="00D22B67"/>
    <w:rsid w:val="00D404C4"/>
    <w:rsid w:val="00D56BCF"/>
    <w:rsid w:val="00D61B23"/>
    <w:rsid w:val="00D816F0"/>
    <w:rsid w:val="00D869FA"/>
    <w:rsid w:val="00D873FF"/>
    <w:rsid w:val="00D876D6"/>
    <w:rsid w:val="00D90FDF"/>
    <w:rsid w:val="00DA431D"/>
    <w:rsid w:val="00DB308C"/>
    <w:rsid w:val="00DC45DB"/>
    <w:rsid w:val="00DD5153"/>
    <w:rsid w:val="00DE72B9"/>
    <w:rsid w:val="00DF4F2D"/>
    <w:rsid w:val="00E051CD"/>
    <w:rsid w:val="00E06411"/>
    <w:rsid w:val="00E46D3E"/>
    <w:rsid w:val="00E756F5"/>
    <w:rsid w:val="00E75BA4"/>
    <w:rsid w:val="00E9072E"/>
    <w:rsid w:val="00EF0C5E"/>
    <w:rsid w:val="00F101EB"/>
    <w:rsid w:val="00F314E5"/>
    <w:rsid w:val="00F36066"/>
    <w:rsid w:val="00F54BE7"/>
    <w:rsid w:val="00F90A2F"/>
    <w:rsid w:val="00FA2589"/>
    <w:rsid w:val="00FA2650"/>
    <w:rsid w:val="00FB4BB9"/>
    <w:rsid w:val="00FD3E85"/>
    <w:rsid w:val="00FE317D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EE91E4"/>
  <w15:chartTrackingRefBased/>
  <w15:docId w15:val="{F327DBC6-BA86-4035-93A3-BCBBB69A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9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table" w:styleId="GridTable4-Accent2">
    <w:name w:val="Grid Table 4 Accent 2"/>
    <w:basedOn w:val="TableNormal"/>
    <w:uiPriority w:val="49"/>
    <w:rsid w:val="0083371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ListParagraph">
    <w:name w:val="List Paragraph"/>
    <w:basedOn w:val="Normal"/>
    <w:uiPriority w:val="34"/>
    <w:qFormat/>
    <w:rsid w:val="0026576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830C0"/>
    <w:rPr>
      <w:color w:val="0000FF"/>
      <w:u w:val="single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,Figure-caption,CAPTION"/>
    <w:basedOn w:val="Normal"/>
    <w:next w:val="Normal"/>
    <w:link w:val="CaptionChar"/>
    <w:qFormat/>
    <w:rsid w:val="007F4365"/>
    <w:pPr>
      <w:spacing w:before="120" w:after="240"/>
      <w:jc w:val="center"/>
    </w:pPr>
    <w:rPr>
      <w:rFonts w:ascii="Arial" w:eastAsia="Times New Roman" w:hAnsi="Arial" w:cs="Arial"/>
      <w:b/>
      <w:sz w:val="19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7F43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4365"/>
    <w:pPr>
      <w:spacing w:before="120" w:after="120"/>
    </w:pPr>
    <w:rPr>
      <w:rFonts w:ascii="Calibri" w:eastAsia="Calibri" w:hAnsi="Calibr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4365"/>
    <w:rPr>
      <w:rFonts w:ascii="Calibri" w:eastAsia="Calibri" w:hAnsi="Calibri"/>
      <w:sz w:val="22"/>
    </w:rPr>
  </w:style>
  <w:style w:type="paragraph" w:customStyle="1" w:styleId="code">
    <w:name w:val="code"/>
    <w:basedOn w:val="Normal"/>
    <w:next w:val="Normal"/>
    <w:link w:val="codeZchn"/>
    <w:rsid w:val="007F4365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</w:pPr>
    <w:rPr>
      <w:rFonts w:ascii="Courier" w:eastAsia="Times New Roman" w:hAnsi="Courier"/>
      <w:noProof/>
      <w:sz w:val="20"/>
      <w:szCs w:val="20"/>
      <w:lang w:eastAsia="ja-JP"/>
    </w:rPr>
  </w:style>
  <w:style w:type="character" w:customStyle="1" w:styleId="codeZchn">
    <w:name w:val="code Zchn"/>
    <w:link w:val="code"/>
    <w:rsid w:val="007F4365"/>
    <w:rPr>
      <w:rFonts w:ascii="Courier" w:eastAsia="Times New Roman" w:hAnsi="Courier"/>
      <w:noProof/>
      <w:lang w:eastAsia="ja-JP"/>
    </w:rPr>
  </w:style>
  <w:style w:type="paragraph" w:customStyle="1" w:styleId="BoxHeading4">
    <w:name w:val="BoxHeading 4"/>
    <w:basedOn w:val="Heading4"/>
    <w:rsid w:val="007F4365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ind w:left="864" w:hanging="864"/>
      <w:jc w:val="left"/>
    </w:pPr>
    <w:rPr>
      <w:rFonts w:eastAsia="MS Mincho"/>
      <w:bCs w:val="0"/>
      <w:sz w:val="20"/>
      <w:szCs w:val="20"/>
      <w:lang w:val="en-GB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,CAPTION Char"/>
    <w:link w:val="Caption"/>
    <w:locked/>
    <w:rsid w:val="007F4365"/>
    <w:rPr>
      <w:rFonts w:ascii="Arial" w:eastAsia="Times New Roman" w:hAnsi="Arial" w:cs="Arial"/>
      <w:b/>
      <w:sz w:val="19"/>
    </w:rPr>
  </w:style>
  <w:style w:type="paragraph" w:customStyle="1" w:styleId="Atom">
    <w:name w:val="Atom"/>
    <w:basedOn w:val="Normal"/>
    <w:rsid w:val="007F4365"/>
    <w:pPr>
      <w:keepNext/>
      <w:keepLines/>
      <w:spacing w:after="220"/>
      <w:jc w:val="left"/>
    </w:pPr>
    <w:rPr>
      <w:rFonts w:ascii="Cambria" w:eastAsia="Times New Roman" w:hAnsi="Cambria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3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365"/>
    <w:rPr>
      <w:rFonts w:ascii="Segoe UI" w:hAnsi="Segoe UI" w:cs="Segoe UI"/>
      <w:sz w:val="18"/>
      <w:szCs w:val="18"/>
    </w:rPr>
  </w:style>
  <w:style w:type="paragraph" w:customStyle="1" w:styleId="iBulletlist">
    <w:name w:val="iBullet list"/>
    <w:basedOn w:val="Normal"/>
    <w:rsid w:val="00020FD3"/>
    <w:pPr>
      <w:keepLines/>
      <w:numPr>
        <w:numId w:val="18"/>
      </w:numPr>
      <w:tabs>
        <w:tab w:val="left" w:pos="720"/>
      </w:tabs>
      <w:spacing w:before="24" w:after="24"/>
      <w:jc w:val="left"/>
    </w:pPr>
    <w:rPr>
      <w:rFonts w:ascii="Arial" w:eastAsia="Times New Roman" w:hAnsi="Arial" w:cs="Arial"/>
      <w:sz w:val="19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570"/>
    <w:pPr>
      <w:spacing w:before="0" w:after="0"/>
    </w:pPr>
    <w:rPr>
      <w:rFonts w:ascii="Times New Roman" w:eastAsia="MS Mincho" w:hAnsi="Times New Roma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570"/>
    <w:rPr>
      <w:rFonts w:ascii="Calibri" w:eastAsia="Calibri" w:hAnsi="Calibri"/>
      <w:b/>
      <w:bCs/>
      <w:sz w:val="22"/>
    </w:rPr>
  </w:style>
  <w:style w:type="paragraph" w:customStyle="1" w:styleId="TH">
    <w:name w:val="TH"/>
    <w:basedOn w:val="Normal"/>
    <w:rsid w:val="00BB699F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Arial" w:hAnsi="Arial"/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0A422-7642-384B-960C-C8A0383D4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1695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Hamza, Ahmed</dc:creator>
  <cp:keywords/>
  <cp:lastModifiedBy>Ahmed Hamza</cp:lastModifiedBy>
  <cp:revision>157</cp:revision>
  <cp:lastPrinted>1900-01-01T05:00:00Z</cp:lastPrinted>
  <dcterms:created xsi:type="dcterms:W3CDTF">2018-04-06T19:37:00Z</dcterms:created>
  <dcterms:modified xsi:type="dcterms:W3CDTF">2019-10-02T20:07:00Z</dcterms:modified>
</cp:coreProperties>
</file>