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23E12" w14:textId="77777777" w:rsidR="00C067B2" w:rsidRPr="001443DD" w:rsidRDefault="00B7445F" w:rsidP="005B78DA">
      <w:pPr>
        <w:jc w:val="center"/>
        <w:rPr>
          <w:b/>
          <w:sz w:val="28"/>
          <w:szCs w:val="28"/>
          <w:lang w:val="fr-FR"/>
        </w:rPr>
      </w:pPr>
      <w:r w:rsidRPr="001443DD">
        <w:rPr>
          <w:b/>
          <w:sz w:val="28"/>
          <w:szCs w:val="28"/>
          <w:lang w:val="fr-FR"/>
        </w:rPr>
        <w:t>INTERNATIONAL ORGANISATION FOR STANDARDISATION</w:t>
      </w:r>
    </w:p>
    <w:p w14:paraId="1393DFF4" w14:textId="77777777" w:rsidR="00C067B2" w:rsidRPr="001443DD" w:rsidRDefault="00B7445F" w:rsidP="005B78DA">
      <w:pPr>
        <w:jc w:val="center"/>
        <w:rPr>
          <w:b/>
          <w:sz w:val="28"/>
          <w:lang w:val="fr-FR"/>
        </w:rPr>
      </w:pPr>
      <w:r w:rsidRPr="001443DD">
        <w:rPr>
          <w:b/>
          <w:sz w:val="28"/>
          <w:lang w:val="fr-FR"/>
        </w:rPr>
        <w:t>ORGANISATION INTERNATIONALE DE NORMALISATION</w:t>
      </w:r>
    </w:p>
    <w:p w14:paraId="2B035BF3" w14:textId="77777777" w:rsidR="00C067B2" w:rsidRPr="007B4CC8" w:rsidRDefault="00B7445F" w:rsidP="005B78DA">
      <w:pPr>
        <w:jc w:val="center"/>
        <w:rPr>
          <w:b/>
          <w:sz w:val="28"/>
          <w:lang w:val="en-GB"/>
        </w:rPr>
      </w:pPr>
      <w:r w:rsidRPr="007B4CC8">
        <w:rPr>
          <w:b/>
          <w:sz w:val="28"/>
          <w:lang w:val="en-GB"/>
        </w:rPr>
        <w:t>ISO/IEC JTC1/SC29/WG11</w:t>
      </w:r>
    </w:p>
    <w:p w14:paraId="3AEB379E" w14:textId="77777777" w:rsidR="00C067B2" w:rsidRPr="007B4CC8" w:rsidRDefault="00B7445F" w:rsidP="005B78DA">
      <w:pPr>
        <w:jc w:val="center"/>
        <w:rPr>
          <w:b/>
          <w:lang w:val="en-GB"/>
        </w:rPr>
      </w:pPr>
      <w:r w:rsidRPr="007B4CC8">
        <w:rPr>
          <w:b/>
          <w:sz w:val="28"/>
          <w:lang w:val="en-GB"/>
        </w:rPr>
        <w:t>CODING OF MOVING PICTURES AND AUDIO</w:t>
      </w:r>
    </w:p>
    <w:p w14:paraId="6CC18708" w14:textId="77777777" w:rsidR="00C067B2" w:rsidRPr="007B4CC8" w:rsidRDefault="00C067B2" w:rsidP="005B78DA">
      <w:pPr>
        <w:tabs>
          <w:tab w:val="left" w:pos="5387"/>
        </w:tabs>
        <w:spacing w:line="240" w:lineRule="exact"/>
        <w:jc w:val="center"/>
        <w:rPr>
          <w:b/>
          <w:lang w:val="en-GB"/>
        </w:rPr>
      </w:pPr>
    </w:p>
    <w:p w14:paraId="5766278E" w14:textId="297FE418" w:rsidR="00C067B2" w:rsidRPr="007B4CC8" w:rsidRDefault="00B7445F" w:rsidP="005B78DA">
      <w:pPr>
        <w:jc w:val="right"/>
        <w:rPr>
          <w:b/>
          <w:lang w:val="en-GB"/>
        </w:rPr>
      </w:pPr>
      <w:r w:rsidRPr="007B4CC8">
        <w:rPr>
          <w:b/>
          <w:lang w:val="en-GB"/>
        </w:rPr>
        <w:t>ISO/IEC JTC1/SC29/WG11 MPEG20</w:t>
      </w:r>
      <w:r w:rsidR="00413AA6">
        <w:rPr>
          <w:b/>
          <w:lang w:val="en-GB" w:eastAsia="ja-JP"/>
        </w:rPr>
        <w:t>20</w:t>
      </w:r>
      <w:r w:rsidRPr="007B4CC8">
        <w:rPr>
          <w:b/>
          <w:lang w:val="en-GB"/>
        </w:rPr>
        <w:t>/</w:t>
      </w:r>
      <w:r w:rsidR="000D7AFD" w:rsidRPr="000D7AFD">
        <w:rPr>
          <w:b/>
          <w:lang w:val="en-GB"/>
        </w:rPr>
        <w:t>m</w:t>
      </w:r>
      <w:r w:rsidR="00C973A4">
        <w:rPr>
          <w:b/>
          <w:lang w:val="en-GB"/>
        </w:rPr>
        <w:t>54417</w:t>
      </w:r>
    </w:p>
    <w:p w14:paraId="050850ED" w14:textId="43F90F8F" w:rsidR="00C067B2" w:rsidRPr="007B4CC8" w:rsidRDefault="00C973A4" w:rsidP="005B78DA">
      <w:pPr>
        <w:jc w:val="right"/>
        <w:rPr>
          <w:b/>
          <w:lang w:val="en-GB" w:eastAsia="ja-JP"/>
        </w:rPr>
      </w:pPr>
      <w:r>
        <w:rPr>
          <w:b/>
          <w:lang w:val="en-GB" w:eastAsia="ja-JP"/>
        </w:rPr>
        <w:t>July</w:t>
      </w:r>
      <w:r w:rsidR="00B7445F" w:rsidRPr="007B4CC8">
        <w:rPr>
          <w:rFonts w:eastAsia="Malgun Gothic"/>
          <w:b/>
          <w:lang w:val="en-GB"/>
        </w:rPr>
        <w:t xml:space="preserve"> 20</w:t>
      </w:r>
      <w:r w:rsidR="00906510">
        <w:rPr>
          <w:rFonts w:eastAsia="Malgun Gothic"/>
          <w:b/>
          <w:lang w:val="en-GB"/>
        </w:rPr>
        <w:t>20</w:t>
      </w:r>
      <w:r w:rsidR="00B7445F" w:rsidRPr="007B4CC8">
        <w:rPr>
          <w:rFonts w:eastAsia="Malgun Gothic"/>
          <w:b/>
          <w:lang w:val="en-GB"/>
        </w:rPr>
        <w:t xml:space="preserve">, </w:t>
      </w:r>
      <w:r w:rsidR="00413AA6">
        <w:rPr>
          <w:rFonts w:eastAsia="Malgun Gothic"/>
          <w:b/>
          <w:lang w:val="en-GB"/>
        </w:rPr>
        <w:t>MPEG13</w:t>
      </w:r>
      <w:r>
        <w:rPr>
          <w:rFonts w:eastAsia="Malgun Gothic"/>
          <w:b/>
          <w:lang w:val="en-GB"/>
        </w:rPr>
        <w:t>1</w:t>
      </w:r>
      <w:r w:rsidR="00413AA6">
        <w:rPr>
          <w:rFonts w:eastAsia="Malgun Gothic"/>
          <w:b/>
          <w:lang w:val="en-GB"/>
        </w:rPr>
        <w:t xml:space="preserve"> online</w:t>
      </w:r>
    </w:p>
    <w:p w14:paraId="2B153B83" w14:textId="77777777" w:rsidR="00C067B2" w:rsidRPr="007B4CC8" w:rsidRDefault="00C067B2" w:rsidP="005B78DA">
      <w:pPr>
        <w:jc w:val="right"/>
        <w:rPr>
          <w:b/>
          <w:lang w:val="en-GB" w:eastAsia="ja-JP"/>
        </w:rPr>
      </w:pPr>
    </w:p>
    <w:p w14:paraId="6898D8E5" w14:textId="77777777" w:rsidR="00C067B2" w:rsidRPr="007B4CC8" w:rsidRDefault="00C067B2" w:rsidP="005B78DA">
      <w:pPr>
        <w:jc w:val="right"/>
        <w:rPr>
          <w:b/>
          <w:lang w:val="en-GB" w:eastAsia="ja-JP"/>
        </w:rPr>
      </w:pPr>
    </w:p>
    <w:p w14:paraId="4AC5ADE5" w14:textId="77777777" w:rsidR="00C067B2" w:rsidRPr="007B4CC8" w:rsidRDefault="00C067B2" w:rsidP="005B78DA">
      <w:pPr>
        <w:spacing w:line="240" w:lineRule="exact"/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6"/>
        <w:gridCol w:w="8279"/>
      </w:tblGrid>
      <w:tr w:rsidR="00C067B2" w:rsidRPr="007B4CC8" w14:paraId="51391828" w14:textId="77777777">
        <w:tc>
          <w:tcPr>
            <w:tcW w:w="1080" w:type="dxa"/>
          </w:tcPr>
          <w:p w14:paraId="1CAD08D4" w14:textId="77777777" w:rsidR="00C067B2" w:rsidRPr="007B4CC8" w:rsidRDefault="00B7445F" w:rsidP="005B78DA">
            <w:pPr>
              <w:suppressAutoHyphens/>
              <w:rPr>
                <w:b/>
                <w:lang w:val="en-GB"/>
              </w:rPr>
            </w:pPr>
            <w:r w:rsidRPr="007B4CC8">
              <w:rPr>
                <w:b/>
                <w:lang w:val="en-GB"/>
              </w:rPr>
              <w:t>Source</w:t>
            </w:r>
          </w:p>
        </w:tc>
        <w:tc>
          <w:tcPr>
            <w:tcW w:w="8491" w:type="dxa"/>
          </w:tcPr>
          <w:p w14:paraId="3538704D" w14:textId="201F5D04" w:rsidR="00C067B2" w:rsidRPr="007B4CC8" w:rsidRDefault="00413AA6" w:rsidP="005B78DA">
            <w:pPr>
              <w:suppressAutoHyphens/>
              <w:rPr>
                <w:b/>
                <w:lang w:val="en-GB"/>
              </w:rPr>
            </w:pPr>
            <w:r>
              <w:rPr>
                <w:b/>
                <w:lang w:val="en-GB"/>
              </w:rPr>
              <w:t>Interdigital</w:t>
            </w:r>
          </w:p>
        </w:tc>
      </w:tr>
      <w:tr w:rsidR="00C067B2" w:rsidRPr="007B4CC8" w14:paraId="577F4A6C" w14:textId="77777777">
        <w:tc>
          <w:tcPr>
            <w:tcW w:w="1080" w:type="dxa"/>
          </w:tcPr>
          <w:p w14:paraId="16609CBC" w14:textId="77777777" w:rsidR="00C067B2" w:rsidRPr="007B4CC8" w:rsidRDefault="00B7445F" w:rsidP="005B78DA">
            <w:pPr>
              <w:suppressAutoHyphens/>
              <w:rPr>
                <w:b/>
                <w:lang w:val="en-GB"/>
              </w:rPr>
            </w:pPr>
            <w:r w:rsidRPr="007B4CC8">
              <w:rPr>
                <w:b/>
                <w:lang w:val="en-GB"/>
              </w:rPr>
              <w:t>Status</w:t>
            </w:r>
          </w:p>
        </w:tc>
        <w:tc>
          <w:tcPr>
            <w:tcW w:w="8491" w:type="dxa"/>
          </w:tcPr>
          <w:p w14:paraId="1369A8D9" w14:textId="53DBFCD2" w:rsidR="00C067B2" w:rsidRPr="007B4CC8" w:rsidRDefault="007B4CC8" w:rsidP="005B78DA">
            <w:pPr>
              <w:suppressAutoHyphens/>
              <w:rPr>
                <w:b/>
                <w:lang w:val="en-GB"/>
              </w:rPr>
            </w:pPr>
            <w:r w:rsidRPr="007B4CC8">
              <w:rPr>
                <w:b/>
                <w:lang w:val="en-GB"/>
              </w:rPr>
              <w:t>Input document</w:t>
            </w:r>
          </w:p>
        </w:tc>
      </w:tr>
      <w:tr w:rsidR="00C067B2" w:rsidRPr="007B4CC8" w14:paraId="68428084" w14:textId="77777777">
        <w:tc>
          <w:tcPr>
            <w:tcW w:w="1080" w:type="dxa"/>
          </w:tcPr>
          <w:p w14:paraId="4956F6E9" w14:textId="77777777" w:rsidR="00C067B2" w:rsidRPr="007B4CC8" w:rsidRDefault="00B7445F" w:rsidP="005B78DA">
            <w:pPr>
              <w:suppressAutoHyphens/>
              <w:rPr>
                <w:b/>
                <w:lang w:val="en-GB"/>
              </w:rPr>
            </w:pPr>
            <w:r w:rsidRPr="007B4CC8">
              <w:rPr>
                <w:b/>
                <w:lang w:val="en-GB"/>
              </w:rPr>
              <w:t>Title</w:t>
            </w:r>
          </w:p>
        </w:tc>
        <w:tc>
          <w:tcPr>
            <w:tcW w:w="8491" w:type="dxa"/>
          </w:tcPr>
          <w:p w14:paraId="284B3524" w14:textId="3A25F522" w:rsidR="00C067B2" w:rsidRPr="007B4CC8" w:rsidRDefault="00C973A4" w:rsidP="005B78DA">
            <w:pPr>
              <w:suppressAutoHyphens/>
              <w:rPr>
                <w:b/>
                <w:lang w:val="en-GB"/>
              </w:rPr>
            </w:pPr>
            <w:r>
              <w:rPr>
                <w:b/>
                <w:lang w:val="en-GB"/>
              </w:rPr>
              <w:t>Cardboard patches for MIV</w:t>
            </w:r>
          </w:p>
        </w:tc>
      </w:tr>
      <w:tr w:rsidR="00C067B2" w:rsidRPr="005F67CD" w14:paraId="607CD4CF" w14:textId="77777777">
        <w:tc>
          <w:tcPr>
            <w:tcW w:w="1080" w:type="dxa"/>
          </w:tcPr>
          <w:p w14:paraId="5A492B02" w14:textId="77777777" w:rsidR="00C067B2" w:rsidRPr="007B4CC8" w:rsidRDefault="00B7445F" w:rsidP="005B78DA">
            <w:pPr>
              <w:rPr>
                <w:b/>
                <w:lang w:val="en-GB"/>
              </w:rPr>
            </w:pPr>
            <w:r w:rsidRPr="007B4CC8">
              <w:rPr>
                <w:b/>
                <w:lang w:val="en-GB"/>
              </w:rPr>
              <w:t>Author</w:t>
            </w:r>
          </w:p>
        </w:tc>
        <w:tc>
          <w:tcPr>
            <w:tcW w:w="8491" w:type="dxa"/>
          </w:tcPr>
          <w:p w14:paraId="4403CA83" w14:textId="4127A782" w:rsidR="00C067B2" w:rsidRPr="0025271C" w:rsidRDefault="008B44D5" w:rsidP="005B78DA">
            <w:pPr>
              <w:rPr>
                <w:lang w:val="fr-FR" w:eastAsia="ja-JP"/>
              </w:rPr>
            </w:pPr>
            <w:r w:rsidRPr="0025271C">
              <w:rPr>
                <w:lang w:val="fr-FR" w:eastAsia="ja-JP"/>
              </w:rPr>
              <w:t xml:space="preserve">Julien Fleureau, </w:t>
            </w:r>
            <w:r w:rsidR="00413AA6" w:rsidRPr="0025271C">
              <w:rPr>
                <w:lang w:val="fr-FR" w:eastAsia="ja-JP"/>
              </w:rPr>
              <w:t>Bertrand Chupeau</w:t>
            </w:r>
            <w:r w:rsidR="00081440">
              <w:rPr>
                <w:lang w:val="fr-FR" w:eastAsia="ja-JP"/>
              </w:rPr>
              <w:t xml:space="preserve">, </w:t>
            </w:r>
            <w:r w:rsidR="00081440" w:rsidRPr="0025271C">
              <w:rPr>
                <w:lang w:val="fr-FR" w:eastAsia="ja-JP"/>
              </w:rPr>
              <w:t>Renaud Doré</w:t>
            </w:r>
          </w:p>
        </w:tc>
      </w:tr>
    </w:tbl>
    <w:p w14:paraId="2FFD0582" w14:textId="405C68D1" w:rsidR="00160554" w:rsidRPr="0025271C" w:rsidRDefault="00160554" w:rsidP="005B78DA">
      <w:pPr>
        <w:rPr>
          <w:lang w:val="fr-FR"/>
        </w:rPr>
      </w:pPr>
    </w:p>
    <w:p w14:paraId="514E654E" w14:textId="77777777" w:rsidR="00A8397A" w:rsidRDefault="00A8397A" w:rsidP="005B78DA">
      <w:pPr>
        <w:pStyle w:val="Heading1"/>
        <w:numPr>
          <w:ilvl w:val="0"/>
          <w:numId w:val="0"/>
        </w:numPr>
      </w:pPr>
      <w:r>
        <w:t>Abstract</w:t>
      </w:r>
    </w:p>
    <w:p w14:paraId="3A06B44F" w14:textId="6880FE1D" w:rsidR="00A8397A" w:rsidRPr="00A8397A" w:rsidRDefault="00A8397A" w:rsidP="005B78DA">
      <w:r w:rsidRPr="00447A87">
        <w:t xml:space="preserve">This contribution </w:t>
      </w:r>
      <w:r w:rsidR="00940B52">
        <w:t>is about</w:t>
      </w:r>
      <w:r w:rsidR="005D0EF3">
        <w:t xml:space="preserve"> </w:t>
      </w:r>
      <w:r w:rsidR="00040E9A">
        <w:t>signaling</w:t>
      </w:r>
      <w:r w:rsidR="005D0EF3">
        <w:t xml:space="preserve"> </w:t>
      </w:r>
      <w:r w:rsidR="00DF65F2">
        <w:t xml:space="preserve">a </w:t>
      </w:r>
      <w:r w:rsidR="00C66BA9">
        <w:t>new</w:t>
      </w:r>
      <w:r w:rsidR="00DF65F2">
        <w:t xml:space="preserve"> type of </w:t>
      </w:r>
      <w:r w:rsidR="005D0EF3">
        <w:t xml:space="preserve">so-called “cardboard” patches, </w:t>
      </w:r>
      <w:r w:rsidR="003D70B0">
        <w:t>which</w:t>
      </w:r>
      <w:r w:rsidR="005D0EF3">
        <w:t xml:space="preserve"> geom</w:t>
      </w:r>
      <w:r w:rsidR="00DF65F2">
        <w:t>e</w:t>
      </w:r>
      <w:r w:rsidR="005D0EF3">
        <w:t xml:space="preserve">try boils </w:t>
      </w:r>
      <w:r w:rsidR="004A1988">
        <w:t xml:space="preserve">down </w:t>
      </w:r>
      <w:r w:rsidR="005D0EF3">
        <w:t>to a single depth value</w:t>
      </w:r>
      <w:r w:rsidR="00FC3CC9">
        <w:t xml:space="preserve"> per patch</w:t>
      </w:r>
      <w:r w:rsidR="00940B52">
        <w:t>, with the MIV syntax</w:t>
      </w:r>
      <w:r w:rsidR="005D0EF3">
        <w:t xml:space="preserve">. </w:t>
      </w:r>
      <w:r w:rsidR="00596D76">
        <w:t>For that purpose</w:t>
      </w:r>
      <w:r w:rsidR="00940B52">
        <w:t>, a new flag is proposed, at patch</w:t>
      </w:r>
      <w:r w:rsidR="004A1988">
        <w:t xml:space="preserve"> level</w:t>
      </w:r>
      <w:r w:rsidR="00612248">
        <w:t xml:space="preserve"> </w:t>
      </w:r>
      <w:r w:rsidR="000F63C0">
        <w:t>and</w:t>
      </w:r>
      <w:r w:rsidR="00612248">
        <w:t xml:space="preserve"> atlas level</w:t>
      </w:r>
      <w:r w:rsidR="00940B52">
        <w:t xml:space="preserve">, together with solutions to express this </w:t>
      </w:r>
      <w:r w:rsidR="00C66BA9">
        <w:t xml:space="preserve">single </w:t>
      </w:r>
      <w:r w:rsidR="00940B52">
        <w:t xml:space="preserve">depth value without resorting to the depth </w:t>
      </w:r>
      <w:r w:rsidR="00C66BA9">
        <w:t xml:space="preserve">atlas </w:t>
      </w:r>
      <w:r w:rsidR="00940B52">
        <w:t>component</w:t>
      </w:r>
      <w:r w:rsidR="00FC3CC9">
        <w:t xml:space="preserve"> frame</w:t>
      </w:r>
      <w:r w:rsidR="00C66BA9">
        <w:t>.</w:t>
      </w:r>
    </w:p>
    <w:p w14:paraId="17ABB602" w14:textId="3C24BA6A" w:rsidR="007B4CC8" w:rsidRDefault="00410D4C" w:rsidP="005B78DA">
      <w:pPr>
        <w:pStyle w:val="Heading1"/>
        <w:rPr>
          <w:lang w:val="en-GB"/>
        </w:rPr>
      </w:pPr>
      <w:r>
        <w:rPr>
          <w:lang w:val="en-GB"/>
        </w:rPr>
        <w:t>Introduction</w:t>
      </w:r>
    </w:p>
    <w:p w14:paraId="2012D190" w14:textId="46877D1C" w:rsidR="00600705" w:rsidRDefault="005F12C1" w:rsidP="005B78DA">
      <w:r>
        <w:t xml:space="preserve">The MIV standard </w:t>
      </w:r>
      <w:r w:rsidR="00F65323">
        <w:t>conveys the volumetric information through</w:t>
      </w:r>
      <w:r>
        <w:t xml:space="preserve"> </w:t>
      </w:r>
      <w:r w:rsidR="00F65323">
        <w:t xml:space="preserve">a set of patches consisting of </w:t>
      </w:r>
      <w:r w:rsidR="00D2614F">
        <w:t xml:space="preserve">a </w:t>
      </w:r>
      <w:r>
        <w:t xml:space="preserve">pair of </w:t>
      </w:r>
      <w:r w:rsidR="00F65323">
        <w:t>geometry (depth)</w:t>
      </w:r>
      <w:r>
        <w:t xml:space="preserve"> and texture components.</w:t>
      </w:r>
      <w:r w:rsidR="00D2614F">
        <w:t xml:space="preserve"> </w:t>
      </w:r>
      <w:r>
        <w:t xml:space="preserve">However, some simple 3D scenes that we </w:t>
      </w:r>
      <w:r w:rsidR="00D2614F">
        <w:t>call</w:t>
      </w:r>
      <w:r>
        <w:t xml:space="preserve"> “cardboard” scenes </w:t>
      </w:r>
      <w:r w:rsidR="00AC666A">
        <w:t xml:space="preserve">in the following </w:t>
      </w:r>
      <w:r>
        <w:t xml:space="preserve">may not require such level of complexity to be described because of their intrinsic nature. Indeed, they are simply composed of a set of static stacked planar </w:t>
      </w:r>
      <w:r w:rsidR="00FC3CC9">
        <w:t xml:space="preserve"> (or spherical, depending on the projection) </w:t>
      </w:r>
      <w:r>
        <w:t>layers</w:t>
      </w:r>
      <w:r w:rsidR="00E037D5">
        <w:t xml:space="preserve">, such as illustrated </w:t>
      </w:r>
      <w:r w:rsidR="00E037D5" w:rsidRPr="00E037D5">
        <w:t xml:space="preserve">in </w:t>
      </w:r>
      <w:r w:rsidR="00E037D5" w:rsidRPr="00E037D5">
        <w:fldChar w:fldCharType="begin"/>
      </w:r>
      <w:r w:rsidR="00E037D5" w:rsidRPr="00E037D5">
        <w:instrText xml:space="preserve"> REF _Ref43728818 \h </w:instrText>
      </w:r>
      <w:r w:rsidR="00E037D5">
        <w:instrText xml:space="preserve"> \* MERGEFORMAT </w:instrText>
      </w:r>
      <w:r w:rsidR="00E037D5" w:rsidRPr="00E037D5">
        <w:fldChar w:fldCharType="separate"/>
      </w:r>
      <w:r w:rsidR="00E037D5" w:rsidRPr="00E037D5">
        <w:t xml:space="preserve">Figure </w:t>
      </w:r>
      <w:r w:rsidR="00E037D5" w:rsidRPr="00E037D5">
        <w:rPr>
          <w:noProof/>
        </w:rPr>
        <w:t>1</w:t>
      </w:r>
      <w:r w:rsidR="00E037D5" w:rsidRPr="00E037D5">
        <w:fldChar w:fldCharType="end"/>
      </w:r>
      <w:r w:rsidRPr="00E037D5">
        <w:t>.</w:t>
      </w:r>
      <w:r>
        <w:t xml:space="preserve"> Due do this specific shape, transmitting a depth </w:t>
      </w:r>
      <w:r w:rsidR="00EE668B">
        <w:t xml:space="preserve">map </w:t>
      </w:r>
      <w:r>
        <w:t xml:space="preserve">information to represent a carboard object is overkill </w:t>
      </w:r>
      <w:r w:rsidR="00FC3CC9">
        <w:t>as</w:t>
      </w:r>
      <w:r>
        <w:t xml:space="preserve"> it can be represented by a simple constant value from a given camera point of view</w:t>
      </w:r>
      <w:r w:rsidR="00307726">
        <w:t>.</w:t>
      </w:r>
      <w:r w:rsidR="00C220EB">
        <w:t xml:space="preserve"> </w:t>
      </w:r>
      <w:r w:rsidR="00307726">
        <w:t xml:space="preserve">In a typical scenario, </w:t>
      </w:r>
      <w:r w:rsidR="00C220EB">
        <w:t xml:space="preserve">theses patches may be found away from the very first foreground in order to complete a </w:t>
      </w:r>
      <w:r w:rsidR="00FD0122">
        <w:t>scene</w:t>
      </w:r>
      <w:r w:rsidR="00C220EB">
        <w:t xml:space="preserve"> and</w:t>
      </w:r>
      <w:r w:rsidR="00307726">
        <w:t xml:space="preserve"> model an omnidirectional background (</w:t>
      </w:r>
      <w:r w:rsidR="00040E9A">
        <w:t>so-called “</w:t>
      </w:r>
      <w:r w:rsidR="00307726">
        <w:t>envmap</w:t>
      </w:r>
      <w:r w:rsidR="00040E9A">
        <w:t>”</w:t>
      </w:r>
      <w:r w:rsidR="00307726">
        <w:t xml:space="preserve">) in a cheap </w:t>
      </w:r>
      <w:r w:rsidR="00F1399D">
        <w:t>way</w:t>
      </w:r>
      <w:r w:rsidR="00307726">
        <w:t>.</w:t>
      </w:r>
      <w:r w:rsidR="00600705">
        <w:t xml:space="preserve"> They could also be used </w:t>
      </w:r>
      <w:r w:rsidR="00FD0122">
        <w:t xml:space="preserve">in combination with regular patches </w:t>
      </w:r>
      <w:r w:rsidR="00600705">
        <w:t xml:space="preserve">to </w:t>
      </w:r>
      <w:r w:rsidR="00040E9A">
        <w:t>co</w:t>
      </w:r>
      <w:r w:rsidR="00FD0122">
        <w:t>n</w:t>
      </w:r>
      <w:r w:rsidR="00040E9A">
        <w:t>siderably</w:t>
      </w:r>
      <w:r w:rsidR="00600705">
        <w:t xml:space="preserve"> ease the production of volumetric content by avoiding the need to estimate</w:t>
      </w:r>
      <w:r w:rsidR="00725668">
        <w:t xml:space="preserve"> complex geometr</w:t>
      </w:r>
      <w:r w:rsidR="00600705">
        <w:t>ies.</w:t>
      </w:r>
      <w:r w:rsidR="00FD0122">
        <w:t xml:space="preserve"> A</w:t>
      </w:r>
      <w:r w:rsidR="00725668">
        <w:t>n example of such a content</w:t>
      </w:r>
      <w:r w:rsidR="00307726">
        <w:t xml:space="preserve"> among the CTC ones</w:t>
      </w:r>
      <w:r w:rsidR="00725668">
        <w:t xml:space="preserve"> is InterdigitalHijack.</w:t>
      </w:r>
      <w:r w:rsidR="00307726">
        <w:t xml:space="preserve"> Furthermore, cardboard only contents could be rendered with dedicated synthesis algorithm (Painter’s algorithm especially) which may dramatically decrease the overall rendering complexity and ease the implementation on low-end devices.</w:t>
      </w:r>
      <w:r w:rsidR="00FD0122">
        <w:t xml:space="preserve"> </w:t>
      </w:r>
    </w:p>
    <w:p w14:paraId="7B3D9364" w14:textId="77777777" w:rsidR="005F12C1" w:rsidRDefault="005F12C1" w:rsidP="005B78DA"/>
    <w:p w14:paraId="044C5F0A" w14:textId="77777777" w:rsidR="005F12C1" w:rsidRDefault="005F12C1" w:rsidP="005B78DA">
      <w:pPr>
        <w:jc w:val="center"/>
      </w:pPr>
      <w:r w:rsidRPr="00BD2002">
        <w:rPr>
          <w:noProof/>
        </w:rPr>
        <w:drawing>
          <wp:inline distT="0" distB="0" distL="0" distR="0" wp14:anchorId="2D442916" wp14:editId="2A40DF62">
            <wp:extent cx="5553075" cy="14499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5187" cy="147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6B1EB" w14:textId="72E89A8A" w:rsidR="005F12C1" w:rsidRPr="00E037D5" w:rsidRDefault="00E037D5" w:rsidP="005B78DA">
      <w:pPr>
        <w:pStyle w:val="Caption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Ref43728818"/>
      <w:r w:rsidRPr="00E037D5">
        <w:rPr>
          <w:rFonts w:ascii="Times New Roman" w:hAnsi="Times New Roman" w:cs="Times New Roman"/>
          <w:color w:val="auto"/>
          <w:sz w:val="22"/>
          <w:szCs w:val="22"/>
        </w:rPr>
        <w:t xml:space="preserve">Figure </w:t>
      </w:r>
      <w:r w:rsidRPr="00E037D5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E037D5">
        <w:rPr>
          <w:rFonts w:ascii="Times New Roman" w:hAnsi="Times New Roman" w:cs="Times New Roman"/>
          <w:color w:val="auto"/>
          <w:sz w:val="22"/>
          <w:szCs w:val="22"/>
        </w:rPr>
        <w:instrText xml:space="preserve"> SEQ Figure \* ARABIC </w:instrText>
      </w:r>
      <w:r w:rsidRPr="00E037D5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Pr="00E037D5">
        <w:rPr>
          <w:rFonts w:ascii="Times New Roman" w:hAnsi="Times New Roman" w:cs="Times New Roman"/>
          <w:noProof/>
          <w:color w:val="auto"/>
          <w:sz w:val="22"/>
          <w:szCs w:val="22"/>
        </w:rPr>
        <w:t>1</w:t>
      </w:r>
      <w:r w:rsidRPr="00E037D5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bookmarkEnd w:id="0"/>
      <w:r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E037D5">
        <w:rPr>
          <w:rFonts w:ascii="Times New Roman" w:hAnsi="Times New Roman" w:cs="Times New Roman"/>
          <w:color w:val="auto"/>
          <w:sz w:val="22"/>
          <w:szCs w:val="22"/>
        </w:rPr>
        <w:t xml:space="preserve"> Example of “cardboard-like” scene where successive planar objects are simply stacked to represent the 3D scene.</w:t>
      </w:r>
    </w:p>
    <w:p w14:paraId="67070316" w14:textId="7BDC9C41" w:rsidR="00216476" w:rsidRDefault="00AC666A" w:rsidP="00373ABC">
      <w:pPr>
        <w:rPr>
          <w:lang w:val="en-GB"/>
        </w:rPr>
      </w:pPr>
      <w:r>
        <w:rPr>
          <w:lang w:val="en-GB"/>
        </w:rPr>
        <w:lastRenderedPageBreak/>
        <w:t xml:space="preserve">In this contribution, we propose </w:t>
      </w:r>
      <w:r w:rsidR="00B03A5D">
        <w:rPr>
          <w:lang w:val="en-GB"/>
        </w:rPr>
        <w:t>a new</w:t>
      </w:r>
      <w:r>
        <w:t xml:space="preserve"> flag in the MIV syntax </w:t>
      </w:r>
      <w:r w:rsidR="00B03A5D">
        <w:t>–</w:t>
      </w:r>
      <w:r w:rsidR="00040E9A">
        <w:t xml:space="preserve"> </w:t>
      </w:r>
      <w:r w:rsidR="00B03A5D">
        <w:t>at patch</w:t>
      </w:r>
      <w:r w:rsidR="002020F5">
        <w:t xml:space="preserve"> </w:t>
      </w:r>
      <w:r w:rsidR="000F63C0">
        <w:t>and</w:t>
      </w:r>
      <w:r w:rsidR="00B03A5D">
        <w:t xml:space="preserve"> atlas level</w:t>
      </w:r>
      <w:r w:rsidR="000F63C0">
        <w:t>s</w:t>
      </w:r>
      <w:r w:rsidR="00B03A5D">
        <w:t xml:space="preserve"> – to support the </w:t>
      </w:r>
      <w:r w:rsidR="00040E9A">
        <w:t>signaling</w:t>
      </w:r>
      <w:r>
        <w:t xml:space="preserve"> </w:t>
      </w:r>
      <w:r w:rsidR="00B03A5D">
        <w:t xml:space="preserve">and efficient encoding of </w:t>
      </w:r>
      <w:r>
        <w:t>cardboard-like objects</w:t>
      </w:r>
      <w:r w:rsidR="00B03A5D">
        <w:t xml:space="preserve">. Specific types of patches requiring no explicit geometry information in the depth atlas but only a single depth value would thus be </w:t>
      </w:r>
      <w:r w:rsidR="00A24E97">
        <w:t>considered</w:t>
      </w:r>
      <w:r w:rsidR="00B03A5D">
        <w:t>. This would</w:t>
      </w:r>
      <w:r>
        <w:t xml:space="preserve"> allow reducing the depth atlas size leading to an overall pixel rate as well as bitrate reduction. </w:t>
      </w:r>
      <w:r w:rsidR="005012C2">
        <w:t>The d</w:t>
      </w:r>
      <w:r>
        <w:t>ecoder could also take advantage of this information to speed-up the scene rendering.</w:t>
      </w:r>
      <w:r w:rsidR="009F7531">
        <w:t xml:space="preserve"> Finally,</w:t>
      </w:r>
      <w:r w:rsidR="00A24E97">
        <w:t xml:space="preserve"> since</w:t>
      </w:r>
      <w:r w:rsidR="009F7531">
        <w:t xml:space="preserve"> the</w:t>
      </w:r>
      <w:r w:rsidR="00A24E97">
        <w:t>ir</w:t>
      </w:r>
      <w:r w:rsidR="009F7531">
        <w:t xml:space="preserve"> depth information </w:t>
      </w:r>
      <w:r w:rsidR="00A24E97">
        <w:t>is</w:t>
      </w:r>
      <w:r w:rsidR="009F7531">
        <w:t xml:space="preserve"> embedded in the metadata bitstream only, such patches would not suffer from any depth coding artifacts.</w:t>
      </w:r>
    </w:p>
    <w:p w14:paraId="1BD4CAF5" w14:textId="3C08C21D" w:rsidR="00C973A4" w:rsidRDefault="00D47FEB" w:rsidP="00373ABC">
      <w:pPr>
        <w:pStyle w:val="Heading1"/>
      </w:pPr>
      <w:r>
        <w:t>Syntax updates</w:t>
      </w:r>
      <w:r w:rsidR="000632C3">
        <w:t xml:space="preserve"> for </w:t>
      </w:r>
      <w:r w:rsidR="000632C3" w:rsidRPr="00373ABC">
        <w:t>cardboard</w:t>
      </w:r>
      <w:r w:rsidR="000632C3">
        <w:t xml:space="preserve"> patches</w:t>
      </w:r>
    </w:p>
    <w:p w14:paraId="75D90512" w14:textId="4101B280" w:rsidR="0095204D" w:rsidRPr="0095204D" w:rsidRDefault="0095204D" w:rsidP="005B78DA">
      <w:r>
        <w:t xml:space="preserve">Different options can be envisioned to encapsulate the </w:t>
      </w:r>
      <w:r w:rsidR="00040E9A">
        <w:t>signaling</w:t>
      </w:r>
      <w:r>
        <w:t xml:space="preserve"> of cardboard patches</w:t>
      </w:r>
      <w:r w:rsidR="00A24E97">
        <w:t xml:space="preserve"> in the MIV syntax</w:t>
      </w:r>
      <w:r>
        <w:t>, implying different levels of flexibility for the standard.</w:t>
      </w:r>
      <w:r w:rsidR="002B7AEE">
        <w:t xml:space="preserve"> </w:t>
      </w:r>
      <w:r w:rsidR="004F5BF6">
        <w:t xml:space="preserve">Two </w:t>
      </w:r>
      <w:r w:rsidR="00231A39">
        <w:t xml:space="preserve">different </w:t>
      </w:r>
      <w:r w:rsidR="002B7AEE">
        <w:t xml:space="preserve">solutions at the patch </w:t>
      </w:r>
      <w:r w:rsidR="004F5BF6">
        <w:t xml:space="preserve">and </w:t>
      </w:r>
      <w:r w:rsidR="002B7AEE">
        <w:t>at</w:t>
      </w:r>
      <w:r w:rsidR="00024982">
        <w:t>las</w:t>
      </w:r>
      <w:r w:rsidR="002B7AEE">
        <w:t xml:space="preserve"> levels are exposed hereafter.</w:t>
      </w:r>
    </w:p>
    <w:p w14:paraId="22AF6543" w14:textId="64B0B631" w:rsidR="006E59A2" w:rsidRDefault="004A245C" w:rsidP="005B78DA">
      <w:pPr>
        <w:pStyle w:val="Heading2"/>
      </w:pPr>
      <w:bookmarkStart w:id="1" w:name="_Ref43745914"/>
      <w:r>
        <w:t>Patch level</w:t>
      </w:r>
      <w:bookmarkEnd w:id="1"/>
    </w:p>
    <w:p w14:paraId="6A4A7002" w14:textId="427BA123" w:rsidR="0041749C" w:rsidRPr="00373ABC" w:rsidRDefault="00040E9A" w:rsidP="00373ABC">
      <w:pPr>
        <w:pStyle w:val="Heading3"/>
      </w:pPr>
      <w:r>
        <w:t>Signaling</w:t>
      </w:r>
      <w:r w:rsidR="0041749C">
        <w:t xml:space="preserve"> of cardboard patches</w:t>
      </w:r>
    </w:p>
    <w:p w14:paraId="6E7B1EFA" w14:textId="588EEFB4" w:rsidR="0095204D" w:rsidRPr="002D2590" w:rsidRDefault="0095204D" w:rsidP="005B78DA">
      <w:r w:rsidRPr="002D2590">
        <w:t xml:space="preserve">The </w:t>
      </w:r>
      <w:r w:rsidR="00040E9A">
        <w:t>signaling</w:t>
      </w:r>
      <w:r w:rsidRPr="002D2590">
        <w:t xml:space="preserve"> of cardboard patches can be expressed at the patch level, within the MIV extension of the patch_data_unit( </w:t>
      </w:r>
      <w:r w:rsidR="00887B76">
        <w:t xml:space="preserve">p </w:t>
      </w:r>
      <w:r w:rsidRPr="002D2590">
        <w:t>) structure, as</w:t>
      </w:r>
      <w:r w:rsidR="002D2590" w:rsidRPr="002D2590">
        <w:t xml:space="preserve"> described in </w:t>
      </w:r>
      <w:r w:rsidR="002D2590" w:rsidRPr="002D2590">
        <w:fldChar w:fldCharType="begin"/>
      </w:r>
      <w:r w:rsidR="002D2590" w:rsidRPr="002D2590">
        <w:instrText xml:space="preserve"> REF _Ref43737630 \h </w:instrText>
      </w:r>
      <w:r w:rsidR="002D2590">
        <w:instrText xml:space="preserve"> \* MERGEFORMAT </w:instrText>
      </w:r>
      <w:r w:rsidR="002D2590" w:rsidRPr="002D2590">
        <w:fldChar w:fldCharType="separate"/>
      </w:r>
      <w:r w:rsidR="002D2590" w:rsidRPr="002D2590">
        <w:t xml:space="preserve">Table </w:t>
      </w:r>
      <w:r w:rsidR="002D2590" w:rsidRPr="002D2590">
        <w:rPr>
          <w:noProof/>
        </w:rPr>
        <w:t>1</w:t>
      </w:r>
      <w:r w:rsidR="002D2590" w:rsidRPr="002D2590">
        <w:fldChar w:fldCharType="end"/>
      </w:r>
      <w:r w:rsidR="002D2590" w:rsidRPr="002D2590">
        <w:t>.</w:t>
      </w:r>
      <w:r w:rsidRPr="002D2590">
        <w:t xml:space="preserve">   </w:t>
      </w:r>
    </w:p>
    <w:p w14:paraId="6FA6D660" w14:textId="77777777" w:rsidR="0095204D" w:rsidRPr="0095204D" w:rsidRDefault="0095204D" w:rsidP="005B78DA"/>
    <w:tbl>
      <w:tblPr>
        <w:tblStyle w:val="TableGrid"/>
        <w:tblW w:w="5034" w:type="pct"/>
        <w:jc w:val="center"/>
        <w:tblLayout w:type="fixed"/>
        <w:tblLook w:val="04A0" w:firstRow="1" w:lastRow="0" w:firstColumn="1" w:lastColumn="0" w:noHBand="0" w:noVBand="1"/>
      </w:tblPr>
      <w:tblGrid>
        <w:gridCol w:w="8217"/>
        <w:gridCol w:w="1192"/>
      </w:tblGrid>
      <w:tr w:rsidR="004A245C" w:rsidRPr="0068485C" w14:paraId="02A1CFC6" w14:textId="77777777" w:rsidTr="000632C3">
        <w:trPr>
          <w:jc w:val="center"/>
        </w:trPr>
        <w:tc>
          <w:tcPr>
            <w:tcW w:w="8217" w:type="dxa"/>
          </w:tcPr>
          <w:p w14:paraId="31B7C36F" w14:textId="77777777" w:rsidR="004A245C" w:rsidRPr="0068485C" w:rsidRDefault="004A245C" w:rsidP="005B78DA">
            <w:pPr>
              <w:spacing w:before="20" w:after="20"/>
              <w:rPr>
                <w:color w:val="000000" w:themeColor="text1"/>
                <w:sz w:val="20"/>
              </w:rPr>
            </w:pPr>
            <w:r w:rsidRPr="0068485C">
              <w:rPr>
                <w:color w:val="000000" w:themeColor="text1"/>
                <w:sz w:val="20"/>
              </w:rPr>
              <w:t>pdu_miv_extension( p ) {</w:t>
            </w:r>
          </w:p>
        </w:tc>
        <w:tc>
          <w:tcPr>
            <w:tcW w:w="1192" w:type="dxa"/>
          </w:tcPr>
          <w:p w14:paraId="71D139C3" w14:textId="77777777" w:rsidR="004A245C" w:rsidRPr="0068485C" w:rsidRDefault="004A245C" w:rsidP="005B78DA">
            <w:pPr>
              <w:spacing w:before="20" w:after="20"/>
              <w:jc w:val="center"/>
              <w:rPr>
                <w:b/>
                <w:color w:val="000000" w:themeColor="text1"/>
                <w:sz w:val="20"/>
              </w:rPr>
            </w:pPr>
            <w:r w:rsidRPr="0068485C">
              <w:rPr>
                <w:b/>
                <w:color w:val="000000" w:themeColor="text1"/>
                <w:sz w:val="20"/>
              </w:rPr>
              <w:t>Descriptor</w:t>
            </w:r>
          </w:p>
        </w:tc>
      </w:tr>
      <w:tr w:rsidR="004A245C" w:rsidRPr="0068485C" w14:paraId="563868CA" w14:textId="77777777" w:rsidTr="000632C3">
        <w:trPr>
          <w:jc w:val="center"/>
        </w:trPr>
        <w:tc>
          <w:tcPr>
            <w:tcW w:w="8217" w:type="dxa"/>
          </w:tcPr>
          <w:p w14:paraId="14ACA1FE" w14:textId="77777777" w:rsidR="004A245C" w:rsidRPr="0068485C" w:rsidRDefault="004A245C" w:rsidP="005B78DA">
            <w:pPr>
              <w:spacing w:before="20" w:after="20"/>
              <w:rPr>
                <w:color w:val="000000" w:themeColor="text1"/>
                <w:sz w:val="20"/>
              </w:rPr>
            </w:pPr>
            <w:r w:rsidRPr="0068485C">
              <w:rPr>
                <w:sz w:val="20"/>
              </w:rPr>
              <w:tab/>
            </w:r>
            <w:r w:rsidRPr="0068485C">
              <w:rPr>
                <w:rFonts w:eastAsia="Cambria" w:cstheme="majorBidi"/>
                <w:sz w:val="20"/>
              </w:rPr>
              <w:t>if( vme_max_entities_minus1 &gt; 0 )</w:t>
            </w:r>
          </w:p>
        </w:tc>
        <w:tc>
          <w:tcPr>
            <w:tcW w:w="1192" w:type="dxa"/>
          </w:tcPr>
          <w:p w14:paraId="3DCF568E" w14:textId="77777777" w:rsidR="004A245C" w:rsidRPr="0068485C" w:rsidRDefault="004A245C" w:rsidP="005B78DA">
            <w:pPr>
              <w:spacing w:before="20" w:after="20"/>
              <w:jc w:val="center"/>
              <w:rPr>
                <w:color w:val="000000" w:themeColor="text1"/>
                <w:sz w:val="20"/>
              </w:rPr>
            </w:pPr>
          </w:p>
        </w:tc>
      </w:tr>
      <w:tr w:rsidR="004A245C" w:rsidRPr="0068485C" w14:paraId="6EEE6A13" w14:textId="77777777" w:rsidTr="000632C3">
        <w:trPr>
          <w:jc w:val="center"/>
        </w:trPr>
        <w:tc>
          <w:tcPr>
            <w:tcW w:w="8217" w:type="dxa"/>
          </w:tcPr>
          <w:p w14:paraId="4D18FA1A" w14:textId="77777777" w:rsidR="004A245C" w:rsidRPr="0068485C" w:rsidRDefault="004A245C" w:rsidP="005B78DA">
            <w:pPr>
              <w:spacing w:before="20" w:after="20"/>
              <w:rPr>
                <w:color w:val="000000" w:themeColor="text1"/>
                <w:sz w:val="20"/>
              </w:rPr>
            </w:pPr>
            <w:r w:rsidRPr="0068485C">
              <w:rPr>
                <w:color w:val="000000" w:themeColor="text1"/>
                <w:sz w:val="20"/>
              </w:rPr>
              <w:tab/>
            </w:r>
            <w:r w:rsidRPr="0068485C">
              <w:rPr>
                <w:color w:val="000000" w:themeColor="text1"/>
                <w:sz w:val="20"/>
              </w:rPr>
              <w:tab/>
            </w:r>
            <w:r w:rsidRPr="0068485C">
              <w:rPr>
                <w:b/>
                <w:sz w:val="20"/>
              </w:rPr>
              <w:t>pdu_</w:t>
            </w:r>
            <w:r w:rsidRPr="0068485C">
              <w:rPr>
                <w:rFonts w:eastAsia="Cambria" w:cstheme="majorBidi"/>
                <w:b/>
                <w:bCs/>
                <w:sz w:val="20"/>
              </w:rPr>
              <w:t>entity_id</w:t>
            </w:r>
            <w:r w:rsidRPr="0068485C">
              <w:rPr>
                <w:rFonts w:eastAsia="Cambria" w:cstheme="majorBidi"/>
                <w:sz w:val="20"/>
              </w:rPr>
              <w:t xml:space="preserve">[ </w:t>
            </w:r>
            <w:r w:rsidRPr="0068485C">
              <w:rPr>
                <w:color w:val="000000" w:themeColor="text1"/>
                <w:sz w:val="20"/>
              </w:rPr>
              <w:t>p</w:t>
            </w:r>
            <w:r w:rsidRPr="0068485C">
              <w:rPr>
                <w:rFonts w:eastAsia="Cambria" w:cstheme="majorBidi"/>
                <w:sz w:val="20"/>
              </w:rPr>
              <w:t xml:space="preserve"> ] </w:t>
            </w:r>
          </w:p>
        </w:tc>
        <w:tc>
          <w:tcPr>
            <w:tcW w:w="1192" w:type="dxa"/>
          </w:tcPr>
          <w:p w14:paraId="523FA6CA" w14:textId="77777777" w:rsidR="004A245C" w:rsidRPr="0068485C" w:rsidRDefault="004A245C" w:rsidP="005B78DA">
            <w:pPr>
              <w:spacing w:before="20" w:after="20"/>
              <w:jc w:val="center"/>
              <w:rPr>
                <w:color w:val="000000" w:themeColor="text1"/>
                <w:sz w:val="20"/>
              </w:rPr>
            </w:pPr>
            <w:r w:rsidRPr="0068485C">
              <w:rPr>
                <w:rFonts w:eastAsia="Cambria" w:cstheme="majorBidi"/>
                <w:sz w:val="20"/>
              </w:rPr>
              <w:t>u(v)</w:t>
            </w:r>
          </w:p>
        </w:tc>
      </w:tr>
      <w:tr w:rsidR="004A245C" w:rsidRPr="009B6362" w14:paraId="6D9FBD32" w14:textId="77777777" w:rsidTr="000632C3">
        <w:trPr>
          <w:jc w:val="center"/>
        </w:trPr>
        <w:tc>
          <w:tcPr>
            <w:tcW w:w="8217" w:type="dxa"/>
          </w:tcPr>
          <w:p w14:paraId="4B683ACF" w14:textId="77777777" w:rsidR="004A245C" w:rsidRPr="002D1A37" w:rsidRDefault="004A245C" w:rsidP="005B78DA">
            <w:pPr>
              <w:spacing w:before="20" w:after="20"/>
              <w:rPr>
                <w:color w:val="000000" w:themeColor="text1"/>
                <w:sz w:val="20"/>
              </w:rPr>
            </w:pPr>
            <w:r w:rsidRPr="002D1A37">
              <w:rPr>
                <w:sz w:val="20"/>
              </w:rPr>
              <w:tab/>
              <w:t>if( asme_depth_occ_threshold_flag )</w:t>
            </w:r>
          </w:p>
        </w:tc>
        <w:tc>
          <w:tcPr>
            <w:tcW w:w="1192" w:type="dxa"/>
          </w:tcPr>
          <w:p w14:paraId="78A50437" w14:textId="77777777" w:rsidR="004A245C" w:rsidRPr="002D1A37" w:rsidRDefault="004A245C" w:rsidP="005B78DA">
            <w:pPr>
              <w:spacing w:before="20" w:after="20"/>
              <w:jc w:val="center"/>
              <w:rPr>
                <w:rFonts w:eastAsia="Cambria" w:cstheme="majorBidi"/>
              </w:rPr>
            </w:pPr>
          </w:p>
        </w:tc>
      </w:tr>
      <w:tr w:rsidR="004A245C" w:rsidRPr="0068485C" w14:paraId="0F9F2FFB" w14:textId="77777777" w:rsidTr="000632C3">
        <w:trPr>
          <w:jc w:val="center"/>
        </w:trPr>
        <w:tc>
          <w:tcPr>
            <w:tcW w:w="8217" w:type="dxa"/>
          </w:tcPr>
          <w:p w14:paraId="242A13E3" w14:textId="77777777" w:rsidR="004A245C" w:rsidRPr="002D1A37" w:rsidRDefault="004A245C" w:rsidP="005B78DA">
            <w:pPr>
              <w:spacing w:before="20" w:after="20"/>
              <w:rPr>
                <w:rFonts w:eastAsia="Cambria" w:cstheme="majorBidi"/>
                <w:b/>
                <w:bCs/>
                <w:sz w:val="20"/>
              </w:rPr>
            </w:pPr>
            <w:r w:rsidRPr="002D1A37">
              <w:rPr>
                <w:rFonts w:eastAsia="Cambria" w:cstheme="majorBidi"/>
                <w:b/>
                <w:bCs/>
                <w:sz w:val="20"/>
              </w:rPr>
              <w:tab/>
            </w:r>
            <w:r w:rsidRPr="002D1A37">
              <w:rPr>
                <w:rFonts w:eastAsia="Cambria" w:cstheme="majorBidi"/>
                <w:b/>
                <w:bCs/>
                <w:sz w:val="20"/>
              </w:rPr>
              <w:tab/>
              <w:t>pdu_depth_occ_threshold</w:t>
            </w:r>
            <w:r w:rsidRPr="002D1A37">
              <w:rPr>
                <w:rFonts w:eastAsia="Cambria" w:cstheme="majorBidi"/>
                <w:sz w:val="20"/>
              </w:rPr>
              <w:t>[ </w:t>
            </w:r>
            <w:r w:rsidRPr="002D1A37">
              <w:rPr>
                <w:color w:val="000000" w:themeColor="text1"/>
                <w:sz w:val="20"/>
              </w:rPr>
              <w:t>p</w:t>
            </w:r>
            <w:r w:rsidRPr="002D1A37">
              <w:rPr>
                <w:rFonts w:eastAsia="Cambria" w:cstheme="majorBidi"/>
                <w:sz w:val="20"/>
              </w:rPr>
              <w:t> ]</w:t>
            </w:r>
          </w:p>
        </w:tc>
        <w:tc>
          <w:tcPr>
            <w:tcW w:w="1192" w:type="dxa"/>
          </w:tcPr>
          <w:p w14:paraId="7D49B484" w14:textId="77777777" w:rsidR="004A245C" w:rsidRPr="00071E50" w:rsidRDefault="004A245C" w:rsidP="005B78DA">
            <w:pPr>
              <w:spacing w:before="20" w:after="20"/>
              <w:jc w:val="center"/>
              <w:rPr>
                <w:rFonts w:eastAsia="Cambria" w:cstheme="majorBidi"/>
                <w:sz w:val="20"/>
              </w:rPr>
            </w:pPr>
            <w:r w:rsidRPr="00071E50">
              <w:rPr>
                <w:rFonts w:eastAsia="Cambria" w:cstheme="majorBidi"/>
                <w:sz w:val="20"/>
              </w:rPr>
              <w:t>u(v)</w:t>
            </w:r>
          </w:p>
        </w:tc>
      </w:tr>
      <w:tr w:rsidR="004A245C" w:rsidRPr="0068485C" w14:paraId="48812681" w14:textId="77777777" w:rsidTr="000632C3">
        <w:trPr>
          <w:jc w:val="center"/>
        </w:trPr>
        <w:tc>
          <w:tcPr>
            <w:tcW w:w="8217" w:type="dxa"/>
          </w:tcPr>
          <w:p w14:paraId="690065C1" w14:textId="0396A509" w:rsidR="004A245C" w:rsidRPr="0068485C" w:rsidRDefault="005B78DA" w:rsidP="005B78DA">
            <w:pPr>
              <w:spacing w:before="20" w:after="20"/>
              <w:rPr>
                <w:rFonts w:eastAsia="Cambria" w:cstheme="majorBidi"/>
                <w:b/>
                <w:bCs/>
                <w:sz w:val="20"/>
              </w:rPr>
            </w:pPr>
            <w:r w:rsidRPr="002D1A37">
              <w:rPr>
                <w:sz w:val="20"/>
              </w:rPr>
              <w:tab/>
            </w:r>
            <w:r w:rsidR="004A245C" w:rsidRPr="0091203A">
              <w:rPr>
                <w:b/>
                <w:bCs/>
                <w:color w:val="FF0000"/>
                <w:sz w:val="20"/>
              </w:rPr>
              <w:t>pdu_cardboard_flag</w:t>
            </w:r>
            <w:r w:rsidR="008E5688" w:rsidRPr="00FB6B7B">
              <w:rPr>
                <w:color w:val="FF0000"/>
                <w:sz w:val="20"/>
              </w:rPr>
              <w:t>[ p ]</w:t>
            </w:r>
          </w:p>
        </w:tc>
        <w:tc>
          <w:tcPr>
            <w:tcW w:w="1192" w:type="dxa"/>
          </w:tcPr>
          <w:p w14:paraId="4F4C9872" w14:textId="77777777" w:rsidR="004A245C" w:rsidRPr="00071E50" w:rsidRDefault="004A245C" w:rsidP="005B78DA">
            <w:pPr>
              <w:spacing w:before="20" w:after="20"/>
              <w:jc w:val="center"/>
              <w:rPr>
                <w:rFonts w:eastAsia="Cambria" w:cstheme="majorBidi"/>
                <w:sz w:val="20"/>
              </w:rPr>
            </w:pPr>
            <w:r w:rsidRPr="00FB6B7B">
              <w:rPr>
                <w:color w:val="FF0000"/>
                <w:sz w:val="20"/>
              </w:rPr>
              <w:t>u(1)</w:t>
            </w:r>
          </w:p>
        </w:tc>
      </w:tr>
      <w:tr w:rsidR="004A245C" w:rsidRPr="0068485C" w14:paraId="6CF5A5D7" w14:textId="77777777" w:rsidTr="000632C3">
        <w:trPr>
          <w:jc w:val="center"/>
        </w:trPr>
        <w:tc>
          <w:tcPr>
            <w:tcW w:w="8217" w:type="dxa"/>
          </w:tcPr>
          <w:p w14:paraId="1DAEFB95" w14:textId="75108778" w:rsidR="004A245C" w:rsidRPr="00A743FB" w:rsidRDefault="005B78DA" w:rsidP="005B78DA">
            <w:pPr>
              <w:spacing w:before="20" w:after="20"/>
              <w:rPr>
                <w:color w:val="FF0000"/>
                <w:sz w:val="20"/>
              </w:rPr>
            </w:pPr>
            <w:r w:rsidRPr="002D1A37">
              <w:rPr>
                <w:sz w:val="20"/>
              </w:rPr>
              <w:tab/>
            </w:r>
            <w:r w:rsidR="004A245C" w:rsidRPr="00A743FB">
              <w:rPr>
                <w:color w:val="FF0000"/>
                <w:sz w:val="20"/>
              </w:rPr>
              <w:t>if (</w:t>
            </w:r>
            <w:r w:rsidR="004A245C">
              <w:rPr>
                <w:color w:val="FF0000"/>
                <w:sz w:val="20"/>
              </w:rPr>
              <w:t xml:space="preserve"> </w:t>
            </w:r>
            <w:r w:rsidR="004A245C" w:rsidRPr="00A743FB">
              <w:rPr>
                <w:color w:val="FF0000"/>
                <w:sz w:val="20"/>
              </w:rPr>
              <w:t>pdu_cardboard_flag</w:t>
            </w:r>
            <w:r w:rsidR="008E5688">
              <w:rPr>
                <w:color w:val="FF0000"/>
                <w:sz w:val="20"/>
              </w:rPr>
              <w:t>[ p ]</w:t>
            </w:r>
            <w:r w:rsidR="004A245C">
              <w:rPr>
                <w:color w:val="FF0000"/>
                <w:sz w:val="20"/>
              </w:rPr>
              <w:t xml:space="preserve"> </w:t>
            </w:r>
            <w:r w:rsidR="004A245C" w:rsidRPr="00A743FB">
              <w:rPr>
                <w:color w:val="FF0000"/>
                <w:sz w:val="20"/>
              </w:rPr>
              <w:t>)</w:t>
            </w:r>
            <w:r w:rsidR="0041749C">
              <w:rPr>
                <w:color w:val="FF0000"/>
                <w:sz w:val="20"/>
              </w:rPr>
              <w:t xml:space="preserve"> {</w:t>
            </w:r>
          </w:p>
        </w:tc>
        <w:tc>
          <w:tcPr>
            <w:tcW w:w="1192" w:type="dxa"/>
          </w:tcPr>
          <w:p w14:paraId="5CF63900" w14:textId="77777777" w:rsidR="004A245C" w:rsidRDefault="004A245C" w:rsidP="005B78DA">
            <w:pPr>
              <w:spacing w:before="20" w:after="20"/>
              <w:jc w:val="center"/>
              <w:rPr>
                <w:color w:val="000000" w:themeColor="text1"/>
                <w:sz w:val="20"/>
              </w:rPr>
            </w:pPr>
          </w:p>
        </w:tc>
      </w:tr>
      <w:tr w:rsidR="0041749C" w:rsidRPr="0068485C" w14:paraId="52A14EDC" w14:textId="77777777" w:rsidTr="000632C3">
        <w:trPr>
          <w:jc w:val="center"/>
        </w:trPr>
        <w:tc>
          <w:tcPr>
            <w:tcW w:w="8217" w:type="dxa"/>
          </w:tcPr>
          <w:p w14:paraId="55244432" w14:textId="3A3422AB" w:rsidR="0041749C" w:rsidRPr="002D1A37" w:rsidRDefault="0041749C" w:rsidP="0041749C">
            <w:pPr>
              <w:spacing w:before="20" w:after="20"/>
              <w:rPr>
                <w:sz w:val="20"/>
              </w:rPr>
            </w:pPr>
            <w:r w:rsidRPr="0068485C">
              <w:rPr>
                <w:color w:val="000000" w:themeColor="text1"/>
                <w:sz w:val="20"/>
              </w:rPr>
              <w:tab/>
            </w:r>
            <w:r w:rsidRPr="0068485C">
              <w:rPr>
                <w:color w:val="000000" w:themeColor="text1"/>
                <w:sz w:val="20"/>
              </w:rPr>
              <w:tab/>
            </w:r>
            <w:r w:rsidRPr="008E5688">
              <w:rPr>
                <w:b/>
                <w:bCs/>
                <w:color w:val="FF0000"/>
                <w:sz w:val="20"/>
              </w:rPr>
              <w:t>pdu_fully_occupied_flag</w:t>
            </w:r>
            <w:r w:rsidRPr="00FB6B7B">
              <w:rPr>
                <w:color w:val="FF0000"/>
                <w:sz w:val="20"/>
              </w:rPr>
              <w:t>[ p ]</w:t>
            </w:r>
          </w:p>
        </w:tc>
        <w:tc>
          <w:tcPr>
            <w:tcW w:w="1192" w:type="dxa"/>
          </w:tcPr>
          <w:p w14:paraId="6B590EFF" w14:textId="7D22CFE9" w:rsidR="0041749C" w:rsidRDefault="0041749C" w:rsidP="0041749C">
            <w:pPr>
              <w:spacing w:before="20" w:after="20"/>
              <w:jc w:val="center"/>
              <w:rPr>
                <w:color w:val="000000" w:themeColor="text1"/>
                <w:sz w:val="20"/>
              </w:rPr>
            </w:pPr>
            <w:r w:rsidRPr="00373ABC">
              <w:rPr>
                <w:color w:val="FF0000"/>
                <w:sz w:val="20"/>
              </w:rPr>
              <w:t>u(1)</w:t>
            </w:r>
          </w:p>
        </w:tc>
      </w:tr>
      <w:tr w:rsidR="0041749C" w:rsidRPr="0068485C" w14:paraId="124D0BEC" w14:textId="77777777" w:rsidTr="000632C3">
        <w:trPr>
          <w:jc w:val="center"/>
        </w:trPr>
        <w:tc>
          <w:tcPr>
            <w:tcW w:w="8217" w:type="dxa"/>
          </w:tcPr>
          <w:p w14:paraId="26E81813" w14:textId="0DE1673E" w:rsidR="0041749C" w:rsidRPr="00FB6B7B" w:rsidRDefault="0041749C" w:rsidP="0041749C">
            <w:pPr>
              <w:spacing w:before="20" w:after="20"/>
              <w:rPr>
                <w:b/>
                <w:bCs/>
                <w:color w:val="FF0000"/>
                <w:sz w:val="20"/>
              </w:rPr>
            </w:pPr>
            <w:r w:rsidRPr="00373ABC">
              <w:rPr>
                <w:color w:val="FF0000"/>
                <w:sz w:val="20"/>
              </w:rPr>
              <w:tab/>
            </w:r>
            <w:r w:rsidRPr="00373ABC">
              <w:rPr>
                <w:color w:val="FF0000"/>
                <w:sz w:val="20"/>
              </w:rPr>
              <w:tab/>
            </w:r>
            <w:r w:rsidRPr="00FB6B7B">
              <w:rPr>
                <w:b/>
                <w:bCs/>
                <w:color w:val="FF0000"/>
                <w:sz w:val="20"/>
              </w:rPr>
              <w:t>pdu_zconst</w:t>
            </w:r>
            <w:r w:rsidRPr="00FB6B7B">
              <w:rPr>
                <w:color w:val="FF0000"/>
                <w:sz w:val="20"/>
              </w:rPr>
              <w:t>[ p ]</w:t>
            </w:r>
          </w:p>
        </w:tc>
        <w:tc>
          <w:tcPr>
            <w:tcW w:w="1192" w:type="dxa"/>
          </w:tcPr>
          <w:p w14:paraId="30F06B31" w14:textId="60AB752D" w:rsidR="0041749C" w:rsidRPr="00373ABC" w:rsidRDefault="0041749C" w:rsidP="0041749C">
            <w:pPr>
              <w:spacing w:before="20" w:after="20"/>
              <w:jc w:val="center"/>
              <w:rPr>
                <w:color w:val="FF0000"/>
                <w:sz w:val="20"/>
              </w:rPr>
            </w:pPr>
            <w:r w:rsidRPr="00373ABC">
              <w:rPr>
                <w:color w:val="FF0000"/>
                <w:sz w:val="20"/>
              </w:rPr>
              <w:t>fl(</w:t>
            </w:r>
            <w:r w:rsidR="00AB0248">
              <w:rPr>
                <w:color w:val="FF0000"/>
                <w:sz w:val="20"/>
              </w:rPr>
              <w:t>16</w:t>
            </w:r>
            <w:r w:rsidRPr="00373ABC">
              <w:rPr>
                <w:color w:val="FF0000"/>
                <w:sz w:val="20"/>
              </w:rPr>
              <w:t>)</w:t>
            </w:r>
          </w:p>
        </w:tc>
      </w:tr>
      <w:tr w:rsidR="00E31013" w:rsidRPr="0068485C" w14:paraId="39C01D72" w14:textId="77777777" w:rsidTr="000632C3">
        <w:trPr>
          <w:jc w:val="center"/>
        </w:trPr>
        <w:tc>
          <w:tcPr>
            <w:tcW w:w="8217" w:type="dxa"/>
          </w:tcPr>
          <w:p w14:paraId="341CEE5B" w14:textId="6A6D792D" w:rsidR="00E31013" w:rsidRPr="00373ABC" w:rsidRDefault="00E31013" w:rsidP="0041749C">
            <w:pPr>
              <w:spacing w:before="20" w:after="20"/>
              <w:rPr>
                <w:color w:val="FF0000"/>
                <w:sz w:val="20"/>
              </w:rPr>
            </w:pPr>
            <w:r w:rsidRPr="00657876">
              <w:rPr>
                <w:color w:val="FF0000"/>
                <w:sz w:val="20"/>
              </w:rPr>
              <w:tab/>
            </w:r>
            <w:r>
              <w:rPr>
                <w:color w:val="FF0000"/>
                <w:sz w:val="20"/>
              </w:rPr>
              <w:t>}</w:t>
            </w:r>
          </w:p>
        </w:tc>
        <w:tc>
          <w:tcPr>
            <w:tcW w:w="1192" w:type="dxa"/>
          </w:tcPr>
          <w:p w14:paraId="54F0ECFA" w14:textId="77777777" w:rsidR="00E31013" w:rsidRPr="00E31013" w:rsidRDefault="00E31013" w:rsidP="0041749C">
            <w:pPr>
              <w:spacing w:before="20" w:after="20"/>
              <w:jc w:val="center"/>
              <w:rPr>
                <w:color w:val="FF0000"/>
                <w:sz w:val="20"/>
              </w:rPr>
            </w:pPr>
          </w:p>
        </w:tc>
      </w:tr>
      <w:tr w:rsidR="0041749C" w:rsidRPr="0068485C" w14:paraId="7E12F207" w14:textId="77777777" w:rsidTr="000632C3">
        <w:trPr>
          <w:jc w:val="center"/>
        </w:trPr>
        <w:tc>
          <w:tcPr>
            <w:tcW w:w="8217" w:type="dxa"/>
          </w:tcPr>
          <w:p w14:paraId="30CF1D66" w14:textId="77777777" w:rsidR="0041749C" w:rsidRPr="0068485C" w:rsidRDefault="0041749C" w:rsidP="0041749C">
            <w:pPr>
              <w:spacing w:before="20" w:after="20"/>
              <w:rPr>
                <w:color w:val="000000" w:themeColor="text1"/>
                <w:sz w:val="20"/>
              </w:rPr>
            </w:pPr>
            <w:r w:rsidRPr="0068485C">
              <w:rPr>
                <w:color w:val="000000" w:themeColor="text1"/>
                <w:sz w:val="20"/>
              </w:rPr>
              <w:t>}</w:t>
            </w:r>
          </w:p>
        </w:tc>
        <w:tc>
          <w:tcPr>
            <w:tcW w:w="1192" w:type="dxa"/>
          </w:tcPr>
          <w:p w14:paraId="14A7A288" w14:textId="77777777" w:rsidR="0041749C" w:rsidRPr="0068485C" w:rsidRDefault="0041749C" w:rsidP="0041749C">
            <w:pPr>
              <w:spacing w:before="20" w:after="20"/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3836CFA0" w14:textId="458239F5" w:rsidR="005E6752" w:rsidRDefault="0095204D" w:rsidP="005B78DA">
      <w:pPr>
        <w:pStyle w:val="Caption"/>
        <w:keepNext/>
        <w:spacing w:before="120"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Ref43737630"/>
      <w:r w:rsidRPr="0095204D">
        <w:rPr>
          <w:rFonts w:ascii="Times New Roman" w:hAnsi="Times New Roman" w:cs="Times New Roman"/>
          <w:color w:val="auto"/>
          <w:sz w:val="22"/>
          <w:szCs w:val="22"/>
        </w:rPr>
        <w:t xml:space="preserve">Table 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instrText xml:space="preserve"> SEQ Table \* ARABIC </w:instrTex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Pr="0095204D">
        <w:rPr>
          <w:rFonts w:ascii="Times New Roman" w:hAnsi="Times New Roman" w:cs="Times New Roman"/>
          <w:noProof/>
          <w:color w:val="auto"/>
          <w:sz w:val="22"/>
          <w:szCs w:val="22"/>
        </w:rPr>
        <w:t>1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bookmarkEnd w:id="2"/>
      <w:r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t xml:space="preserve"> MIV </w:t>
      </w:r>
      <w:r w:rsidR="00FB6B7B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t>yntax update at patch level (changes in red).</w:t>
      </w:r>
    </w:p>
    <w:p w14:paraId="38302CCC" w14:textId="77777777" w:rsidR="00231A39" w:rsidRPr="00231A39" w:rsidRDefault="00231A39" w:rsidP="00231A39">
      <w:pPr>
        <w:rPr>
          <w:lang w:val="en-GB"/>
        </w:rPr>
      </w:pPr>
    </w:p>
    <w:p w14:paraId="66490E49" w14:textId="30AC94D3" w:rsidR="008E5688" w:rsidRDefault="008E5688" w:rsidP="005B78DA">
      <w:pPr>
        <w:spacing w:after="120"/>
        <w:rPr>
          <w:lang w:val="en-GB"/>
        </w:rPr>
      </w:pPr>
      <w:r w:rsidRPr="008E5688">
        <w:rPr>
          <w:b/>
          <w:bCs/>
          <w:lang w:val="en-GB"/>
        </w:rPr>
        <w:t>pdu_cardboard_flag[</w:t>
      </w:r>
      <w:r w:rsidR="000F63C0">
        <w:rPr>
          <w:lang w:val="en-GB"/>
        </w:rPr>
        <w:t> </w:t>
      </w:r>
      <w:r w:rsidRPr="008E5688">
        <w:rPr>
          <w:b/>
          <w:bCs/>
          <w:lang w:val="en-GB"/>
        </w:rPr>
        <w:t>p</w:t>
      </w:r>
      <w:r w:rsidR="000F63C0">
        <w:rPr>
          <w:lang w:val="en-GB"/>
        </w:rPr>
        <w:t> </w:t>
      </w:r>
      <w:r w:rsidRPr="008E5688">
        <w:rPr>
          <w:b/>
          <w:bCs/>
          <w:lang w:val="en-GB"/>
        </w:rPr>
        <w:t>]</w:t>
      </w:r>
      <w:r>
        <w:rPr>
          <w:lang w:val="en-GB"/>
        </w:rPr>
        <w:t xml:space="preserve"> equal to 1 indicates that the patch is a “cardboard” patch, i.e. of constant depth value and without </w:t>
      </w:r>
      <w:r w:rsidR="00024982">
        <w:rPr>
          <w:lang w:val="en-GB"/>
        </w:rPr>
        <w:t>attached</w:t>
      </w:r>
      <w:r>
        <w:rPr>
          <w:lang w:val="en-GB"/>
        </w:rPr>
        <w:t xml:space="preserve"> patch depth component in the depth </w:t>
      </w:r>
      <w:r w:rsidR="00024982">
        <w:rPr>
          <w:lang w:val="en-GB"/>
        </w:rPr>
        <w:t xml:space="preserve">patch </w:t>
      </w:r>
      <w:r>
        <w:rPr>
          <w:lang w:val="en-GB"/>
        </w:rPr>
        <w:t xml:space="preserve">atlas. </w:t>
      </w:r>
      <w:r w:rsidRPr="008E5688">
        <w:rPr>
          <w:lang w:val="en-GB"/>
        </w:rPr>
        <w:t>pdu_cardboard_flag[</w:t>
      </w:r>
      <w:r w:rsidR="00024982">
        <w:rPr>
          <w:lang w:val="en-GB"/>
        </w:rPr>
        <w:t> </w:t>
      </w:r>
      <w:r w:rsidRPr="008E5688">
        <w:rPr>
          <w:lang w:val="en-GB"/>
        </w:rPr>
        <w:t>p</w:t>
      </w:r>
      <w:r w:rsidR="00024982">
        <w:rPr>
          <w:lang w:val="en-GB"/>
        </w:rPr>
        <w:t> </w:t>
      </w:r>
      <w:r w:rsidRPr="008E5688">
        <w:rPr>
          <w:lang w:val="en-GB"/>
        </w:rPr>
        <w:t>]</w:t>
      </w:r>
      <w:r>
        <w:rPr>
          <w:lang w:val="en-GB"/>
        </w:rPr>
        <w:t xml:space="preserve"> equal to 0 indicates that the patch is a regular patch. When not present, </w:t>
      </w:r>
      <w:r w:rsidR="00212715">
        <w:rPr>
          <w:lang w:val="en-GB"/>
        </w:rPr>
        <w:t>the value</w:t>
      </w:r>
      <w:r w:rsidR="000F63C0">
        <w:rPr>
          <w:lang w:val="en-GB"/>
        </w:rPr>
        <w:t xml:space="preserve"> of</w:t>
      </w:r>
      <w:r w:rsidR="00212715">
        <w:rPr>
          <w:lang w:val="en-GB"/>
        </w:rPr>
        <w:t xml:space="preserve"> </w:t>
      </w:r>
      <w:r w:rsidRPr="008E5688">
        <w:rPr>
          <w:lang w:val="en-GB"/>
        </w:rPr>
        <w:t>pdu_cardboard_flag[</w:t>
      </w:r>
      <w:r w:rsidR="00001131">
        <w:rPr>
          <w:lang w:val="en-GB"/>
        </w:rPr>
        <w:t> </w:t>
      </w:r>
      <w:r w:rsidRPr="008E5688">
        <w:rPr>
          <w:lang w:val="en-GB"/>
        </w:rPr>
        <w:t>p</w:t>
      </w:r>
      <w:r w:rsidR="00001131">
        <w:rPr>
          <w:lang w:val="en-GB"/>
        </w:rPr>
        <w:t> </w:t>
      </w:r>
      <w:r w:rsidRPr="008E5688">
        <w:rPr>
          <w:lang w:val="en-GB"/>
        </w:rPr>
        <w:t>]</w:t>
      </w:r>
      <w:r>
        <w:rPr>
          <w:lang w:val="en-GB"/>
        </w:rPr>
        <w:t xml:space="preserve"> is inferred to be equal to 0.</w:t>
      </w:r>
    </w:p>
    <w:p w14:paraId="7D3B61AB" w14:textId="5A50C01B" w:rsidR="008E5688" w:rsidRDefault="00DB0CDB" w:rsidP="005B78DA">
      <w:pPr>
        <w:rPr>
          <w:lang w:val="en-GB"/>
        </w:rPr>
      </w:pPr>
      <w:r w:rsidRPr="008E5688">
        <w:rPr>
          <w:b/>
          <w:bCs/>
          <w:lang w:val="en-GB"/>
        </w:rPr>
        <w:t>pdu_</w:t>
      </w:r>
      <w:r>
        <w:rPr>
          <w:b/>
          <w:bCs/>
          <w:lang w:val="en-GB"/>
        </w:rPr>
        <w:t>fully_occupied_flag</w:t>
      </w:r>
      <w:r w:rsidRPr="008E5688">
        <w:rPr>
          <w:b/>
          <w:bCs/>
          <w:lang w:val="en-GB"/>
        </w:rPr>
        <w:t>[</w:t>
      </w:r>
      <w:r w:rsidR="000F63C0">
        <w:rPr>
          <w:lang w:val="en-GB"/>
        </w:rPr>
        <w:t> </w:t>
      </w:r>
      <w:r w:rsidRPr="008E5688">
        <w:rPr>
          <w:b/>
          <w:bCs/>
          <w:lang w:val="en-GB"/>
        </w:rPr>
        <w:t>p</w:t>
      </w:r>
      <w:r w:rsidR="000F63C0">
        <w:rPr>
          <w:lang w:val="en-GB"/>
        </w:rPr>
        <w:t> </w:t>
      </w:r>
      <w:r w:rsidRPr="008E5688">
        <w:rPr>
          <w:b/>
          <w:bCs/>
          <w:lang w:val="en-GB"/>
        </w:rPr>
        <w:t>]</w:t>
      </w:r>
      <w:r>
        <w:rPr>
          <w:lang w:val="en-GB"/>
        </w:rPr>
        <w:t xml:space="preserve"> equal to 1 indicates that all pixels within the patch are valid pixels. </w:t>
      </w:r>
      <w:r w:rsidRPr="00DB0CDB">
        <w:rPr>
          <w:lang w:val="en-GB"/>
        </w:rPr>
        <w:t>pdu_fully_occupied_flag[</w:t>
      </w:r>
      <w:r w:rsidR="000F63C0">
        <w:rPr>
          <w:lang w:val="en-GB"/>
        </w:rPr>
        <w:t> </w:t>
      </w:r>
      <w:r w:rsidRPr="00DB0CDB">
        <w:rPr>
          <w:lang w:val="en-GB"/>
        </w:rPr>
        <w:t>p</w:t>
      </w:r>
      <w:r w:rsidR="000F63C0">
        <w:rPr>
          <w:lang w:val="en-GB"/>
        </w:rPr>
        <w:t> </w:t>
      </w:r>
      <w:r w:rsidRPr="00DB0CDB">
        <w:rPr>
          <w:lang w:val="en-GB"/>
        </w:rPr>
        <w:t>]</w:t>
      </w:r>
      <w:r>
        <w:rPr>
          <w:lang w:val="en-GB"/>
        </w:rPr>
        <w:t xml:space="preserve"> equal to 0 indicates that there may be invalid pixels within the patch.</w:t>
      </w:r>
    </w:p>
    <w:p w14:paraId="7678F8E8" w14:textId="19F1D811" w:rsidR="00A41E8E" w:rsidRDefault="00A41E8E" w:rsidP="005B78DA">
      <w:pPr>
        <w:rPr>
          <w:lang w:val="en-GB"/>
        </w:rPr>
      </w:pPr>
    </w:p>
    <w:p w14:paraId="50F6BCBB" w14:textId="5330347F" w:rsidR="0041749C" w:rsidRDefault="00040E9A" w:rsidP="00373ABC">
      <w:pPr>
        <w:pStyle w:val="Heading3"/>
        <w:rPr>
          <w:lang w:val="en-GB"/>
        </w:rPr>
      </w:pPr>
      <w:r>
        <w:rPr>
          <w:lang w:val="en-GB"/>
        </w:rPr>
        <w:t>Signaling</w:t>
      </w:r>
      <w:r w:rsidR="0041749C">
        <w:rPr>
          <w:lang w:val="en-GB"/>
        </w:rPr>
        <w:t xml:space="preserve"> of cardboard patch constant depth value</w:t>
      </w:r>
    </w:p>
    <w:p w14:paraId="24D06ADA" w14:textId="416698C9" w:rsidR="00E31013" w:rsidRDefault="00A24E97" w:rsidP="00373ABC">
      <w:pPr>
        <w:spacing w:after="120"/>
        <w:rPr>
          <w:lang w:val="en-GB"/>
        </w:rPr>
      </w:pPr>
      <w:r>
        <w:rPr>
          <w:lang w:val="en-GB"/>
        </w:rPr>
        <w:t>To signal the depth information of the carboard patches, a</w:t>
      </w:r>
      <w:r w:rsidR="00E31013">
        <w:rPr>
          <w:lang w:val="en-GB"/>
        </w:rPr>
        <w:t xml:space="preserve"> first solution</w:t>
      </w:r>
      <w:r>
        <w:rPr>
          <w:lang w:val="en-GB"/>
        </w:rPr>
        <w:t xml:space="preserve"> </w:t>
      </w:r>
      <w:r w:rsidR="00E31013">
        <w:rPr>
          <w:lang w:val="en-GB"/>
        </w:rPr>
        <w:t xml:space="preserve">is </w:t>
      </w:r>
      <w:r w:rsidR="00E31013" w:rsidRPr="00373ABC">
        <w:rPr>
          <w:b/>
          <w:bCs/>
          <w:lang w:val="en-GB"/>
        </w:rPr>
        <w:t>to add a new pdu_zconst</w:t>
      </w:r>
      <w:r w:rsidR="000F63C0">
        <w:rPr>
          <w:b/>
          <w:bCs/>
          <w:lang w:val="en-GB"/>
        </w:rPr>
        <w:t>[</w:t>
      </w:r>
      <w:r w:rsidR="000F63C0">
        <w:rPr>
          <w:lang w:val="en-GB"/>
        </w:rPr>
        <w:t> </w:t>
      </w:r>
      <w:r w:rsidR="000F63C0">
        <w:rPr>
          <w:b/>
          <w:bCs/>
          <w:lang w:val="en-GB"/>
        </w:rPr>
        <w:t>p</w:t>
      </w:r>
      <w:r w:rsidR="000F63C0">
        <w:rPr>
          <w:lang w:val="en-GB"/>
        </w:rPr>
        <w:t> </w:t>
      </w:r>
      <w:r w:rsidR="000F63C0">
        <w:rPr>
          <w:b/>
          <w:bCs/>
          <w:lang w:val="en-GB"/>
        </w:rPr>
        <w:t>]</w:t>
      </w:r>
      <w:r w:rsidR="00E31013" w:rsidRPr="00373ABC">
        <w:rPr>
          <w:b/>
          <w:bCs/>
          <w:lang w:val="en-GB"/>
        </w:rPr>
        <w:t xml:space="preserve"> syntax element</w:t>
      </w:r>
      <w:r w:rsidR="00E31013">
        <w:rPr>
          <w:lang w:val="en-GB"/>
        </w:rPr>
        <w:t xml:space="preserve"> to the MIV extension of the </w:t>
      </w:r>
      <w:r w:rsidR="00E31013" w:rsidRPr="002D2590">
        <w:t>patch_data_unit(</w:t>
      </w:r>
      <w:r w:rsidR="00887B76">
        <w:t xml:space="preserve"> p</w:t>
      </w:r>
      <w:r w:rsidR="00E31013" w:rsidRPr="002D2590">
        <w:t xml:space="preserve"> ) structure</w:t>
      </w:r>
      <w:r w:rsidR="00E31013">
        <w:t xml:space="preserve"> as described in </w:t>
      </w:r>
      <w:r w:rsidR="00123579" w:rsidRPr="00FB6B7B">
        <w:fldChar w:fldCharType="begin"/>
      </w:r>
      <w:r w:rsidR="00123579" w:rsidRPr="00FB6B7B">
        <w:instrText xml:space="preserve"> REF _Ref43737630 \h </w:instrText>
      </w:r>
      <w:r w:rsidR="00FB6B7B">
        <w:instrText xml:space="preserve"> \* MERGEFORMAT </w:instrText>
      </w:r>
      <w:r w:rsidR="00123579" w:rsidRPr="00FB6B7B">
        <w:fldChar w:fldCharType="separate"/>
      </w:r>
      <w:r w:rsidR="00123579" w:rsidRPr="00FB6B7B">
        <w:t xml:space="preserve">Table </w:t>
      </w:r>
      <w:r w:rsidR="00123579" w:rsidRPr="00FB6B7B">
        <w:rPr>
          <w:noProof/>
        </w:rPr>
        <w:t>1</w:t>
      </w:r>
      <w:r w:rsidR="00123579" w:rsidRPr="00FB6B7B">
        <w:fldChar w:fldCharType="end"/>
      </w:r>
      <w:r w:rsidR="00123579">
        <w:t>.</w:t>
      </w:r>
    </w:p>
    <w:p w14:paraId="6DFABA59" w14:textId="47785970" w:rsidR="00A41E8E" w:rsidRDefault="00A24E97" w:rsidP="00373ABC">
      <w:pPr>
        <w:spacing w:after="120"/>
      </w:pPr>
      <w:r>
        <w:rPr>
          <w:lang w:val="en-GB"/>
        </w:rPr>
        <w:t>A</w:t>
      </w:r>
      <w:r w:rsidR="00123579">
        <w:rPr>
          <w:lang w:val="en-GB"/>
        </w:rPr>
        <w:t xml:space="preserve">n alternative </w:t>
      </w:r>
      <w:r w:rsidR="00A41E8E">
        <w:rPr>
          <w:lang w:val="en-GB"/>
        </w:rPr>
        <w:t xml:space="preserve">solution </w:t>
      </w:r>
      <w:r w:rsidR="00024982">
        <w:rPr>
          <w:lang w:val="en-GB"/>
        </w:rPr>
        <w:t>is</w:t>
      </w:r>
      <w:r w:rsidR="00A41E8E">
        <w:rPr>
          <w:lang w:val="en-GB"/>
        </w:rPr>
        <w:t xml:space="preserve"> </w:t>
      </w:r>
      <w:r w:rsidR="00A41E8E" w:rsidRPr="00212715">
        <w:rPr>
          <w:b/>
          <w:bCs/>
          <w:lang w:val="en-GB"/>
        </w:rPr>
        <w:t xml:space="preserve">to reinterpret (new semantics) </w:t>
      </w:r>
      <w:r w:rsidR="00A41E8E" w:rsidRPr="00212715">
        <w:rPr>
          <w:b/>
          <w:bCs/>
        </w:rPr>
        <w:t>the value of the pdu_depth_start syntax element</w:t>
      </w:r>
      <w:r w:rsidR="00A41E8E" w:rsidRPr="00212715">
        <w:rPr>
          <w:color w:val="FF0000"/>
        </w:rPr>
        <w:t xml:space="preserve"> </w:t>
      </w:r>
      <w:r w:rsidR="00A41E8E">
        <w:t>of the patch_data_unit(</w:t>
      </w:r>
      <w:r w:rsidR="00094311">
        <w:rPr>
          <w:lang w:val="en-GB"/>
        </w:rPr>
        <w:t> </w:t>
      </w:r>
      <w:r w:rsidR="00A41E8E">
        <w:t>p</w:t>
      </w:r>
      <w:r w:rsidR="00094311">
        <w:rPr>
          <w:lang w:val="en-GB"/>
        </w:rPr>
        <w:t> </w:t>
      </w:r>
      <w:r w:rsidR="00A41E8E">
        <w:t>) syntax structure as the actual depth of the patch (and pdu_depth_end should be enforced to be equal to pdu_depth_start).</w:t>
      </w:r>
    </w:p>
    <w:p w14:paraId="0F9CD1DE" w14:textId="68F60AEE" w:rsidR="003D70B0" w:rsidRDefault="002103EF" w:rsidP="005B78DA">
      <w:pPr>
        <w:pStyle w:val="Heading2"/>
      </w:pPr>
      <w:bookmarkStart w:id="3" w:name="_Ref43745964"/>
      <w:r>
        <w:lastRenderedPageBreak/>
        <w:t>Atlas level</w:t>
      </w:r>
      <w:bookmarkEnd w:id="3"/>
    </w:p>
    <w:p w14:paraId="68E61D60" w14:textId="542A11B5" w:rsidR="00FB6B7B" w:rsidRDefault="005B78DA" w:rsidP="00FB6B7B">
      <w:r>
        <w:t xml:space="preserve">A </w:t>
      </w:r>
      <w:r w:rsidR="00074A64">
        <w:t xml:space="preserve">second </w:t>
      </w:r>
      <w:r>
        <w:t xml:space="preserve">and </w:t>
      </w:r>
      <w:r w:rsidR="00212715">
        <w:t>complementary</w:t>
      </w:r>
      <w:r>
        <w:t xml:space="preserve"> way to do </w:t>
      </w:r>
      <w:r w:rsidR="00212715">
        <w:t>is</w:t>
      </w:r>
      <w:r>
        <w:t xml:space="preserve"> to embed the </w:t>
      </w:r>
      <w:r w:rsidR="00040E9A">
        <w:t>signaling</w:t>
      </w:r>
      <w:r>
        <w:t xml:space="preserve"> at the atlas level. In that scenario, </w:t>
      </w:r>
      <w:r w:rsidRPr="002103EF">
        <w:t xml:space="preserve">the asme_cardboard_flag </w:t>
      </w:r>
      <w:r>
        <w:t xml:space="preserve">flag within the ASPS syntax structure (see </w:t>
      </w:r>
      <w:r w:rsidR="00074A64" w:rsidRPr="00FB6B7B">
        <w:fldChar w:fldCharType="begin"/>
      </w:r>
      <w:r w:rsidR="00074A64" w:rsidRPr="00FB6B7B">
        <w:instrText xml:space="preserve"> REF _Ref43797645 \h </w:instrText>
      </w:r>
      <w:r w:rsidR="00FB6B7B">
        <w:instrText xml:space="preserve"> \* MERGEFORMAT </w:instrText>
      </w:r>
      <w:r w:rsidR="00074A64" w:rsidRPr="00FB6B7B">
        <w:fldChar w:fldCharType="separate"/>
      </w:r>
      <w:r w:rsidR="00074A64" w:rsidRPr="00FB6B7B">
        <w:t xml:space="preserve">Table </w:t>
      </w:r>
      <w:r w:rsidR="009B342E" w:rsidRPr="00FB6B7B">
        <w:rPr>
          <w:noProof/>
        </w:rPr>
        <w:t>3</w:t>
      </w:r>
      <w:r w:rsidR="00074A64" w:rsidRPr="00FB6B7B">
        <w:fldChar w:fldCharType="end"/>
      </w:r>
      <w:r w:rsidRPr="00FB6B7B">
        <w:t>)</w:t>
      </w:r>
      <w:r>
        <w:t xml:space="preserve"> would inform the decoder that all patches associated to this specific atlas are carboard patches and that depth information should be retrieved from per patch information  rather than from a geometry atlas frame. One could </w:t>
      </w:r>
      <w:r w:rsidR="00212715">
        <w:t xml:space="preserve">indeed </w:t>
      </w:r>
      <w:r>
        <w:t>decide to group all cardboard patches within a dedicated atlas which would therefore not require any associated depth</w:t>
      </w:r>
      <w:r w:rsidR="00231A39">
        <w:t xml:space="preserve"> </w:t>
      </w:r>
      <w:r>
        <w:t>/</w:t>
      </w:r>
      <w:r w:rsidR="00231A39">
        <w:t xml:space="preserve"> </w:t>
      </w:r>
      <w:r>
        <w:t xml:space="preserve">geometry </w:t>
      </w:r>
      <w:r w:rsidR="00231A39">
        <w:t>component</w:t>
      </w:r>
      <w:r>
        <w:t>.</w:t>
      </w:r>
    </w:p>
    <w:p w14:paraId="6CF63893" w14:textId="77777777" w:rsidR="00FB6B7B" w:rsidRDefault="00FB6B7B" w:rsidP="00FB6B7B"/>
    <w:tbl>
      <w:tblPr>
        <w:tblStyle w:val="TableGrid"/>
        <w:tblW w:w="5034" w:type="pct"/>
        <w:jc w:val="center"/>
        <w:tblLayout w:type="fixed"/>
        <w:tblLook w:val="04A0" w:firstRow="1" w:lastRow="0" w:firstColumn="1" w:lastColumn="0" w:noHBand="0" w:noVBand="1"/>
      </w:tblPr>
      <w:tblGrid>
        <w:gridCol w:w="8217"/>
        <w:gridCol w:w="1192"/>
      </w:tblGrid>
      <w:tr w:rsidR="00231A39" w:rsidRPr="0068485C" w14:paraId="4A634200" w14:textId="77777777" w:rsidTr="00772B2A">
        <w:trPr>
          <w:jc w:val="center"/>
        </w:trPr>
        <w:tc>
          <w:tcPr>
            <w:tcW w:w="8217" w:type="dxa"/>
          </w:tcPr>
          <w:p w14:paraId="30F362E9" w14:textId="77777777" w:rsidR="00231A39" w:rsidRPr="0068485C" w:rsidRDefault="00231A39" w:rsidP="00772B2A">
            <w:pPr>
              <w:spacing w:before="20" w:after="20"/>
              <w:rPr>
                <w:color w:val="000000" w:themeColor="text1"/>
                <w:sz w:val="20"/>
              </w:rPr>
            </w:pPr>
            <w:r w:rsidRPr="0068485C">
              <w:rPr>
                <w:color w:val="000000" w:themeColor="text1"/>
                <w:sz w:val="20"/>
              </w:rPr>
              <w:t>pdu_miv_extension( p ) {</w:t>
            </w:r>
          </w:p>
        </w:tc>
        <w:tc>
          <w:tcPr>
            <w:tcW w:w="1192" w:type="dxa"/>
          </w:tcPr>
          <w:p w14:paraId="04263F9E" w14:textId="77777777" w:rsidR="00231A39" w:rsidRPr="0068485C" w:rsidRDefault="00231A39" w:rsidP="00772B2A">
            <w:pPr>
              <w:spacing w:before="20" w:after="20"/>
              <w:jc w:val="center"/>
              <w:rPr>
                <w:b/>
                <w:color w:val="000000" w:themeColor="text1"/>
                <w:sz w:val="20"/>
              </w:rPr>
            </w:pPr>
            <w:r w:rsidRPr="0068485C">
              <w:rPr>
                <w:b/>
                <w:color w:val="000000" w:themeColor="text1"/>
                <w:sz w:val="20"/>
              </w:rPr>
              <w:t>Descriptor</w:t>
            </w:r>
          </w:p>
        </w:tc>
      </w:tr>
      <w:tr w:rsidR="00231A39" w:rsidRPr="0068485C" w14:paraId="7650B9E7" w14:textId="77777777" w:rsidTr="00772B2A">
        <w:trPr>
          <w:jc w:val="center"/>
        </w:trPr>
        <w:tc>
          <w:tcPr>
            <w:tcW w:w="8217" w:type="dxa"/>
          </w:tcPr>
          <w:p w14:paraId="5CE7DD47" w14:textId="77777777" w:rsidR="00231A39" w:rsidRPr="0068485C" w:rsidRDefault="00231A39" w:rsidP="00772B2A">
            <w:pPr>
              <w:spacing w:before="20" w:after="20"/>
              <w:rPr>
                <w:color w:val="000000" w:themeColor="text1"/>
                <w:sz w:val="20"/>
              </w:rPr>
            </w:pPr>
            <w:r w:rsidRPr="0068485C">
              <w:rPr>
                <w:sz w:val="20"/>
              </w:rPr>
              <w:tab/>
            </w:r>
            <w:r w:rsidRPr="0068485C">
              <w:rPr>
                <w:rFonts w:eastAsia="Cambria" w:cstheme="majorBidi"/>
                <w:sz w:val="20"/>
              </w:rPr>
              <w:t>if( vme_max_entities_minus1 &gt; 0 )</w:t>
            </w:r>
          </w:p>
        </w:tc>
        <w:tc>
          <w:tcPr>
            <w:tcW w:w="1192" w:type="dxa"/>
          </w:tcPr>
          <w:p w14:paraId="4620E07B" w14:textId="77777777" w:rsidR="00231A39" w:rsidRPr="0068485C" w:rsidRDefault="00231A39" w:rsidP="00772B2A">
            <w:pPr>
              <w:spacing w:before="20" w:after="20"/>
              <w:jc w:val="center"/>
              <w:rPr>
                <w:color w:val="000000" w:themeColor="text1"/>
                <w:sz w:val="20"/>
              </w:rPr>
            </w:pPr>
          </w:p>
        </w:tc>
      </w:tr>
      <w:tr w:rsidR="00231A39" w:rsidRPr="0068485C" w14:paraId="5509A500" w14:textId="77777777" w:rsidTr="00772B2A">
        <w:trPr>
          <w:jc w:val="center"/>
        </w:trPr>
        <w:tc>
          <w:tcPr>
            <w:tcW w:w="8217" w:type="dxa"/>
          </w:tcPr>
          <w:p w14:paraId="11F8D05A" w14:textId="77777777" w:rsidR="00231A39" w:rsidRPr="0068485C" w:rsidRDefault="00231A39" w:rsidP="00772B2A">
            <w:pPr>
              <w:spacing w:before="20" w:after="20"/>
              <w:rPr>
                <w:color w:val="000000" w:themeColor="text1"/>
                <w:sz w:val="20"/>
              </w:rPr>
            </w:pPr>
            <w:r w:rsidRPr="0068485C">
              <w:rPr>
                <w:color w:val="000000" w:themeColor="text1"/>
                <w:sz w:val="20"/>
              </w:rPr>
              <w:tab/>
            </w:r>
            <w:r w:rsidRPr="0068485C">
              <w:rPr>
                <w:color w:val="000000" w:themeColor="text1"/>
                <w:sz w:val="20"/>
              </w:rPr>
              <w:tab/>
            </w:r>
            <w:r w:rsidRPr="0068485C">
              <w:rPr>
                <w:b/>
                <w:sz w:val="20"/>
              </w:rPr>
              <w:t>pdu_</w:t>
            </w:r>
            <w:r w:rsidRPr="0068485C">
              <w:rPr>
                <w:rFonts w:eastAsia="Cambria" w:cstheme="majorBidi"/>
                <w:b/>
                <w:bCs/>
                <w:sz w:val="20"/>
              </w:rPr>
              <w:t>entity_id</w:t>
            </w:r>
            <w:r w:rsidRPr="0068485C">
              <w:rPr>
                <w:rFonts w:eastAsia="Cambria" w:cstheme="majorBidi"/>
                <w:sz w:val="20"/>
              </w:rPr>
              <w:t xml:space="preserve">[ </w:t>
            </w:r>
            <w:r w:rsidRPr="0068485C">
              <w:rPr>
                <w:color w:val="000000" w:themeColor="text1"/>
                <w:sz w:val="20"/>
              </w:rPr>
              <w:t>p</w:t>
            </w:r>
            <w:r w:rsidRPr="0068485C">
              <w:rPr>
                <w:rFonts w:eastAsia="Cambria" w:cstheme="majorBidi"/>
                <w:sz w:val="20"/>
              </w:rPr>
              <w:t xml:space="preserve"> ] </w:t>
            </w:r>
          </w:p>
        </w:tc>
        <w:tc>
          <w:tcPr>
            <w:tcW w:w="1192" w:type="dxa"/>
          </w:tcPr>
          <w:p w14:paraId="115DC2DF" w14:textId="77777777" w:rsidR="00231A39" w:rsidRPr="0068485C" w:rsidRDefault="00231A39" w:rsidP="00772B2A">
            <w:pPr>
              <w:spacing w:before="20" w:after="20"/>
              <w:jc w:val="center"/>
              <w:rPr>
                <w:color w:val="000000" w:themeColor="text1"/>
                <w:sz w:val="20"/>
              </w:rPr>
            </w:pPr>
            <w:r w:rsidRPr="0068485C">
              <w:rPr>
                <w:rFonts w:eastAsia="Cambria" w:cstheme="majorBidi"/>
                <w:sz w:val="20"/>
              </w:rPr>
              <w:t>u(v)</w:t>
            </w:r>
          </w:p>
        </w:tc>
      </w:tr>
      <w:tr w:rsidR="00231A39" w:rsidRPr="009B6362" w14:paraId="304E2FE8" w14:textId="77777777" w:rsidTr="00772B2A">
        <w:trPr>
          <w:jc w:val="center"/>
        </w:trPr>
        <w:tc>
          <w:tcPr>
            <w:tcW w:w="8217" w:type="dxa"/>
          </w:tcPr>
          <w:p w14:paraId="6E0BCF7B" w14:textId="77777777" w:rsidR="00231A39" w:rsidRPr="002D1A37" w:rsidRDefault="00231A39" w:rsidP="00772B2A">
            <w:pPr>
              <w:spacing w:before="20" w:after="20"/>
              <w:rPr>
                <w:color w:val="000000" w:themeColor="text1"/>
                <w:sz w:val="20"/>
              </w:rPr>
            </w:pPr>
            <w:r w:rsidRPr="002D1A37">
              <w:rPr>
                <w:sz w:val="20"/>
              </w:rPr>
              <w:tab/>
              <w:t>if( asme_depth_occ_threshold_flag )</w:t>
            </w:r>
          </w:p>
        </w:tc>
        <w:tc>
          <w:tcPr>
            <w:tcW w:w="1192" w:type="dxa"/>
          </w:tcPr>
          <w:p w14:paraId="5623A3C2" w14:textId="77777777" w:rsidR="00231A39" w:rsidRPr="002D1A37" w:rsidRDefault="00231A39" w:rsidP="00772B2A">
            <w:pPr>
              <w:spacing w:before="20" w:after="20"/>
              <w:jc w:val="center"/>
              <w:rPr>
                <w:rFonts w:eastAsia="Cambria" w:cstheme="majorBidi"/>
              </w:rPr>
            </w:pPr>
          </w:p>
        </w:tc>
      </w:tr>
      <w:tr w:rsidR="00231A39" w:rsidRPr="0068485C" w14:paraId="6522D63F" w14:textId="77777777" w:rsidTr="00772B2A">
        <w:trPr>
          <w:jc w:val="center"/>
        </w:trPr>
        <w:tc>
          <w:tcPr>
            <w:tcW w:w="8217" w:type="dxa"/>
          </w:tcPr>
          <w:p w14:paraId="4290965F" w14:textId="77777777" w:rsidR="00231A39" w:rsidRPr="002D1A37" w:rsidRDefault="00231A39" w:rsidP="00772B2A">
            <w:pPr>
              <w:spacing w:before="20" w:after="20"/>
              <w:rPr>
                <w:rFonts w:eastAsia="Cambria" w:cstheme="majorBidi"/>
                <w:b/>
                <w:bCs/>
                <w:sz w:val="20"/>
              </w:rPr>
            </w:pPr>
            <w:r w:rsidRPr="002D1A37">
              <w:rPr>
                <w:rFonts w:eastAsia="Cambria" w:cstheme="majorBidi"/>
                <w:b/>
                <w:bCs/>
                <w:sz w:val="20"/>
              </w:rPr>
              <w:tab/>
            </w:r>
            <w:r w:rsidRPr="002D1A37">
              <w:rPr>
                <w:rFonts w:eastAsia="Cambria" w:cstheme="majorBidi"/>
                <w:b/>
                <w:bCs/>
                <w:sz w:val="20"/>
              </w:rPr>
              <w:tab/>
              <w:t>pdu_depth_occ_threshold</w:t>
            </w:r>
            <w:r w:rsidRPr="002D1A37">
              <w:rPr>
                <w:rFonts w:eastAsia="Cambria" w:cstheme="majorBidi"/>
                <w:sz w:val="20"/>
              </w:rPr>
              <w:t>[ </w:t>
            </w:r>
            <w:r w:rsidRPr="002D1A37">
              <w:rPr>
                <w:color w:val="000000" w:themeColor="text1"/>
                <w:sz w:val="20"/>
              </w:rPr>
              <w:t>p</w:t>
            </w:r>
            <w:r w:rsidRPr="002D1A37">
              <w:rPr>
                <w:rFonts w:eastAsia="Cambria" w:cstheme="majorBidi"/>
                <w:sz w:val="20"/>
              </w:rPr>
              <w:t> ]</w:t>
            </w:r>
          </w:p>
        </w:tc>
        <w:tc>
          <w:tcPr>
            <w:tcW w:w="1192" w:type="dxa"/>
          </w:tcPr>
          <w:p w14:paraId="3FE5921A" w14:textId="77777777" w:rsidR="00231A39" w:rsidRPr="00071E50" w:rsidRDefault="00231A39" w:rsidP="00772B2A">
            <w:pPr>
              <w:spacing w:before="20" w:after="20"/>
              <w:jc w:val="center"/>
              <w:rPr>
                <w:rFonts w:eastAsia="Cambria" w:cstheme="majorBidi"/>
                <w:sz w:val="20"/>
              </w:rPr>
            </w:pPr>
            <w:r w:rsidRPr="00071E50">
              <w:rPr>
                <w:rFonts w:eastAsia="Cambria" w:cstheme="majorBidi"/>
                <w:sz w:val="20"/>
              </w:rPr>
              <w:t>u(v)</w:t>
            </w:r>
          </w:p>
        </w:tc>
      </w:tr>
      <w:tr w:rsidR="00231A39" w:rsidRPr="0068485C" w14:paraId="0AD9651C" w14:textId="77777777" w:rsidTr="00772B2A">
        <w:trPr>
          <w:jc w:val="center"/>
        </w:trPr>
        <w:tc>
          <w:tcPr>
            <w:tcW w:w="8217" w:type="dxa"/>
          </w:tcPr>
          <w:p w14:paraId="048210D2" w14:textId="30B8AFD5" w:rsidR="00231A39" w:rsidRPr="009B342E" w:rsidRDefault="00231A39" w:rsidP="00772B2A">
            <w:pPr>
              <w:spacing w:before="20" w:after="20"/>
              <w:rPr>
                <w:color w:val="FF0000"/>
                <w:sz w:val="20"/>
              </w:rPr>
            </w:pPr>
            <w:r w:rsidRPr="00772B2A">
              <w:rPr>
                <w:color w:val="FF0000"/>
                <w:sz w:val="20"/>
              </w:rPr>
              <w:tab/>
            </w:r>
            <w:r w:rsidRPr="009B342E">
              <w:rPr>
                <w:color w:val="FF0000"/>
                <w:sz w:val="20"/>
              </w:rPr>
              <w:t>if (</w:t>
            </w:r>
            <w:r w:rsidR="00FB6B7B">
              <w:rPr>
                <w:color w:val="FF0000"/>
                <w:sz w:val="20"/>
              </w:rPr>
              <w:t xml:space="preserve"> </w:t>
            </w:r>
            <w:r w:rsidRPr="00FB6B7B">
              <w:rPr>
                <w:color w:val="FF0000"/>
                <w:sz w:val="20"/>
              </w:rPr>
              <w:t>asme_cardboard_flag</w:t>
            </w:r>
            <w:r w:rsidR="00FB6B7B">
              <w:rPr>
                <w:b/>
                <w:bCs/>
                <w:color w:val="FF0000"/>
                <w:sz w:val="20"/>
              </w:rPr>
              <w:t xml:space="preserve"> </w:t>
            </w:r>
            <w:r w:rsidRPr="009B342E">
              <w:rPr>
                <w:color w:val="FF0000"/>
                <w:sz w:val="20"/>
              </w:rPr>
              <w:t>) {</w:t>
            </w:r>
          </w:p>
        </w:tc>
        <w:tc>
          <w:tcPr>
            <w:tcW w:w="1192" w:type="dxa"/>
          </w:tcPr>
          <w:p w14:paraId="0CCC0B47" w14:textId="77777777" w:rsidR="00231A39" w:rsidRPr="00772B2A" w:rsidRDefault="00231A39" w:rsidP="00772B2A">
            <w:pPr>
              <w:spacing w:before="20" w:after="20"/>
              <w:jc w:val="center"/>
              <w:rPr>
                <w:color w:val="FF0000"/>
                <w:sz w:val="20"/>
              </w:rPr>
            </w:pPr>
          </w:p>
        </w:tc>
      </w:tr>
      <w:tr w:rsidR="00231A39" w:rsidRPr="0068485C" w14:paraId="3BB6DB19" w14:textId="77777777" w:rsidTr="00772B2A">
        <w:trPr>
          <w:jc w:val="center"/>
        </w:trPr>
        <w:tc>
          <w:tcPr>
            <w:tcW w:w="8217" w:type="dxa"/>
          </w:tcPr>
          <w:p w14:paraId="51088D22" w14:textId="77777777" w:rsidR="00231A39" w:rsidRPr="00772B2A" w:rsidRDefault="00231A39" w:rsidP="00772B2A">
            <w:pPr>
              <w:spacing w:before="20" w:after="20"/>
              <w:rPr>
                <w:color w:val="FF0000"/>
                <w:sz w:val="20"/>
              </w:rPr>
            </w:pPr>
            <w:r w:rsidRPr="00772B2A">
              <w:rPr>
                <w:color w:val="FF0000"/>
                <w:sz w:val="20"/>
              </w:rPr>
              <w:tab/>
            </w:r>
            <w:r w:rsidRPr="00772B2A">
              <w:rPr>
                <w:color w:val="FF0000"/>
                <w:sz w:val="20"/>
              </w:rPr>
              <w:tab/>
            </w:r>
            <w:r w:rsidRPr="009B342E">
              <w:rPr>
                <w:b/>
                <w:bCs/>
                <w:color w:val="FF0000"/>
                <w:sz w:val="20"/>
              </w:rPr>
              <w:t>pdu_fully_occupied_flag</w:t>
            </w:r>
            <w:r w:rsidRPr="00FB6B7B">
              <w:rPr>
                <w:color w:val="FF0000"/>
                <w:sz w:val="20"/>
              </w:rPr>
              <w:t>[ p ]</w:t>
            </w:r>
          </w:p>
        </w:tc>
        <w:tc>
          <w:tcPr>
            <w:tcW w:w="1192" w:type="dxa"/>
          </w:tcPr>
          <w:p w14:paraId="501B2066" w14:textId="77777777" w:rsidR="00231A39" w:rsidRPr="00772B2A" w:rsidRDefault="00231A39" w:rsidP="00772B2A">
            <w:pPr>
              <w:spacing w:before="20" w:after="20"/>
              <w:jc w:val="center"/>
              <w:rPr>
                <w:color w:val="FF0000"/>
                <w:sz w:val="20"/>
              </w:rPr>
            </w:pPr>
            <w:r w:rsidRPr="009B342E">
              <w:rPr>
                <w:color w:val="FF0000"/>
                <w:sz w:val="20"/>
              </w:rPr>
              <w:t>u(1)</w:t>
            </w:r>
          </w:p>
        </w:tc>
      </w:tr>
      <w:tr w:rsidR="00231A39" w:rsidRPr="0068485C" w14:paraId="510A2391" w14:textId="77777777" w:rsidTr="00772B2A">
        <w:trPr>
          <w:jc w:val="center"/>
        </w:trPr>
        <w:tc>
          <w:tcPr>
            <w:tcW w:w="8217" w:type="dxa"/>
          </w:tcPr>
          <w:p w14:paraId="71001317" w14:textId="77777777" w:rsidR="00231A39" w:rsidRPr="00FB6B7B" w:rsidRDefault="00231A39" w:rsidP="00772B2A">
            <w:pPr>
              <w:spacing w:before="20" w:after="20"/>
              <w:rPr>
                <w:b/>
                <w:bCs/>
                <w:color w:val="FF0000"/>
                <w:sz w:val="20"/>
              </w:rPr>
            </w:pPr>
            <w:r w:rsidRPr="009B342E">
              <w:rPr>
                <w:color w:val="FF0000"/>
                <w:sz w:val="20"/>
              </w:rPr>
              <w:tab/>
            </w:r>
            <w:r w:rsidRPr="009B342E">
              <w:rPr>
                <w:color w:val="FF0000"/>
                <w:sz w:val="20"/>
              </w:rPr>
              <w:tab/>
            </w:r>
            <w:r w:rsidRPr="00FB6B7B">
              <w:rPr>
                <w:b/>
                <w:bCs/>
                <w:color w:val="FF0000"/>
                <w:sz w:val="20"/>
              </w:rPr>
              <w:t>pdu_zconst</w:t>
            </w:r>
            <w:r w:rsidRPr="00FB6B7B">
              <w:rPr>
                <w:color w:val="FF0000"/>
                <w:sz w:val="20"/>
              </w:rPr>
              <w:t>[ p ]</w:t>
            </w:r>
          </w:p>
        </w:tc>
        <w:tc>
          <w:tcPr>
            <w:tcW w:w="1192" w:type="dxa"/>
          </w:tcPr>
          <w:p w14:paraId="2AE93E5C" w14:textId="77777777" w:rsidR="00231A39" w:rsidRPr="009B342E" w:rsidRDefault="00231A39" w:rsidP="00772B2A">
            <w:pPr>
              <w:spacing w:before="20" w:after="20"/>
              <w:jc w:val="center"/>
              <w:rPr>
                <w:color w:val="FF0000"/>
                <w:sz w:val="20"/>
              </w:rPr>
            </w:pPr>
            <w:r w:rsidRPr="009B342E">
              <w:rPr>
                <w:color w:val="FF0000"/>
                <w:sz w:val="20"/>
              </w:rPr>
              <w:t>fl(16)</w:t>
            </w:r>
          </w:p>
        </w:tc>
      </w:tr>
      <w:tr w:rsidR="00231A39" w:rsidRPr="0068485C" w14:paraId="072D9281" w14:textId="77777777" w:rsidTr="00772B2A">
        <w:trPr>
          <w:jc w:val="center"/>
        </w:trPr>
        <w:tc>
          <w:tcPr>
            <w:tcW w:w="8217" w:type="dxa"/>
          </w:tcPr>
          <w:p w14:paraId="0D034AD8" w14:textId="77777777" w:rsidR="00231A39" w:rsidRPr="00373ABC" w:rsidRDefault="00231A39" w:rsidP="00772B2A">
            <w:pPr>
              <w:spacing w:before="20" w:after="20"/>
              <w:rPr>
                <w:color w:val="FF0000"/>
                <w:sz w:val="20"/>
              </w:rPr>
            </w:pPr>
            <w:r w:rsidRPr="00657876">
              <w:rPr>
                <w:color w:val="FF0000"/>
                <w:sz w:val="20"/>
              </w:rPr>
              <w:tab/>
            </w:r>
            <w:r>
              <w:rPr>
                <w:color w:val="FF0000"/>
                <w:sz w:val="20"/>
              </w:rPr>
              <w:t>}</w:t>
            </w:r>
          </w:p>
        </w:tc>
        <w:tc>
          <w:tcPr>
            <w:tcW w:w="1192" w:type="dxa"/>
          </w:tcPr>
          <w:p w14:paraId="525AF9CA" w14:textId="77777777" w:rsidR="00231A39" w:rsidRPr="00E31013" w:rsidRDefault="00231A39" w:rsidP="00772B2A">
            <w:pPr>
              <w:spacing w:before="20" w:after="20"/>
              <w:jc w:val="center"/>
              <w:rPr>
                <w:color w:val="FF0000"/>
                <w:sz w:val="20"/>
              </w:rPr>
            </w:pPr>
          </w:p>
        </w:tc>
      </w:tr>
      <w:tr w:rsidR="00231A39" w:rsidRPr="0068485C" w14:paraId="20FD7434" w14:textId="77777777" w:rsidTr="00772B2A">
        <w:trPr>
          <w:jc w:val="center"/>
        </w:trPr>
        <w:tc>
          <w:tcPr>
            <w:tcW w:w="8217" w:type="dxa"/>
          </w:tcPr>
          <w:p w14:paraId="7A5A035A" w14:textId="77777777" w:rsidR="00231A39" w:rsidRPr="0068485C" w:rsidRDefault="00231A39" w:rsidP="00772B2A">
            <w:pPr>
              <w:spacing w:before="20" w:after="20"/>
              <w:rPr>
                <w:color w:val="000000" w:themeColor="text1"/>
                <w:sz w:val="20"/>
              </w:rPr>
            </w:pPr>
            <w:r w:rsidRPr="0068485C">
              <w:rPr>
                <w:color w:val="000000" w:themeColor="text1"/>
                <w:sz w:val="20"/>
              </w:rPr>
              <w:t>}</w:t>
            </w:r>
          </w:p>
        </w:tc>
        <w:tc>
          <w:tcPr>
            <w:tcW w:w="1192" w:type="dxa"/>
          </w:tcPr>
          <w:p w14:paraId="6A3F7F24" w14:textId="77777777" w:rsidR="00231A39" w:rsidRPr="0068485C" w:rsidRDefault="00231A39" w:rsidP="00772B2A">
            <w:pPr>
              <w:spacing w:before="20" w:after="20"/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365FA67D" w14:textId="1798A03D" w:rsidR="00231A39" w:rsidRDefault="00231A39" w:rsidP="00231A39">
      <w:pPr>
        <w:pStyle w:val="Caption"/>
        <w:keepNext/>
        <w:spacing w:before="120"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5204D">
        <w:rPr>
          <w:rFonts w:ascii="Times New Roman" w:hAnsi="Times New Roman" w:cs="Times New Roman"/>
          <w:color w:val="auto"/>
          <w:sz w:val="22"/>
          <w:szCs w:val="22"/>
        </w:rPr>
        <w:t xml:space="preserve">Table </w:t>
      </w:r>
      <w:r>
        <w:rPr>
          <w:rFonts w:ascii="Times New Roman" w:hAnsi="Times New Roman" w:cs="Times New Roman"/>
          <w:color w:val="auto"/>
          <w:sz w:val="22"/>
          <w:szCs w:val="22"/>
        </w:rPr>
        <w:t>2: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t xml:space="preserve"> MIV </w:t>
      </w:r>
      <w:r w:rsidR="00FB6B7B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t xml:space="preserve">yntax update at </w:t>
      </w:r>
      <w:r w:rsidR="00FB6B7B">
        <w:rPr>
          <w:rFonts w:ascii="Times New Roman" w:hAnsi="Times New Roman" w:cs="Times New Roman"/>
          <w:color w:val="auto"/>
          <w:sz w:val="22"/>
          <w:szCs w:val="22"/>
        </w:rPr>
        <w:t>atlas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t xml:space="preserve"> level </w:t>
      </w:r>
      <w:r w:rsidR="00887B76">
        <w:rPr>
          <w:rFonts w:ascii="Times New Roman" w:hAnsi="Times New Roman" w:cs="Times New Roman"/>
          <w:color w:val="auto"/>
          <w:sz w:val="22"/>
          <w:szCs w:val="22"/>
        </w:rPr>
        <w:t xml:space="preserve">– patch data unit 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t>(changes in red).</w:t>
      </w:r>
    </w:p>
    <w:p w14:paraId="13ECD2A7" w14:textId="77777777" w:rsidR="002103EF" w:rsidRPr="002103EF" w:rsidRDefault="002103EF" w:rsidP="005B78DA"/>
    <w:tbl>
      <w:tblPr>
        <w:tblStyle w:val="TableGrid"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2103EF" w14:paraId="3713DDF8" w14:textId="77777777" w:rsidTr="005F67CD">
        <w:trPr>
          <w:trHeight w:val="27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3734" w14:textId="77777777" w:rsidR="002103EF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rPr>
                <w:b/>
                <w:color w:val="000000" w:themeColor="text1"/>
                <w:sz w:val="20"/>
              </w:rPr>
            </w:pPr>
            <w:r>
              <w:rPr>
                <w:sz w:val="20"/>
              </w:rPr>
              <w:t>asps_miv_extension( ) {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DC8" w14:textId="77777777" w:rsidR="002103EF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jc w:val="center"/>
              <w:rPr>
                <w:sz w:val="20"/>
              </w:rPr>
            </w:pPr>
            <w:r w:rsidRPr="00AC1227">
              <w:rPr>
                <w:b/>
                <w:sz w:val="20"/>
              </w:rPr>
              <w:t>Descriptor</w:t>
            </w:r>
          </w:p>
        </w:tc>
      </w:tr>
      <w:tr w:rsidR="002103EF" w14:paraId="378F13C6" w14:textId="77777777" w:rsidTr="005F67CD">
        <w:trPr>
          <w:trHeight w:val="2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448B" w14:textId="77777777" w:rsidR="002103EF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rPr>
                <w:bCs/>
                <w:color w:val="000000" w:themeColor="text1"/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asme_group_id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CFB" w14:textId="77777777" w:rsidR="002103EF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jc w:val="center"/>
              <w:rPr>
                <w:sz w:val="20"/>
              </w:rPr>
            </w:pPr>
            <w:r w:rsidRPr="0068485C">
              <w:rPr>
                <w:sz w:val="20"/>
              </w:rPr>
              <w:t>u(v)</w:t>
            </w:r>
          </w:p>
        </w:tc>
      </w:tr>
      <w:tr w:rsidR="002103EF" w14:paraId="49C26CBF" w14:textId="77777777" w:rsidTr="005F67CD">
        <w:trPr>
          <w:trHeight w:val="36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5D90" w14:textId="77777777" w:rsidR="002103EF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asme_auxiliary_atlas_flag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D7E" w14:textId="77777777" w:rsidR="002103EF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jc w:val="center"/>
              <w:rPr>
                <w:sz w:val="20"/>
              </w:rPr>
            </w:pPr>
            <w:r w:rsidRPr="0068485C">
              <w:rPr>
                <w:sz w:val="20"/>
              </w:rPr>
              <w:t>u(1)</w:t>
            </w:r>
          </w:p>
        </w:tc>
      </w:tr>
      <w:tr w:rsidR="002103EF" w:rsidRPr="00823DEA" w14:paraId="512E4560" w14:textId="77777777" w:rsidTr="005F67CD">
        <w:trPr>
          <w:trHeight w:val="27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AA49" w14:textId="77777777" w:rsidR="002103EF" w:rsidRPr="00823DEA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rPr>
                <w:sz w:val="20"/>
              </w:rPr>
            </w:pPr>
            <w:r w:rsidRPr="00823DEA">
              <w:rPr>
                <w:sz w:val="20"/>
              </w:rPr>
              <w:tab/>
            </w:r>
            <w:r w:rsidRPr="00823DEA">
              <w:rPr>
                <w:b/>
                <w:sz w:val="20"/>
              </w:rPr>
              <w:t>asme_depth_occ_threshold_flag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6A0" w14:textId="77777777" w:rsidR="002103EF" w:rsidRPr="00823DEA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jc w:val="center"/>
              <w:rPr>
                <w:sz w:val="20"/>
              </w:rPr>
            </w:pPr>
            <w:r w:rsidRPr="0068485C">
              <w:rPr>
                <w:sz w:val="20"/>
              </w:rPr>
              <w:t>u(1)</w:t>
            </w:r>
          </w:p>
        </w:tc>
      </w:tr>
      <w:tr w:rsidR="002103EF" w:rsidRPr="009B6362" w14:paraId="149E2B70" w14:textId="77777777" w:rsidTr="005F67CD">
        <w:trPr>
          <w:trHeight w:val="32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5820" w14:textId="77777777" w:rsidR="002103EF" w:rsidRPr="00823DEA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rPr>
                <w:sz w:val="20"/>
              </w:rPr>
            </w:pPr>
            <w:r w:rsidRPr="00823DEA">
              <w:rPr>
                <w:sz w:val="20"/>
              </w:rPr>
              <w:tab/>
              <w:t>if( vme_geometry_scale_enabled_flag == 1 ) {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C52D" w14:textId="77777777" w:rsidR="002103EF" w:rsidRPr="00823DEA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jc w:val="center"/>
              <w:rPr>
                <w:sz w:val="20"/>
              </w:rPr>
            </w:pPr>
          </w:p>
        </w:tc>
      </w:tr>
      <w:tr w:rsidR="002103EF" w:rsidRPr="00823DEA" w14:paraId="62F2EF9E" w14:textId="77777777" w:rsidTr="005F67CD">
        <w:trPr>
          <w:trHeight w:val="21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243C" w14:textId="77777777" w:rsidR="002103EF" w:rsidRPr="00823DEA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rPr>
                <w:b/>
                <w:sz w:val="20"/>
              </w:rPr>
            </w:pPr>
            <w:r w:rsidRPr="00823DEA">
              <w:rPr>
                <w:sz w:val="20"/>
              </w:rPr>
              <w:tab/>
            </w:r>
            <w:r w:rsidRPr="00823DEA">
              <w:rPr>
                <w:sz w:val="20"/>
              </w:rPr>
              <w:tab/>
            </w:r>
            <w:r w:rsidRPr="00823DEA">
              <w:rPr>
                <w:b/>
                <w:sz w:val="20"/>
              </w:rPr>
              <w:t>asme_geometry_scale_factor_x_minus1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BC48" w14:textId="77777777" w:rsidR="002103EF" w:rsidRPr="00823DEA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jc w:val="center"/>
              <w:rPr>
                <w:sz w:val="20"/>
              </w:rPr>
            </w:pPr>
            <w:r w:rsidRPr="0068485C">
              <w:rPr>
                <w:color w:val="000000" w:themeColor="text1"/>
                <w:sz w:val="20"/>
              </w:rPr>
              <w:t>u(v)</w:t>
            </w:r>
          </w:p>
        </w:tc>
      </w:tr>
      <w:tr w:rsidR="002103EF" w:rsidRPr="00823DEA" w14:paraId="431A9291" w14:textId="77777777" w:rsidTr="005F67CD">
        <w:trPr>
          <w:trHeight w:val="23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7BF5" w14:textId="77777777" w:rsidR="002103EF" w:rsidRPr="00823DEA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rPr>
                <w:b/>
                <w:sz w:val="20"/>
              </w:rPr>
            </w:pPr>
            <w:r w:rsidRPr="00823DEA">
              <w:rPr>
                <w:sz w:val="20"/>
              </w:rPr>
              <w:tab/>
            </w:r>
            <w:r w:rsidRPr="00823DEA">
              <w:rPr>
                <w:sz w:val="20"/>
              </w:rPr>
              <w:tab/>
            </w:r>
            <w:r w:rsidRPr="00823DEA">
              <w:rPr>
                <w:b/>
                <w:sz w:val="20"/>
              </w:rPr>
              <w:t>asme_geometry_scale_factor_y_minus1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2DA3" w14:textId="77777777" w:rsidR="002103EF" w:rsidRPr="00823DEA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jc w:val="center"/>
              <w:rPr>
                <w:sz w:val="20"/>
              </w:rPr>
            </w:pPr>
            <w:r w:rsidRPr="0068485C">
              <w:rPr>
                <w:color w:val="000000" w:themeColor="text1"/>
                <w:sz w:val="20"/>
              </w:rPr>
              <w:t>u(v)</w:t>
            </w:r>
          </w:p>
        </w:tc>
      </w:tr>
      <w:tr w:rsidR="002103EF" w14:paraId="349EE774" w14:textId="77777777" w:rsidTr="005F67CD">
        <w:trPr>
          <w:trHeight w:val="2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A209" w14:textId="77777777" w:rsidR="002103EF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rPr>
                <w:sz w:val="20"/>
              </w:rPr>
            </w:pPr>
            <w:r w:rsidRPr="00823DEA">
              <w:rPr>
                <w:sz w:val="20"/>
              </w:rPr>
              <w:tab/>
            </w:r>
            <w:r>
              <w:rPr>
                <w:sz w:val="20"/>
              </w:rPr>
              <w:t>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198C" w14:textId="77777777" w:rsidR="002103EF" w:rsidRPr="00823DEA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jc w:val="center"/>
              <w:rPr>
                <w:sz w:val="20"/>
              </w:rPr>
            </w:pPr>
          </w:p>
        </w:tc>
      </w:tr>
      <w:tr w:rsidR="002103EF" w14:paraId="23733E04" w14:textId="77777777" w:rsidTr="005F67CD">
        <w:trPr>
          <w:trHeight w:val="20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0D94" w14:textId="77777777" w:rsidR="002103EF" w:rsidRPr="00406A32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rPr>
                <w:b/>
                <w:bCs/>
                <w:sz w:val="20"/>
              </w:rPr>
            </w:pPr>
            <w:r w:rsidRPr="00823DEA">
              <w:rPr>
                <w:sz w:val="20"/>
              </w:rPr>
              <w:tab/>
            </w:r>
            <w:r w:rsidRPr="00406A32">
              <w:rPr>
                <w:b/>
                <w:bCs/>
                <w:color w:val="FF0000"/>
                <w:sz w:val="20"/>
              </w:rPr>
              <w:t>asme_cardbo</w:t>
            </w:r>
            <w:r>
              <w:rPr>
                <w:b/>
                <w:bCs/>
                <w:color w:val="FF0000"/>
                <w:sz w:val="20"/>
              </w:rPr>
              <w:t>a</w:t>
            </w:r>
            <w:r w:rsidRPr="00406A32">
              <w:rPr>
                <w:b/>
                <w:bCs/>
                <w:color w:val="FF0000"/>
                <w:sz w:val="20"/>
              </w:rPr>
              <w:t>rd_flag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C8B2" w14:textId="77777777" w:rsidR="002103EF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jc w:val="center"/>
              <w:rPr>
                <w:sz w:val="20"/>
              </w:rPr>
            </w:pPr>
            <w:r w:rsidRPr="00C12663">
              <w:rPr>
                <w:color w:val="FF0000"/>
                <w:sz w:val="20"/>
              </w:rPr>
              <w:t>u(1)</w:t>
            </w:r>
          </w:p>
        </w:tc>
      </w:tr>
      <w:tr w:rsidR="002103EF" w14:paraId="7C4A4846" w14:textId="77777777" w:rsidTr="005F67CD">
        <w:trPr>
          <w:trHeight w:val="35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7FF0" w14:textId="77777777" w:rsidR="002103EF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rPr>
                <w:bCs/>
                <w:color w:val="000000" w:themeColor="text1"/>
                <w:sz w:val="20"/>
              </w:rPr>
            </w:pPr>
            <w:r>
              <w:rPr>
                <w:sz w:val="20"/>
              </w:rPr>
              <w:t>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1598" w14:textId="77777777" w:rsidR="002103EF" w:rsidRDefault="002103EF" w:rsidP="00754F73">
            <w:pPr>
              <w:tabs>
                <w:tab w:val="left" w:pos="357"/>
                <w:tab w:val="left" w:pos="720"/>
              </w:tabs>
              <w:spacing w:before="20" w:after="20"/>
              <w:jc w:val="center"/>
              <w:rPr>
                <w:sz w:val="20"/>
              </w:rPr>
            </w:pPr>
          </w:p>
        </w:tc>
      </w:tr>
    </w:tbl>
    <w:p w14:paraId="58E8AFC5" w14:textId="54D3588B" w:rsidR="002103EF" w:rsidRDefault="002103EF" w:rsidP="005B78DA">
      <w:pPr>
        <w:pStyle w:val="Caption"/>
        <w:keepNext/>
        <w:spacing w:before="120"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Ref43797645"/>
      <w:r w:rsidRPr="0095204D">
        <w:rPr>
          <w:rFonts w:ascii="Times New Roman" w:hAnsi="Times New Roman" w:cs="Times New Roman"/>
          <w:color w:val="auto"/>
          <w:sz w:val="22"/>
          <w:szCs w:val="22"/>
        </w:rPr>
        <w:t xml:space="preserve">Table 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instrText xml:space="preserve"> SEQ Table \* ARABIC </w:instrTex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8C0B52">
        <w:rPr>
          <w:rFonts w:ascii="Times New Roman" w:hAnsi="Times New Roman" w:cs="Times New Roman"/>
          <w:noProof/>
          <w:color w:val="auto"/>
          <w:sz w:val="22"/>
          <w:szCs w:val="22"/>
        </w:rPr>
        <w:t>3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bookmarkEnd w:id="4"/>
      <w:r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t xml:space="preserve"> MIV </w:t>
      </w:r>
      <w:r w:rsidR="00FB6B7B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t xml:space="preserve">yntax update at </w:t>
      </w:r>
      <w:r>
        <w:rPr>
          <w:rFonts w:ascii="Times New Roman" w:hAnsi="Times New Roman" w:cs="Times New Roman"/>
          <w:color w:val="auto"/>
          <w:sz w:val="22"/>
          <w:szCs w:val="22"/>
        </w:rPr>
        <w:t>atlas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t xml:space="preserve"> level </w:t>
      </w:r>
      <w:r w:rsidR="00887B76">
        <w:rPr>
          <w:rFonts w:ascii="Times New Roman" w:hAnsi="Times New Roman" w:cs="Times New Roman"/>
          <w:color w:val="auto"/>
          <w:sz w:val="22"/>
          <w:szCs w:val="22"/>
        </w:rPr>
        <w:t xml:space="preserve">– ASPS </w:t>
      </w:r>
      <w:r w:rsidRPr="0095204D">
        <w:rPr>
          <w:rFonts w:ascii="Times New Roman" w:hAnsi="Times New Roman" w:cs="Times New Roman"/>
          <w:color w:val="auto"/>
          <w:sz w:val="22"/>
          <w:szCs w:val="22"/>
        </w:rPr>
        <w:t>(changes in red).</w:t>
      </w:r>
    </w:p>
    <w:p w14:paraId="0F60B21C" w14:textId="7B6F0049" w:rsidR="00212715" w:rsidRPr="00412944" w:rsidRDefault="00A6372E" w:rsidP="005F67CD">
      <w:pPr>
        <w:spacing w:after="120"/>
      </w:pPr>
      <w:r>
        <w:t>If</w:t>
      </w:r>
      <w:r w:rsidR="00412944">
        <w:t xml:space="preserve"> asme_cardboard_flag equals to 1, </w:t>
      </w:r>
      <w:r w:rsidR="009B342E">
        <w:rPr>
          <w:lang w:val="en-GB"/>
        </w:rPr>
        <w:t xml:space="preserve">the single depth value </w:t>
      </w:r>
      <w:r w:rsidR="00887B76">
        <w:rPr>
          <w:lang w:val="en-GB"/>
        </w:rPr>
        <w:t xml:space="preserve">per patch </w:t>
      </w:r>
      <w:r w:rsidR="009B342E">
        <w:rPr>
          <w:lang w:val="en-GB"/>
        </w:rPr>
        <w:t>is read from the patch</w:t>
      </w:r>
      <w:r w:rsidR="00887B76">
        <w:rPr>
          <w:lang w:val="en-GB"/>
        </w:rPr>
        <w:t>_data_</w:t>
      </w:r>
      <w:r w:rsidR="009B342E">
        <w:rPr>
          <w:lang w:val="en-GB"/>
        </w:rPr>
        <w:t>unit</w:t>
      </w:r>
      <w:r w:rsidR="00887B76">
        <w:rPr>
          <w:lang w:val="en-GB"/>
        </w:rPr>
        <w:t>( p )</w:t>
      </w:r>
      <w:r w:rsidR="009B342E">
        <w:rPr>
          <w:lang w:val="en-GB"/>
        </w:rPr>
        <w:t xml:space="preserve"> structure similarly to what have been described before</w:t>
      </w:r>
      <w:r w:rsidR="00887B76">
        <w:rPr>
          <w:lang w:val="en-GB"/>
        </w:rPr>
        <w:t xml:space="preserve"> </w:t>
      </w:r>
      <w:r w:rsidR="00887B76">
        <w:rPr>
          <w:lang w:val="en-GB"/>
        </w:rPr>
        <w:t>(see Table 2)</w:t>
      </w:r>
      <w:r w:rsidR="009B342E">
        <w:rPr>
          <w:lang w:val="en-GB"/>
        </w:rPr>
        <w:t>.</w:t>
      </w:r>
    </w:p>
    <w:p w14:paraId="59EC6189" w14:textId="0BD944F5" w:rsidR="00EA762C" w:rsidRDefault="009A29EC" w:rsidP="005F67CD">
      <w:pPr>
        <w:pStyle w:val="Heading1"/>
        <w:rPr>
          <w:lang w:val="fr-FR"/>
        </w:rPr>
      </w:pPr>
      <w:r>
        <w:t>Geom</w:t>
      </w:r>
      <w:r w:rsidR="00754F73">
        <w:t>e</w:t>
      </w:r>
      <w:r>
        <w:t xml:space="preserve">try </w:t>
      </w:r>
      <w:r w:rsidR="00754F73">
        <w:t>p</w:t>
      </w:r>
      <w:r>
        <w:t>acking and occupancy</w:t>
      </w:r>
    </w:p>
    <w:p w14:paraId="2F8103C4" w14:textId="0C0477D7" w:rsidR="00EA762C" w:rsidRPr="00EC0689" w:rsidRDefault="003401C4" w:rsidP="00EA762C">
      <w:r>
        <w:t xml:space="preserve">As mentioned before, cardboard patches </w:t>
      </w:r>
      <w:r w:rsidR="0018066F">
        <w:t>do not</w:t>
      </w:r>
      <w:r>
        <w:t xml:space="preserve"> require</w:t>
      </w:r>
      <w:r w:rsidR="00EA762C" w:rsidRPr="005F67CD">
        <w:t xml:space="preserve"> t</w:t>
      </w:r>
      <w:r w:rsidR="00EA762C" w:rsidRPr="00EC0689">
        <w:t>o transmit</w:t>
      </w:r>
      <w:r>
        <w:t xml:space="preserve"> any</w:t>
      </w:r>
      <w:r w:rsidR="00EA762C" w:rsidRPr="00EC0689">
        <w:t xml:space="preserve"> geometry</w:t>
      </w:r>
      <w:r>
        <w:t xml:space="preserve"> component</w:t>
      </w:r>
      <w:r w:rsidR="00EA762C" w:rsidRPr="00EC0689">
        <w:t xml:space="preserve"> </w:t>
      </w:r>
      <w:r w:rsidR="0018066F">
        <w:t xml:space="preserve">anymore </w:t>
      </w:r>
      <w:r w:rsidR="00EA762C" w:rsidRPr="00EC0689">
        <w:t xml:space="preserve">but </w:t>
      </w:r>
      <w:r>
        <w:t>ther</w:t>
      </w:r>
      <w:r w:rsidR="0018066F">
        <w:t>e</w:t>
      </w:r>
      <w:r>
        <w:t xml:space="preserve"> </w:t>
      </w:r>
      <w:r w:rsidR="00EC0689">
        <w:t>still</w:t>
      </w:r>
      <w:r>
        <w:t xml:space="preserve"> is</w:t>
      </w:r>
      <w:r w:rsidR="00EC0689">
        <w:t xml:space="preserve"> </w:t>
      </w:r>
      <w:r w:rsidR="00EA762C" w:rsidRPr="00EC0689">
        <w:t xml:space="preserve">a need to transmit a key </w:t>
      </w:r>
      <w:r>
        <w:t xml:space="preserve">information </w:t>
      </w:r>
      <w:r w:rsidR="0084096B" w:rsidRPr="00EC0689">
        <w:t>in the case where</w:t>
      </w:r>
      <w:r w:rsidR="00EA762C" w:rsidRPr="00EC0689">
        <w:t xml:space="preserve"> </w:t>
      </w:r>
      <w:r w:rsidR="0018066F">
        <w:t>a</w:t>
      </w:r>
      <w:r w:rsidR="00EA762C" w:rsidRPr="00EC0689">
        <w:t xml:space="preserve"> cardboard</w:t>
      </w:r>
      <w:r>
        <w:t xml:space="preserve"> patch</w:t>
      </w:r>
      <w:r w:rsidR="00EA762C" w:rsidRPr="00EC0689">
        <w:t xml:space="preserve"> is </w:t>
      </w:r>
      <w:r w:rsidR="0084096B" w:rsidRPr="00EC0689">
        <w:t>not a full</w:t>
      </w:r>
      <w:r w:rsidR="00EC0689" w:rsidRPr="00EC0689">
        <w:t>y occupied</w:t>
      </w:r>
      <w:r w:rsidR="0084096B" w:rsidRPr="00EC0689">
        <w:t xml:space="preserve"> rectang</w:t>
      </w:r>
      <w:r w:rsidR="00EC0689" w:rsidRPr="00EC0689">
        <w:t>le</w:t>
      </w:r>
      <w:r w:rsidR="00EA762C" w:rsidRPr="00EC0689">
        <w:t xml:space="preserve">. </w:t>
      </w:r>
      <w:r w:rsidR="00231A39">
        <w:t>The</w:t>
      </w:r>
      <w:r w:rsidR="00F87BBC" w:rsidRPr="00EC0689">
        <w:t xml:space="preserve"> </w:t>
      </w:r>
      <w:r>
        <w:t>3</w:t>
      </w:r>
      <w:r w:rsidR="00231A39">
        <w:t xml:space="preserve"> </w:t>
      </w:r>
      <w:r w:rsidR="00F87BBC" w:rsidRPr="00EC0689">
        <w:t xml:space="preserve">following options </w:t>
      </w:r>
      <w:r w:rsidR="00231A39">
        <w:t>may be considered</w:t>
      </w:r>
      <w:r w:rsidR="0084096B" w:rsidRPr="00EC0689">
        <w:t>:</w:t>
      </w:r>
    </w:p>
    <w:p w14:paraId="26E64967" w14:textId="77777777" w:rsidR="00F87BBC" w:rsidRPr="00EC0689" w:rsidRDefault="00F87BBC" w:rsidP="00F87BBC"/>
    <w:p w14:paraId="4942D3D5" w14:textId="33C722D8" w:rsidR="00231A39" w:rsidRPr="00421DE3" w:rsidRDefault="00231A39" w:rsidP="00231A39">
      <w:pPr>
        <w:pStyle w:val="ListParagraph"/>
        <w:numPr>
          <w:ilvl w:val="0"/>
          <w:numId w:val="29"/>
        </w:numPr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Use </w:t>
      </w:r>
      <w:r w:rsidR="00A83EC7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an 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occupancy map, if present and validated in a profile. To our opinion, this is the only interest </w:t>
      </w:r>
      <w:r w:rsidR="00A83EC7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of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hav</w:t>
      </w:r>
      <w:r w:rsidR="00A83EC7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ing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a specific bitstream for occupancy not embedded in the depth map.</w:t>
      </w:r>
    </w:p>
    <w:p w14:paraId="3F6B2B6E" w14:textId="7E0618DF" w:rsidR="00307726" w:rsidRPr="00421DE3" w:rsidRDefault="00307726">
      <w:pPr>
        <w:pStyle w:val="ListParagraph"/>
        <w:numPr>
          <w:ilvl w:val="0"/>
          <w:numId w:val="29"/>
        </w:numPr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Use the current geometry atlas</w:t>
      </w:r>
      <w:r w:rsidR="00BE033F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to embed the occupancy information only</w:t>
      </w:r>
      <w:r w:rsidR="00BE2839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r w:rsidR="00BE033F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mak</w:t>
      </w:r>
      <w:r w:rsidR="00BE2839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ing</w:t>
      </w:r>
      <w:r w:rsidR="00BE033F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use of the </w:t>
      </w:r>
      <w:r w:rsidR="00231A39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existing </w:t>
      </w:r>
      <w:r w:rsidR="00BE033F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occupancy map threshold mechanism. The depth information is still read from the patch_data_unit</w:t>
      </w:r>
      <w:r w:rsidR="00BB0EFA">
        <w:rPr>
          <w:rFonts w:ascii="Times New Roman" w:eastAsia="MS Mincho" w:hAnsi="Times New Roman" w:cs="Times New Roman"/>
          <w:sz w:val="24"/>
          <w:szCs w:val="24"/>
          <w:lang w:val="en-US"/>
        </w:rPr>
        <w:t>( p )</w:t>
      </w:r>
      <w:r w:rsidR="00BE033F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structure</w:t>
      </w:r>
      <w:r w:rsidR="009B342E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The depth value in the geometry atlas may be set </w:t>
      </w:r>
      <w:r w:rsidR="009B342E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lastRenderedPageBreak/>
        <w:t>to any constant value above the threshold.</w:t>
      </w:r>
      <w:r w:rsidR="00BE2839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9B342E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Note that in the case of an atlas with cardboard-like patches only, the </w:t>
      </w:r>
      <w:r w:rsidR="00262043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associated </w:t>
      </w:r>
      <w:r w:rsidR="009B342E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geometry frame could be 8-bit (instead of 10) dividing by 2 the required pixel</w:t>
      </w:r>
      <w:r w:rsidR="00231A39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9B342E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rate.</w:t>
      </w:r>
    </w:p>
    <w:p w14:paraId="522A71BF" w14:textId="52DB78EA" w:rsidR="008C0B52" w:rsidRPr="00421DE3" w:rsidRDefault="008C0B52" w:rsidP="009B342E">
      <w:pPr>
        <w:pStyle w:val="ListParagraph"/>
        <w:numPr>
          <w:ilvl w:val="0"/>
          <w:numId w:val="29"/>
        </w:numPr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Validate an alpha attribute component, which would open the door </w:t>
      </w:r>
      <w:r w:rsidR="00231A39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to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non binary key </w:t>
      </w:r>
      <w:r w:rsidR="00231A39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or transparency support 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as well.</w:t>
      </w:r>
    </w:p>
    <w:p w14:paraId="18E0BF2C" w14:textId="4AF50D56" w:rsidR="00240FE8" w:rsidRDefault="00F87BBC" w:rsidP="00BB0EFA">
      <w:pPr>
        <w:spacing w:after="120"/>
      </w:pPr>
      <w:r w:rsidRPr="00725668">
        <w:t>As far as packing is concerned</w:t>
      </w:r>
      <w:r w:rsidR="00A83EC7">
        <w:t>:</w:t>
      </w:r>
    </w:p>
    <w:p w14:paraId="79B0A20A" w14:textId="2D751DA9" w:rsidR="00A83EC7" w:rsidRPr="00421DE3" w:rsidRDefault="00A83EC7" w:rsidP="00A83EC7">
      <w:pPr>
        <w:pStyle w:val="ListParagraph"/>
        <w:numPr>
          <w:ilvl w:val="0"/>
          <w:numId w:val="30"/>
        </w:numPr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If all carboard patches are 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“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fully occupied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”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(envmap for instance) then</w:t>
      </w:r>
      <w:r w:rsidR="0018066F">
        <w:rPr>
          <w:rFonts w:ascii="Times New Roman" w:eastAsia="MS Mincho" w:hAnsi="Times New Roman" w:cs="Times New Roman"/>
          <w:sz w:val="24"/>
          <w:szCs w:val="24"/>
          <w:lang w:val="en-US"/>
        </w:rPr>
        <w:t>,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no need for any geometry / occupancy 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packing (vps_geometry_video_present_flag[ j ] equal to 0)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,</w:t>
      </w:r>
    </w:p>
    <w:p w14:paraId="42492607" w14:textId="32026C52" w:rsidR="00A83EC7" w:rsidRPr="00421DE3" w:rsidRDefault="00A83EC7" w:rsidP="00A83EC7">
      <w:pPr>
        <w:pStyle w:val="ListParagraph"/>
        <w:numPr>
          <w:ilvl w:val="0"/>
          <w:numId w:val="30"/>
        </w:numPr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If all cardboard patches are 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“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not fully occupied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”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, then occupancy and texture attribute should be symmetrically packed (</w:t>
      </w:r>
      <w:r w:rsidR="00FE62F8">
        <w:rPr>
          <w:rFonts w:ascii="Times New Roman" w:eastAsia="MS Mincho" w:hAnsi="Times New Roman" w:cs="Times New Roman"/>
          <w:sz w:val="24"/>
          <w:szCs w:val="24"/>
          <w:lang w:val="en-US"/>
        </w:rPr>
        <w:t>similarly to what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FE62F8">
        <w:rPr>
          <w:rFonts w:ascii="Times New Roman" w:eastAsia="MS Mincho" w:hAnsi="Times New Roman" w:cs="Times New Roman"/>
          <w:sz w:val="24"/>
          <w:szCs w:val="24"/>
          <w:lang w:val="en-US"/>
        </w:rPr>
        <w:t>is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current</w:t>
      </w:r>
      <w:r w:rsidR="00FE62F8">
        <w:rPr>
          <w:rFonts w:ascii="Times New Roman" w:eastAsia="MS Mincho" w:hAnsi="Times New Roman" w:cs="Times New Roman"/>
          <w:sz w:val="24"/>
          <w:szCs w:val="24"/>
          <w:lang w:val="en-US"/>
        </w:rPr>
        <w:t>ly done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FE62F8">
        <w:rPr>
          <w:rFonts w:ascii="Times New Roman" w:eastAsia="MS Mincho" w:hAnsi="Times New Roman" w:cs="Times New Roman"/>
          <w:sz w:val="24"/>
          <w:szCs w:val="24"/>
          <w:lang w:val="en-US"/>
        </w:rPr>
        <w:t>in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MIV)</w:t>
      </w:r>
    </w:p>
    <w:p w14:paraId="026217B4" w14:textId="1AA62585" w:rsidR="0084096B" w:rsidRPr="00421DE3" w:rsidRDefault="00A83EC7" w:rsidP="0084096B">
      <w:pPr>
        <w:pStyle w:val="ListParagraph"/>
        <w:numPr>
          <w:ilvl w:val="0"/>
          <w:numId w:val="30"/>
        </w:numPr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If  a mix of 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“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fully occupied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”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and 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“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non full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y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occupied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”</w:t>
      </w:r>
      <w:r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carboard patches are packed in a same atlas, 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then specific packing strategies at the encoding stage have to be used to</w:t>
      </w:r>
      <w:r w:rsidR="00F87BBC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ensure </w:t>
      </w:r>
      <w:r w:rsidR="00F87BBC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the symmetry between 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occupancy</w:t>
      </w:r>
      <w:r w:rsidR="00F87BBC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and texture attribute packing</w:t>
      </w:r>
      <w:r w:rsidR="00240FE8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of “non fully occupied” patches  (pack “non fully occupied” patches first for instance)</w:t>
      </w:r>
      <w:r w:rsidR="00F87BBC" w:rsidRPr="00421DE3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</w:p>
    <w:p w14:paraId="08BD1ED4" w14:textId="557F8703" w:rsidR="004E23DC" w:rsidRPr="004E23DC" w:rsidRDefault="00413AA6" w:rsidP="005B78DA">
      <w:pPr>
        <w:pStyle w:val="Heading1"/>
      </w:pPr>
      <w:r>
        <w:t>Conclusion and recommendations</w:t>
      </w:r>
    </w:p>
    <w:p w14:paraId="2715E398" w14:textId="185B45FA" w:rsidR="00754F73" w:rsidRPr="005F67CD" w:rsidRDefault="00C75BDA">
      <w:pPr>
        <w:spacing w:after="120"/>
        <w:rPr>
          <w:lang w:val="en-GB"/>
        </w:rPr>
      </w:pPr>
      <w:r>
        <w:t>The ability to signal</w:t>
      </w:r>
      <w:r w:rsidR="00754F73">
        <w:t xml:space="preserve"> “cardboard” patches, i.e. patches </w:t>
      </w:r>
      <w:r>
        <w:t xml:space="preserve">which geometry is defined by a single depth value, </w:t>
      </w:r>
      <w:r w:rsidR="001066B3">
        <w:t xml:space="preserve">could </w:t>
      </w:r>
      <w:r>
        <w:t>yield significant pixel rate and bitrate saving for a number of 3D content</w:t>
      </w:r>
      <w:r w:rsidR="0018066F">
        <w:t>s</w:t>
      </w:r>
      <w:r>
        <w:t>.</w:t>
      </w:r>
      <w:r w:rsidR="001066B3">
        <w:t xml:space="preserve"> The decoder could also take advantage of this information to speed-up the scene rendering</w:t>
      </w:r>
      <w:r w:rsidR="0018066F">
        <w:t>. A better robustness to video coding is also ensured by the way the depth information is stored within the metadata bistream.</w:t>
      </w:r>
    </w:p>
    <w:p w14:paraId="1E961890" w14:textId="24E88E1D" w:rsidR="00C973A4" w:rsidRDefault="00413AA6" w:rsidP="005B78DA">
      <w:pPr>
        <w:spacing w:after="120"/>
      </w:pPr>
      <w:r>
        <w:t xml:space="preserve">We </w:t>
      </w:r>
      <w:r w:rsidR="00754F73">
        <w:t xml:space="preserve">therefore </w:t>
      </w:r>
      <w:r w:rsidR="008E3D8D">
        <w:t>recommend</w:t>
      </w:r>
      <w:r w:rsidR="00CF694A">
        <w:t xml:space="preserve"> </w:t>
      </w:r>
      <w:r w:rsidR="00754F73">
        <w:t xml:space="preserve">the adoption within the MIV specification </w:t>
      </w:r>
      <w:r w:rsidR="009A29EC">
        <w:t xml:space="preserve">of </w:t>
      </w:r>
      <w:r w:rsidR="00754F73">
        <w:t xml:space="preserve">a cardboard patch </w:t>
      </w:r>
      <w:r w:rsidR="00040E9A">
        <w:t>signaling</w:t>
      </w:r>
      <w:r w:rsidR="00754F73">
        <w:t xml:space="preserve"> mechanism, at the </w:t>
      </w:r>
      <w:r w:rsidR="00EB1328">
        <w:t xml:space="preserve">atlas </w:t>
      </w:r>
      <w:r w:rsidR="00754F73">
        <w:t>level, complete</w:t>
      </w:r>
      <w:r w:rsidR="00C75BDA">
        <w:t>d</w:t>
      </w:r>
      <w:r w:rsidR="00754F73">
        <w:t xml:space="preserve"> with a </w:t>
      </w:r>
      <w:r w:rsidR="00040E9A">
        <w:t>signaling</w:t>
      </w:r>
      <w:r w:rsidR="00754F73">
        <w:t xml:space="preserve"> </w:t>
      </w:r>
      <w:r w:rsidR="00EB1328">
        <w:t xml:space="preserve">of the depth and occupancy status </w:t>
      </w:r>
      <w:r w:rsidR="00754F73">
        <w:t>at</w:t>
      </w:r>
      <w:r w:rsidR="00EB1328">
        <w:t xml:space="preserve"> the</w:t>
      </w:r>
      <w:r w:rsidR="00754F73">
        <w:t xml:space="preserve"> </w:t>
      </w:r>
      <w:r w:rsidR="00EB1328">
        <w:t xml:space="preserve">patch </w:t>
      </w:r>
      <w:r w:rsidR="00754F73">
        <w:t xml:space="preserve">level (as described in section </w:t>
      </w:r>
      <w:r w:rsidR="00754F73">
        <w:fldChar w:fldCharType="begin"/>
      </w:r>
      <w:r w:rsidR="00754F73">
        <w:instrText xml:space="preserve"> REF _Ref43745964 \r \h </w:instrText>
      </w:r>
      <w:r w:rsidR="00754F73">
        <w:fldChar w:fldCharType="separate"/>
      </w:r>
      <w:r w:rsidR="001066B3">
        <w:t>2.2</w:t>
      </w:r>
      <w:r w:rsidR="00754F73">
        <w:fldChar w:fldCharType="end"/>
      </w:r>
      <w:r w:rsidR="00754F73">
        <w:t>).</w:t>
      </w:r>
    </w:p>
    <w:p w14:paraId="66CDDB7D" w14:textId="228EBE05" w:rsidR="001066B3" w:rsidRDefault="001066B3" w:rsidP="001066B3">
      <w:pPr>
        <w:spacing w:after="120"/>
      </w:pPr>
      <w:r>
        <w:t xml:space="preserve">We </w:t>
      </w:r>
      <w:r w:rsidR="00065D71">
        <w:t>draw attention that t</w:t>
      </w:r>
      <w:r>
        <w:t xml:space="preserve">he use of </w:t>
      </w:r>
      <w:r w:rsidR="0018066F">
        <w:t>non-fully</w:t>
      </w:r>
      <w:r w:rsidR="00065D71">
        <w:t xml:space="preserve"> occupied</w:t>
      </w:r>
      <w:r>
        <w:t xml:space="preserve"> cardboard patches requires the activation of an occupancy map</w:t>
      </w:r>
      <w:r w:rsidR="00EB1328">
        <w:t xml:space="preserve"> mechanism</w:t>
      </w:r>
      <w:r>
        <w:t>.</w:t>
      </w:r>
    </w:p>
    <w:p w14:paraId="00520D1E" w14:textId="77777777" w:rsidR="001066B3" w:rsidRDefault="001066B3" w:rsidP="005B78DA">
      <w:pPr>
        <w:spacing w:after="120"/>
      </w:pPr>
    </w:p>
    <w:p w14:paraId="6FE6E264" w14:textId="77777777" w:rsidR="00754F73" w:rsidRPr="003B68E3" w:rsidRDefault="00754F73" w:rsidP="005B78DA">
      <w:pPr>
        <w:spacing w:after="120"/>
      </w:pPr>
    </w:p>
    <w:p w14:paraId="0F5F8C30" w14:textId="7692976C" w:rsidR="000E49CB" w:rsidRPr="003B68E3" w:rsidRDefault="00754F73" w:rsidP="005B78DA">
      <w:pPr>
        <w:spacing w:after="120"/>
      </w:pPr>
      <w:r>
        <w:t xml:space="preserve"> </w:t>
      </w:r>
    </w:p>
    <w:sectPr w:rsidR="000E49CB" w:rsidRPr="003B68E3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1F381" w14:textId="77777777" w:rsidR="006C5EFE" w:rsidRDefault="006C5EFE">
      <w:r>
        <w:separator/>
      </w:r>
    </w:p>
  </w:endnote>
  <w:endnote w:type="continuationSeparator" w:id="0">
    <w:p w14:paraId="4BE8A21B" w14:textId="77777777" w:rsidR="006C5EFE" w:rsidRDefault="006C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24B18" w14:textId="77777777" w:rsidR="006C5EFE" w:rsidRDefault="006C5EFE">
      <w:r>
        <w:separator/>
      </w:r>
    </w:p>
  </w:footnote>
  <w:footnote w:type="continuationSeparator" w:id="0">
    <w:p w14:paraId="78EA3050" w14:textId="77777777" w:rsidR="006C5EFE" w:rsidRDefault="006C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1409"/>
    <w:multiLevelType w:val="hybridMultilevel"/>
    <w:tmpl w:val="8F0A1D4E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E0166">
      <w:start w:val="5"/>
      <w:numFmt w:val="bullet"/>
      <w:lvlText w:val="-"/>
      <w:lvlJc w:val="left"/>
      <w:pPr>
        <w:ind w:left="2880" w:hanging="360"/>
      </w:pPr>
      <w:rPr>
        <w:rFonts w:ascii="Cambria" w:eastAsiaTheme="minorEastAsia" w:hAnsi="Cambria" w:cs="Times New Roman" w:hint="default"/>
        <w:color w:val="000000" w:themeColor="text1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592"/>
    <w:multiLevelType w:val="hybridMultilevel"/>
    <w:tmpl w:val="7840AF3A"/>
    <w:lvl w:ilvl="0" w:tplc="E9B6B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2386"/>
    <w:multiLevelType w:val="hybridMultilevel"/>
    <w:tmpl w:val="E3D046F8"/>
    <w:lvl w:ilvl="0" w:tplc="02A85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AF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66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E5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87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48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AB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0C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A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2A0220"/>
    <w:multiLevelType w:val="hybridMultilevel"/>
    <w:tmpl w:val="6210807C"/>
    <w:lvl w:ilvl="0" w:tplc="A6A82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ED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AA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2E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47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2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68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C0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89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B928E2"/>
    <w:multiLevelType w:val="hybridMultilevel"/>
    <w:tmpl w:val="7840AF3A"/>
    <w:lvl w:ilvl="0" w:tplc="E9B6B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043B"/>
    <w:multiLevelType w:val="hybridMultilevel"/>
    <w:tmpl w:val="BFBAF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6D15"/>
    <w:multiLevelType w:val="hybridMultilevel"/>
    <w:tmpl w:val="3DAC4EA8"/>
    <w:lvl w:ilvl="0" w:tplc="F5FEC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583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F6B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4D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68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45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E7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00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8E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C2762"/>
    <w:multiLevelType w:val="hybridMultilevel"/>
    <w:tmpl w:val="8E4C78E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C07EC1"/>
    <w:multiLevelType w:val="hybridMultilevel"/>
    <w:tmpl w:val="0D1C6F80"/>
    <w:lvl w:ilvl="0" w:tplc="1E9EE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2C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8E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EC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09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25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64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C3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EB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29592C"/>
    <w:multiLevelType w:val="hybridMultilevel"/>
    <w:tmpl w:val="585663D0"/>
    <w:lvl w:ilvl="0" w:tplc="7958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04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AD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0F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4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A9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8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EC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0F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874637"/>
    <w:multiLevelType w:val="hybridMultilevel"/>
    <w:tmpl w:val="D24A15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770F"/>
    <w:multiLevelType w:val="hybridMultilevel"/>
    <w:tmpl w:val="8F9E373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37E"/>
    <w:multiLevelType w:val="hybridMultilevel"/>
    <w:tmpl w:val="83B2D4F0"/>
    <w:lvl w:ilvl="0" w:tplc="FFFFFFFF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4D45BE"/>
    <w:multiLevelType w:val="hybridMultilevel"/>
    <w:tmpl w:val="BFBAF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F41A1"/>
    <w:multiLevelType w:val="multilevel"/>
    <w:tmpl w:val="0D8C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EE712A"/>
    <w:multiLevelType w:val="hybridMultilevel"/>
    <w:tmpl w:val="3A088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B227D"/>
    <w:multiLevelType w:val="hybridMultilevel"/>
    <w:tmpl w:val="E5823978"/>
    <w:lvl w:ilvl="0" w:tplc="73E0B554">
      <w:numFmt w:val="bullet"/>
      <w:lvlText w:val="-"/>
      <w:lvlJc w:val="left"/>
      <w:pPr>
        <w:ind w:left="71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1D227C7"/>
    <w:multiLevelType w:val="hybridMultilevel"/>
    <w:tmpl w:val="53A40E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24AB9"/>
    <w:multiLevelType w:val="hybridMultilevel"/>
    <w:tmpl w:val="DB7003AA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9" w15:restartNumberingAfterBreak="0">
    <w:nsid w:val="530B1098"/>
    <w:multiLevelType w:val="hybridMultilevel"/>
    <w:tmpl w:val="7840AF3A"/>
    <w:lvl w:ilvl="0" w:tplc="E9B6B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1451B"/>
    <w:multiLevelType w:val="hybridMultilevel"/>
    <w:tmpl w:val="9DFEA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65DAE"/>
    <w:multiLevelType w:val="hybridMultilevel"/>
    <w:tmpl w:val="65A844D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54693"/>
    <w:multiLevelType w:val="hybridMultilevel"/>
    <w:tmpl w:val="8A349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618E8"/>
    <w:multiLevelType w:val="hybridMultilevel"/>
    <w:tmpl w:val="7E2CEABC"/>
    <w:lvl w:ilvl="0" w:tplc="D458B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22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64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1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6A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89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2A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69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0C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27E0FE0"/>
    <w:multiLevelType w:val="hybridMultilevel"/>
    <w:tmpl w:val="6A0AA3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3406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44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7442C22"/>
    <w:multiLevelType w:val="hybridMultilevel"/>
    <w:tmpl w:val="83E4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D0CE9"/>
    <w:multiLevelType w:val="hybridMultilevel"/>
    <w:tmpl w:val="02782F96"/>
    <w:lvl w:ilvl="0" w:tplc="0898F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C8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04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66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CD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64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29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80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09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C115966"/>
    <w:multiLevelType w:val="hybridMultilevel"/>
    <w:tmpl w:val="AD226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A3427"/>
    <w:multiLevelType w:val="hybridMultilevel"/>
    <w:tmpl w:val="FBC67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8"/>
  </w:num>
  <w:num w:numId="4">
    <w:abstractNumId w:val="20"/>
  </w:num>
  <w:num w:numId="5">
    <w:abstractNumId w:val="26"/>
  </w:num>
  <w:num w:numId="6">
    <w:abstractNumId w:val="13"/>
  </w:num>
  <w:num w:numId="7">
    <w:abstractNumId w:val="6"/>
  </w:num>
  <w:num w:numId="8">
    <w:abstractNumId w:val="5"/>
  </w:num>
  <w:num w:numId="9">
    <w:abstractNumId w:val="14"/>
  </w:num>
  <w:num w:numId="10">
    <w:abstractNumId w:val="29"/>
  </w:num>
  <w:num w:numId="11">
    <w:abstractNumId w:val="0"/>
  </w:num>
  <w:num w:numId="12">
    <w:abstractNumId w:val="19"/>
  </w:num>
  <w:num w:numId="13">
    <w:abstractNumId w:val="10"/>
  </w:num>
  <w:num w:numId="14">
    <w:abstractNumId w:val="12"/>
  </w:num>
  <w:num w:numId="15">
    <w:abstractNumId w:val="27"/>
  </w:num>
  <w:num w:numId="16">
    <w:abstractNumId w:val="23"/>
  </w:num>
  <w:num w:numId="17">
    <w:abstractNumId w:val="8"/>
  </w:num>
  <w:num w:numId="18">
    <w:abstractNumId w:val="9"/>
  </w:num>
  <w:num w:numId="19">
    <w:abstractNumId w:val="2"/>
  </w:num>
  <w:num w:numId="20">
    <w:abstractNumId w:val="3"/>
  </w:num>
  <w:num w:numId="21">
    <w:abstractNumId w:val="4"/>
  </w:num>
  <w:num w:numId="22">
    <w:abstractNumId w:val="1"/>
  </w:num>
  <w:num w:numId="23">
    <w:abstractNumId w:val="18"/>
  </w:num>
  <w:num w:numId="24">
    <w:abstractNumId w:val="7"/>
  </w:num>
  <w:num w:numId="25">
    <w:abstractNumId w:val="24"/>
  </w:num>
  <w:num w:numId="26">
    <w:abstractNumId w:val="15"/>
  </w:num>
  <w:num w:numId="27">
    <w:abstractNumId w:val="11"/>
  </w:num>
  <w:num w:numId="28">
    <w:abstractNumId w:val="17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554"/>
    <w:rsid w:val="00001131"/>
    <w:rsid w:val="000030A5"/>
    <w:rsid w:val="00014A31"/>
    <w:rsid w:val="00024982"/>
    <w:rsid w:val="000303AE"/>
    <w:rsid w:val="00040BF4"/>
    <w:rsid w:val="00040E9A"/>
    <w:rsid w:val="00041876"/>
    <w:rsid w:val="00042502"/>
    <w:rsid w:val="00043DC9"/>
    <w:rsid w:val="00046C03"/>
    <w:rsid w:val="000549B5"/>
    <w:rsid w:val="000632C3"/>
    <w:rsid w:val="00065D71"/>
    <w:rsid w:val="00071E2D"/>
    <w:rsid w:val="00074A64"/>
    <w:rsid w:val="00081440"/>
    <w:rsid w:val="000864C0"/>
    <w:rsid w:val="00090C5F"/>
    <w:rsid w:val="00094311"/>
    <w:rsid w:val="00095165"/>
    <w:rsid w:val="000A0B52"/>
    <w:rsid w:val="000A2079"/>
    <w:rsid w:val="000A6413"/>
    <w:rsid w:val="000B07A8"/>
    <w:rsid w:val="000C4BEF"/>
    <w:rsid w:val="000D7AFD"/>
    <w:rsid w:val="000E1FB4"/>
    <w:rsid w:val="000E2962"/>
    <w:rsid w:val="000E49CB"/>
    <w:rsid w:val="000F0CA7"/>
    <w:rsid w:val="000F63C0"/>
    <w:rsid w:val="00101115"/>
    <w:rsid w:val="001024BB"/>
    <w:rsid w:val="001066B3"/>
    <w:rsid w:val="00116B04"/>
    <w:rsid w:val="00123579"/>
    <w:rsid w:val="00130DCB"/>
    <w:rsid w:val="001443DD"/>
    <w:rsid w:val="00157413"/>
    <w:rsid w:val="00160554"/>
    <w:rsid w:val="0017276D"/>
    <w:rsid w:val="0017560C"/>
    <w:rsid w:val="001756AD"/>
    <w:rsid w:val="0018066F"/>
    <w:rsid w:val="00186081"/>
    <w:rsid w:val="001A5396"/>
    <w:rsid w:val="001B5C6F"/>
    <w:rsid w:val="001B6355"/>
    <w:rsid w:val="001C4578"/>
    <w:rsid w:val="001C7539"/>
    <w:rsid w:val="001E7939"/>
    <w:rsid w:val="001E7F64"/>
    <w:rsid w:val="002020F5"/>
    <w:rsid w:val="002103EF"/>
    <w:rsid w:val="002104C8"/>
    <w:rsid w:val="00212715"/>
    <w:rsid w:val="00216476"/>
    <w:rsid w:val="00231A39"/>
    <w:rsid w:val="00236A7D"/>
    <w:rsid w:val="00240FE8"/>
    <w:rsid w:val="00251211"/>
    <w:rsid w:val="00252189"/>
    <w:rsid w:val="0025271C"/>
    <w:rsid w:val="00252D22"/>
    <w:rsid w:val="00260B68"/>
    <w:rsid w:val="00262043"/>
    <w:rsid w:val="002765EC"/>
    <w:rsid w:val="0028001B"/>
    <w:rsid w:val="00286BF7"/>
    <w:rsid w:val="002A0F6C"/>
    <w:rsid w:val="002A2077"/>
    <w:rsid w:val="002A4209"/>
    <w:rsid w:val="002A74B8"/>
    <w:rsid w:val="002B7AEE"/>
    <w:rsid w:val="002D2590"/>
    <w:rsid w:val="002D3CA5"/>
    <w:rsid w:val="002D7577"/>
    <w:rsid w:val="002E347B"/>
    <w:rsid w:val="002F7360"/>
    <w:rsid w:val="00301AED"/>
    <w:rsid w:val="00306352"/>
    <w:rsid w:val="003068D6"/>
    <w:rsid w:val="00307726"/>
    <w:rsid w:val="00315790"/>
    <w:rsid w:val="003401C4"/>
    <w:rsid w:val="003551D4"/>
    <w:rsid w:val="003603F4"/>
    <w:rsid w:val="00373ABC"/>
    <w:rsid w:val="00377243"/>
    <w:rsid w:val="00397A7A"/>
    <w:rsid w:val="003A26C3"/>
    <w:rsid w:val="003B43DB"/>
    <w:rsid w:val="003B5292"/>
    <w:rsid w:val="003B68E3"/>
    <w:rsid w:val="003B7036"/>
    <w:rsid w:val="003C0664"/>
    <w:rsid w:val="003C1AF5"/>
    <w:rsid w:val="003D0964"/>
    <w:rsid w:val="003D70B0"/>
    <w:rsid w:val="004017BD"/>
    <w:rsid w:val="0040238C"/>
    <w:rsid w:val="00410AE1"/>
    <w:rsid w:val="00410D4C"/>
    <w:rsid w:val="00412944"/>
    <w:rsid w:val="00413AA6"/>
    <w:rsid w:val="0041749C"/>
    <w:rsid w:val="00421DE3"/>
    <w:rsid w:val="00426E74"/>
    <w:rsid w:val="004317DE"/>
    <w:rsid w:val="00433470"/>
    <w:rsid w:val="00436FCB"/>
    <w:rsid w:val="00450A5B"/>
    <w:rsid w:val="004A1988"/>
    <w:rsid w:val="004A245C"/>
    <w:rsid w:val="004A35F8"/>
    <w:rsid w:val="004E23DC"/>
    <w:rsid w:val="004E2C90"/>
    <w:rsid w:val="004F37C8"/>
    <w:rsid w:val="004F5BF6"/>
    <w:rsid w:val="005012C2"/>
    <w:rsid w:val="005057A6"/>
    <w:rsid w:val="005319A0"/>
    <w:rsid w:val="00532E5A"/>
    <w:rsid w:val="005331E2"/>
    <w:rsid w:val="00534AAD"/>
    <w:rsid w:val="00540079"/>
    <w:rsid w:val="00543551"/>
    <w:rsid w:val="00555A68"/>
    <w:rsid w:val="005560C4"/>
    <w:rsid w:val="005567C8"/>
    <w:rsid w:val="005569E3"/>
    <w:rsid w:val="00557708"/>
    <w:rsid w:val="00580E0C"/>
    <w:rsid w:val="00586F66"/>
    <w:rsid w:val="00596D76"/>
    <w:rsid w:val="005A1B9F"/>
    <w:rsid w:val="005B0661"/>
    <w:rsid w:val="005B4104"/>
    <w:rsid w:val="005B78DA"/>
    <w:rsid w:val="005C004A"/>
    <w:rsid w:val="005C5759"/>
    <w:rsid w:val="005C6A11"/>
    <w:rsid w:val="005D0EF3"/>
    <w:rsid w:val="005E294B"/>
    <w:rsid w:val="005E4D5D"/>
    <w:rsid w:val="005E6752"/>
    <w:rsid w:val="005F12C1"/>
    <w:rsid w:val="005F4984"/>
    <w:rsid w:val="005F67CD"/>
    <w:rsid w:val="00600705"/>
    <w:rsid w:val="00603336"/>
    <w:rsid w:val="00603405"/>
    <w:rsid w:val="00606FB8"/>
    <w:rsid w:val="00612248"/>
    <w:rsid w:val="0061245A"/>
    <w:rsid w:val="00616444"/>
    <w:rsid w:val="00622471"/>
    <w:rsid w:val="0062613F"/>
    <w:rsid w:val="00631B65"/>
    <w:rsid w:val="00642CED"/>
    <w:rsid w:val="00662B4C"/>
    <w:rsid w:val="00663736"/>
    <w:rsid w:val="00664A2A"/>
    <w:rsid w:val="00675AE9"/>
    <w:rsid w:val="0068058F"/>
    <w:rsid w:val="00694F76"/>
    <w:rsid w:val="006C5EFE"/>
    <w:rsid w:val="006D7C17"/>
    <w:rsid w:val="006D7EBB"/>
    <w:rsid w:val="006E03BD"/>
    <w:rsid w:val="006E59A2"/>
    <w:rsid w:val="006E67E8"/>
    <w:rsid w:val="006F2764"/>
    <w:rsid w:val="007142EF"/>
    <w:rsid w:val="00725668"/>
    <w:rsid w:val="00725DD5"/>
    <w:rsid w:val="007315F0"/>
    <w:rsid w:val="007339F4"/>
    <w:rsid w:val="0073527C"/>
    <w:rsid w:val="00754F73"/>
    <w:rsid w:val="007918CD"/>
    <w:rsid w:val="007A16BE"/>
    <w:rsid w:val="007B4CC8"/>
    <w:rsid w:val="007B75FF"/>
    <w:rsid w:val="007C790A"/>
    <w:rsid w:val="007E206B"/>
    <w:rsid w:val="007E634D"/>
    <w:rsid w:val="00827D86"/>
    <w:rsid w:val="0084096B"/>
    <w:rsid w:val="008440B6"/>
    <w:rsid w:val="00856A63"/>
    <w:rsid w:val="00862BB2"/>
    <w:rsid w:val="008725EF"/>
    <w:rsid w:val="00874DAC"/>
    <w:rsid w:val="0088557E"/>
    <w:rsid w:val="00887B76"/>
    <w:rsid w:val="00891EA4"/>
    <w:rsid w:val="008A0029"/>
    <w:rsid w:val="008A342E"/>
    <w:rsid w:val="008A7099"/>
    <w:rsid w:val="008B0A18"/>
    <w:rsid w:val="008B44D5"/>
    <w:rsid w:val="008C0B52"/>
    <w:rsid w:val="008D68AD"/>
    <w:rsid w:val="008D6B39"/>
    <w:rsid w:val="008D6E53"/>
    <w:rsid w:val="008E3D71"/>
    <w:rsid w:val="008E3D8D"/>
    <w:rsid w:val="008E5688"/>
    <w:rsid w:val="008F36A4"/>
    <w:rsid w:val="008F4FD2"/>
    <w:rsid w:val="008F6342"/>
    <w:rsid w:val="00906510"/>
    <w:rsid w:val="0091129A"/>
    <w:rsid w:val="009205BA"/>
    <w:rsid w:val="0093182F"/>
    <w:rsid w:val="00940B52"/>
    <w:rsid w:val="00943CF5"/>
    <w:rsid w:val="00950D45"/>
    <w:rsid w:val="0095204D"/>
    <w:rsid w:val="009811FC"/>
    <w:rsid w:val="009A29EC"/>
    <w:rsid w:val="009B342E"/>
    <w:rsid w:val="009B3C17"/>
    <w:rsid w:val="009C1698"/>
    <w:rsid w:val="009C6FC1"/>
    <w:rsid w:val="009D06EE"/>
    <w:rsid w:val="009D4AAD"/>
    <w:rsid w:val="009E086F"/>
    <w:rsid w:val="009E23F8"/>
    <w:rsid w:val="009F7531"/>
    <w:rsid w:val="009F7F29"/>
    <w:rsid w:val="00A06B65"/>
    <w:rsid w:val="00A106FC"/>
    <w:rsid w:val="00A17A5A"/>
    <w:rsid w:val="00A223E6"/>
    <w:rsid w:val="00A24E97"/>
    <w:rsid w:val="00A379D5"/>
    <w:rsid w:val="00A41DD2"/>
    <w:rsid w:val="00A41E8E"/>
    <w:rsid w:val="00A47BDD"/>
    <w:rsid w:val="00A6372E"/>
    <w:rsid w:val="00A733D9"/>
    <w:rsid w:val="00A8397A"/>
    <w:rsid w:val="00A83EC7"/>
    <w:rsid w:val="00A85363"/>
    <w:rsid w:val="00A936BA"/>
    <w:rsid w:val="00AA3417"/>
    <w:rsid w:val="00AB0248"/>
    <w:rsid w:val="00AC5CD7"/>
    <w:rsid w:val="00AC666A"/>
    <w:rsid w:val="00AD2366"/>
    <w:rsid w:val="00AD2625"/>
    <w:rsid w:val="00AD4222"/>
    <w:rsid w:val="00AF7F98"/>
    <w:rsid w:val="00B03A5D"/>
    <w:rsid w:val="00B249A1"/>
    <w:rsid w:val="00B4634E"/>
    <w:rsid w:val="00B630A3"/>
    <w:rsid w:val="00B70577"/>
    <w:rsid w:val="00B706EB"/>
    <w:rsid w:val="00B72E52"/>
    <w:rsid w:val="00B7445F"/>
    <w:rsid w:val="00B92337"/>
    <w:rsid w:val="00B95CF8"/>
    <w:rsid w:val="00B9621C"/>
    <w:rsid w:val="00BB0EFA"/>
    <w:rsid w:val="00BC6431"/>
    <w:rsid w:val="00BD5E26"/>
    <w:rsid w:val="00BE033F"/>
    <w:rsid w:val="00BE03CE"/>
    <w:rsid w:val="00BE2839"/>
    <w:rsid w:val="00C00A3C"/>
    <w:rsid w:val="00C0319E"/>
    <w:rsid w:val="00C06092"/>
    <w:rsid w:val="00C067B2"/>
    <w:rsid w:val="00C12663"/>
    <w:rsid w:val="00C220EB"/>
    <w:rsid w:val="00C46995"/>
    <w:rsid w:val="00C514A8"/>
    <w:rsid w:val="00C573C4"/>
    <w:rsid w:val="00C66BA9"/>
    <w:rsid w:val="00C725F4"/>
    <w:rsid w:val="00C75BDA"/>
    <w:rsid w:val="00C80D26"/>
    <w:rsid w:val="00C816D9"/>
    <w:rsid w:val="00C82AE3"/>
    <w:rsid w:val="00C8581A"/>
    <w:rsid w:val="00C901C0"/>
    <w:rsid w:val="00C973A4"/>
    <w:rsid w:val="00CA7E20"/>
    <w:rsid w:val="00CB1449"/>
    <w:rsid w:val="00CB789C"/>
    <w:rsid w:val="00CC5DD2"/>
    <w:rsid w:val="00CC6719"/>
    <w:rsid w:val="00CE709F"/>
    <w:rsid w:val="00CE70C4"/>
    <w:rsid w:val="00CF694A"/>
    <w:rsid w:val="00D00E46"/>
    <w:rsid w:val="00D212EF"/>
    <w:rsid w:val="00D24D3D"/>
    <w:rsid w:val="00D2614F"/>
    <w:rsid w:val="00D32B4E"/>
    <w:rsid w:val="00D47FEB"/>
    <w:rsid w:val="00D50CAC"/>
    <w:rsid w:val="00D5432D"/>
    <w:rsid w:val="00D6738B"/>
    <w:rsid w:val="00D840CA"/>
    <w:rsid w:val="00D90ABF"/>
    <w:rsid w:val="00DA457A"/>
    <w:rsid w:val="00DA6C4C"/>
    <w:rsid w:val="00DB0CDB"/>
    <w:rsid w:val="00DC1D17"/>
    <w:rsid w:val="00DE5C3A"/>
    <w:rsid w:val="00DF2973"/>
    <w:rsid w:val="00DF65F2"/>
    <w:rsid w:val="00DF7608"/>
    <w:rsid w:val="00E01A8C"/>
    <w:rsid w:val="00E037D5"/>
    <w:rsid w:val="00E31013"/>
    <w:rsid w:val="00E4330C"/>
    <w:rsid w:val="00E57F51"/>
    <w:rsid w:val="00E6161B"/>
    <w:rsid w:val="00E6746D"/>
    <w:rsid w:val="00E8606B"/>
    <w:rsid w:val="00E97EE6"/>
    <w:rsid w:val="00EA0024"/>
    <w:rsid w:val="00EA762C"/>
    <w:rsid w:val="00EB1328"/>
    <w:rsid w:val="00EB27B0"/>
    <w:rsid w:val="00EC0689"/>
    <w:rsid w:val="00ED7898"/>
    <w:rsid w:val="00EE1E9C"/>
    <w:rsid w:val="00EE668B"/>
    <w:rsid w:val="00EF5FB8"/>
    <w:rsid w:val="00F03C54"/>
    <w:rsid w:val="00F1399D"/>
    <w:rsid w:val="00F36021"/>
    <w:rsid w:val="00F46735"/>
    <w:rsid w:val="00F65323"/>
    <w:rsid w:val="00F7196C"/>
    <w:rsid w:val="00F87BBC"/>
    <w:rsid w:val="00F91753"/>
    <w:rsid w:val="00FA551D"/>
    <w:rsid w:val="00FB6047"/>
    <w:rsid w:val="00FB6B7B"/>
    <w:rsid w:val="00FC3CC9"/>
    <w:rsid w:val="00FD0122"/>
    <w:rsid w:val="00FD36E7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68B7DDF"/>
  <w15:chartTrackingRefBased/>
  <w15:docId w15:val="{1EAC3F0B-B798-46CE-AF29-0B99A28B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106FC"/>
    <w:pPr>
      <w:keepNext/>
      <w:numPr>
        <w:ilvl w:val="1"/>
        <w:numId w:val="1"/>
      </w:numPr>
      <w:spacing w:before="240" w:after="60"/>
      <w:ind w:left="576"/>
      <w:jc w:val="left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mbria" w:eastAsia="Times New Roman" w:hAnsi="Cambria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mbria" w:eastAsia="Times New Roman" w:hAnsi="Cambria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106FC"/>
    <w:rPr>
      <w:rFonts w:ascii="Calibri" w:eastAsia="Times New Roman" w:hAnsi="Calibr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mbria" w:eastAsia="Times New Roman" w:hAnsi="Cambria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libri" w:eastAsia="Times New Roman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443D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Caption">
    <w:name w:val="caption"/>
    <w:basedOn w:val="Normal"/>
    <w:next w:val="Normal"/>
    <w:unhideWhenUsed/>
    <w:qFormat/>
    <w:rsid w:val="008B0A18"/>
    <w:pPr>
      <w:spacing w:after="20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CB789C"/>
    <w:pPr>
      <w:spacing w:before="100" w:beforeAutospacing="1" w:after="100" w:afterAutospacing="1"/>
      <w:jc w:val="left"/>
    </w:pPr>
    <w:rPr>
      <w:rFonts w:eastAsia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AE"/>
    <w:rPr>
      <w:rFonts w:ascii="Segoe UI" w:hAnsi="Segoe UI" w:cs="Segoe UI"/>
      <w:sz w:val="18"/>
      <w:szCs w:val="18"/>
    </w:rPr>
  </w:style>
  <w:style w:type="paragraph" w:customStyle="1" w:styleId="tablesyntax">
    <w:name w:val="table syntax"/>
    <w:basedOn w:val="Normal"/>
    <w:link w:val="tablesyntaxChar"/>
    <w:qFormat/>
    <w:rsid w:val="00827D86"/>
    <w:pPr>
      <w:keepNext/>
      <w:keepLine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" w:eastAsia="Malgun Gothic" w:hAnsi="Times"/>
      <w:sz w:val="20"/>
      <w:szCs w:val="20"/>
      <w:lang w:val="en-CA"/>
    </w:rPr>
  </w:style>
  <w:style w:type="character" w:customStyle="1" w:styleId="tablesyntaxChar">
    <w:name w:val="table syntax Char"/>
    <w:link w:val="tablesyntax"/>
    <w:qFormat/>
    <w:locked/>
    <w:rsid w:val="00827D86"/>
    <w:rPr>
      <w:rFonts w:ascii="Times" w:eastAsia="Malgun Gothic" w:hAnsi="Times"/>
      <w:lang w:val="en-CA"/>
    </w:rPr>
  </w:style>
  <w:style w:type="character" w:customStyle="1" w:styleId="ListParagraphChar">
    <w:name w:val="List Paragraph Char"/>
    <w:link w:val="ListParagraph"/>
    <w:uiPriority w:val="34"/>
    <w:rsid w:val="007B75FF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SyntaxElement">
    <w:name w:val="SyntaxElement"/>
    <w:basedOn w:val="Normal"/>
    <w:qFormat/>
    <w:rsid w:val="004E23DC"/>
    <w:pPr>
      <w:keepNext/>
      <w:keepLines/>
      <w:tabs>
        <w:tab w:val="left" w:pos="227"/>
        <w:tab w:val="left" w:pos="454"/>
        <w:tab w:val="left" w:pos="680"/>
        <w:tab w:val="left" w:pos="907"/>
        <w:tab w:val="left" w:pos="1134"/>
      </w:tabs>
      <w:overflowPunct w:val="0"/>
      <w:autoSpaceDE w:val="0"/>
      <w:autoSpaceDN w:val="0"/>
      <w:adjustRightInd w:val="0"/>
      <w:spacing w:before="20" w:after="40"/>
      <w:textAlignment w:val="baseline"/>
    </w:pPr>
    <w:rPr>
      <w:rFonts w:ascii="Cambria" w:eastAsia="Times New Roman" w:hAnsi="Cambria"/>
      <w:sz w:val="20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24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D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D3D"/>
    <w:rPr>
      <w:b/>
      <w:bCs/>
    </w:rPr>
  </w:style>
  <w:style w:type="paragraph" w:customStyle="1" w:styleId="Standarduser">
    <w:name w:val="Standard (user)"/>
    <w:rsid w:val="005F12C1"/>
    <w:pPr>
      <w:suppressAutoHyphens/>
      <w:autoSpaceDN w:val="0"/>
      <w:textAlignment w:val="baseline"/>
    </w:pPr>
    <w:rPr>
      <w:rFonts w:eastAsia="Times New Roman"/>
      <w:color w:val="00000A"/>
      <w:kern w:val="3"/>
      <w:sz w:val="24"/>
      <w:szCs w:val="24"/>
    </w:rPr>
  </w:style>
  <w:style w:type="paragraph" w:styleId="Revision">
    <w:name w:val="Revision"/>
    <w:hidden/>
    <w:uiPriority w:val="99"/>
    <w:semiHidden/>
    <w:rsid w:val="009D0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4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3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1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8D7082181624CA82B824A85AF7C0C" ma:contentTypeVersion="8" ma:contentTypeDescription="Create a new document." ma:contentTypeScope="" ma:versionID="60af3dc26ab928887e8b891ceaed1549">
  <xsd:schema xmlns:xsd="http://www.w3.org/2001/XMLSchema" xmlns:xs="http://www.w3.org/2001/XMLSchema" xmlns:p="http://schemas.microsoft.com/office/2006/metadata/properties" xmlns:ns3="6a7e5a57-8828-4876-a0c3-e412191b17d6" targetNamespace="http://schemas.microsoft.com/office/2006/metadata/properties" ma:root="true" ma:fieldsID="1cfe98e1546ea026c966f02b7dc6ebd1" ns3:_="">
    <xsd:import namespace="6a7e5a57-8828-4876-a0c3-e412191b17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5a57-8828-4876-a0c3-e412191b1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7C5B-73E7-40A3-934E-3CF107A8E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A7D202-23B7-4989-9A38-2B2475A0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e5a57-8828-4876-a0c3-e412191b1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A29A1-9CC6-483C-AB83-9F390E51B3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3B21F-1530-4A07-8FCB-CD1AF110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1394</Words>
  <Characters>7668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ORGANISATION FOR STANDARDISATION</vt:lpstr>
      <vt:lpstr>INTERNATIONAL ORGANISATION FOR STANDARDISATION</vt:lpstr>
    </vt:vector>
  </TitlesOfParts>
  <Company>ITSCJ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ORGANISATION FOR STANDARDISATION</dc:title>
  <dc:subject/>
  <dc:creator>Philips</dc:creator>
  <cp:keywords/>
  <cp:lastModifiedBy>Bertrand</cp:lastModifiedBy>
  <cp:revision>23</cp:revision>
  <cp:lastPrinted>1899-12-31T23:00:00Z</cp:lastPrinted>
  <dcterms:created xsi:type="dcterms:W3CDTF">2020-06-23T10:31:00Z</dcterms:created>
  <dcterms:modified xsi:type="dcterms:W3CDTF">2020-06-23T12:51:00Z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0x010100F528D7082181624CA82B824A85AF7C0C</vt:lpwstr>
  </property>
</Properties>
</file>