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D78C1" w14:textId="77777777" w:rsidR="00C505DF" w:rsidRPr="00C505DF" w:rsidRDefault="00C505DF" w:rsidP="00C505DF">
      <w:pPr>
        <w:jc w:val="center"/>
        <w:rPr>
          <w:b/>
          <w:bCs/>
          <w:sz w:val="28"/>
          <w:szCs w:val="28"/>
        </w:rPr>
      </w:pPr>
      <w:r w:rsidRPr="00C505DF">
        <w:rPr>
          <w:b/>
          <w:bCs/>
          <w:sz w:val="28"/>
          <w:szCs w:val="28"/>
        </w:rPr>
        <w:t>Global Fund for Coral Reefs (GFCR)</w:t>
      </w:r>
    </w:p>
    <w:p w14:paraId="022E399E" w14:textId="3E1457B9" w:rsidR="00C505DF" w:rsidRPr="00C505DF" w:rsidRDefault="00C505DF" w:rsidP="00C505DF">
      <w:pPr>
        <w:jc w:val="center"/>
        <w:rPr>
          <w:sz w:val="40"/>
          <w:szCs w:val="40"/>
        </w:rPr>
      </w:pPr>
      <w:r w:rsidRPr="00C505DF">
        <w:rPr>
          <w:sz w:val="40"/>
          <w:szCs w:val="40"/>
        </w:rPr>
        <w:t>Stakeholder Engagement Policy</w:t>
      </w:r>
    </w:p>
    <w:p w14:paraId="42650A09" w14:textId="0DD0549A" w:rsidR="00C505DF" w:rsidRPr="00C505DF" w:rsidRDefault="00C505DF" w:rsidP="00C505DF">
      <w:pPr>
        <w:jc w:val="center"/>
      </w:pPr>
      <w:r w:rsidRPr="00C505DF">
        <w:t xml:space="preserve">(Draft – </w:t>
      </w:r>
      <w:r w:rsidR="0019082B">
        <w:t>24</w:t>
      </w:r>
      <w:r w:rsidRPr="00C505DF">
        <w:t xml:space="preserve"> </w:t>
      </w:r>
      <w:r>
        <w:t>September</w:t>
      </w:r>
      <w:r w:rsidRPr="00C505DF">
        <w:t xml:space="preserve"> 2024)</w:t>
      </w:r>
    </w:p>
    <w:sdt>
      <w:sdtPr>
        <w:rPr>
          <w:rFonts w:asciiTheme="minorHAnsi" w:eastAsiaTheme="minorHAnsi" w:hAnsiTheme="minorHAnsi" w:cstheme="minorBidi"/>
          <w:b w:val="0"/>
          <w:bCs w:val="0"/>
          <w:color w:val="auto"/>
          <w:kern w:val="2"/>
          <w:sz w:val="22"/>
          <w:szCs w:val="22"/>
          <w:lang w:val="en-GB"/>
          <w14:ligatures w14:val="standardContextual"/>
        </w:rPr>
        <w:id w:val="-792440877"/>
        <w:docPartObj>
          <w:docPartGallery w:val="Table of Contents"/>
          <w:docPartUnique/>
        </w:docPartObj>
      </w:sdtPr>
      <w:sdtEndPr>
        <w:rPr>
          <w:noProof/>
        </w:rPr>
      </w:sdtEndPr>
      <w:sdtContent>
        <w:p w14:paraId="2C4C22A8" w14:textId="77777777" w:rsidR="00944FB2" w:rsidRDefault="00944FB2" w:rsidP="00944FB2">
          <w:pPr>
            <w:pStyle w:val="TOCHeading"/>
            <w:jc w:val="center"/>
          </w:pPr>
          <w:r>
            <w:t>Table of Contents</w:t>
          </w:r>
        </w:p>
        <w:p w14:paraId="1B811E9D" w14:textId="6FE425EB" w:rsidR="000C7103" w:rsidRDefault="00944FB2">
          <w:pPr>
            <w:pStyle w:val="TOC1"/>
            <w:tabs>
              <w:tab w:val="right" w:leader="dot" w:pos="9016"/>
            </w:tabs>
            <w:rPr>
              <w:rFonts w:eastAsiaTheme="minorEastAsia"/>
              <w:b w:val="0"/>
              <w:bCs w:val="0"/>
              <w:caps w:val="0"/>
              <w:noProof/>
              <w:sz w:val="24"/>
              <w:szCs w:val="24"/>
              <w:lang w:eastAsia="en-GB"/>
            </w:rPr>
          </w:pPr>
          <w:r>
            <w:rPr>
              <w:b w:val="0"/>
              <w:bCs w:val="0"/>
            </w:rPr>
            <w:fldChar w:fldCharType="begin"/>
          </w:r>
          <w:r>
            <w:instrText xml:space="preserve"> TOC \o "1-3" \h \z \u </w:instrText>
          </w:r>
          <w:r>
            <w:rPr>
              <w:b w:val="0"/>
              <w:bCs w:val="0"/>
            </w:rPr>
            <w:fldChar w:fldCharType="separate"/>
          </w:r>
          <w:hyperlink w:anchor="_Toc176452087" w:history="1">
            <w:r w:rsidR="000C7103" w:rsidRPr="003E0A0E">
              <w:rPr>
                <w:rStyle w:val="Hyperlink"/>
                <w:noProof/>
              </w:rPr>
              <w:t>1. Introduction</w:t>
            </w:r>
            <w:r w:rsidR="000C7103">
              <w:rPr>
                <w:noProof/>
                <w:webHidden/>
              </w:rPr>
              <w:tab/>
            </w:r>
            <w:r w:rsidR="000C7103">
              <w:rPr>
                <w:noProof/>
                <w:webHidden/>
              </w:rPr>
              <w:fldChar w:fldCharType="begin"/>
            </w:r>
            <w:r w:rsidR="000C7103">
              <w:rPr>
                <w:noProof/>
                <w:webHidden/>
              </w:rPr>
              <w:instrText xml:space="preserve"> PAGEREF _Toc176452087 \h </w:instrText>
            </w:r>
            <w:r w:rsidR="000C7103">
              <w:rPr>
                <w:noProof/>
                <w:webHidden/>
              </w:rPr>
            </w:r>
            <w:r w:rsidR="000C7103">
              <w:rPr>
                <w:noProof/>
                <w:webHidden/>
              </w:rPr>
              <w:fldChar w:fldCharType="separate"/>
            </w:r>
            <w:r w:rsidR="000C7103">
              <w:rPr>
                <w:noProof/>
                <w:webHidden/>
              </w:rPr>
              <w:t>1</w:t>
            </w:r>
            <w:r w:rsidR="000C7103">
              <w:rPr>
                <w:noProof/>
                <w:webHidden/>
              </w:rPr>
              <w:fldChar w:fldCharType="end"/>
            </w:r>
          </w:hyperlink>
        </w:p>
        <w:p w14:paraId="43803DF5" w14:textId="4E6234F1" w:rsidR="000C7103" w:rsidRDefault="000C7103">
          <w:pPr>
            <w:pStyle w:val="TOC1"/>
            <w:tabs>
              <w:tab w:val="right" w:leader="dot" w:pos="9016"/>
            </w:tabs>
            <w:rPr>
              <w:rFonts w:eastAsiaTheme="minorEastAsia"/>
              <w:b w:val="0"/>
              <w:bCs w:val="0"/>
              <w:caps w:val="0"/>
              <w:noProof/>
              <w:sz w:val="24"/>
              <w:szCs w:val="24"/>
              <w:lang w:eastAsia="en-GB"/>
            </w:rPr>
          </w:pPr>
          <w:hyperlink w:anchor="_Toc176452088" w:history="1">
            <w:r w:rsidRPr="003E0A0E">
              <w:rPr>
                <w:rStyle w:val="Hyperlink"/>
                <w:noProof/>
              </w:rPr>
              <w:t>2. Purpose and scope</w:t>
            </w:r>
            <w:r>
              <w:rPr>
                <w:noProof/>
                <w:webHidden/>
              </w:rPr>
              <w:tab/>
            </w:r>
            <w:r>
              <w:rPr>
                <w:noProof/>
                <w:webHidden/>
              </w:rPr>
              <w:fldChar w:fldCharType="begin"/>
            </w:r>
            <w:r>
              <w:rPr>
                <w:noProof/>
                <w:webHidden/>
              </w:rPr>
              <w:instrText xml:space="preserve"> PAGEREF _Toc176452088 \h </w:instrText>
            </w:r>
            <w:r>
              <w:rPr>
                <w:noProof/>
                <w:webHidden/>
              </w:rPr>
            </w:r>
            <w:r>
              <w:rPr>
                <w:noProof/>
                <w:webHidden/>
              </w:rPr>
              <w:fldChar w:fldCharType="separate"/>
            </w:r>
            <w:r>
              <w:rPr>
                <w:noProof/>
                <w:webHidden/>
              </w:rPr>
              <w:t>2</w:t>
            </w:r>
            <w:r>
              <w:rPr>
                <w:noProof/>
                <w:webHidden/>
              </w:rPr>
              <w:fldChar w:fldCharType="end"/>
            </w:r>
          </w:hyperlink>
        </w:p>
        <w:p w14:paraId="29D5C070" w14:textId="628542FB" w:rsidR="000C7103" w:rsidRDefault="000C7103">
          <w:pPr>
            <w:pStyle w:val="TOC2"/>
            <w:tabs>
              <w:tab w:val="right" w:leader="dot" w:pos="9016"/>
            </w:tabs>
            <w:rPr>
              <w:rFonts w:eastAsiaTheme="minorEastAsia"/>
              <w:smallCaps w:val="0"/>
              <w:noProof/>
              <w:sz w:val="24"/>
              <w:szCs w:val="24"/>
              <w:lang w:eastAsia="en-GB"/>
            </w:rPr>
          </w:pPr>
          <w:hyperlink w:anchor="_Toc176452089" w:history="1">
            <w:r w:rsidRPr="003E0A0E">
              <w:rPr>
                <w:rStyle w:val="Hyperlink"/>
                <w:noProof/>
              </w:rPr>
              <w:t>Who are stakeholders?</w:t>
            </w:r>
            <w:r>
              <w:rPr>
                <w:noProof/>
                <w:webHidden/>
              </w:rPr>
              <w:tab/>
            </w:r>
            <w:r>
              <w:rPr>
                <w:noProof/>
                <w:webHidden/>
              </w:rPr>
              <w:fldChar w:fldCharType="begin"/>
            </w:r>
            <w:r>
              <w:rPr>
                <w:noProof/>
                <w:webHidden/>
              </w:rPr>
              <w:instrText xml:space="preserve"> PAGEREF _Toc176452089 \h </w:instrText>
            </w:r>
            <w:r>
              <w:rPr>
                <w:noProof/>
                <w:webHidden/>
              </w:rPr>
            </w:r>
            <w:r>
              <w:rPr>
                <w:noProof/>
                <w:webHidden/>
              </w:rPr>
              <w:fldChar w:fldCharType="separate"/>
            </w:r>
            <w:r>
              <w:rPr>
                <w:noProof/>
                <w:webHidden/>
              </w:rPr>
              <w:t>2</w:t>
            </w:r>
            <w:r>
              <w:rPr>
                <w:noProof/>
                <w:webHidden/>
              </w:rPr>
              <w:fldChar w:fldCharType="end"/>
            </w:r>
          </w:hyperlink>
        </w:p>
        <w:p w14:paraId="084459C3" w14:textId="1E668684" w:rsidR="000C7103" w:rsidRDefault="000C7103">
          <w:pPr>
            <w:pStyle w:val="TOC2"/>
            <w:tabs>
              <w:tab w:val="right" w:leader="dot" w:pos="9016"/>
            </w:tabs>
            <w:rPr>
              <w:rFonts w:eastAsiaTheme="minorEastAsia"/>
              <w:smallCaps w:val="0"/>
              <w:noProof/>
              <w:sz w:val="24"/>
              <w:szCs w:val="24"/>
              <w:lang w:eastAsia="en-GB"/>
            </w:rPr>
          </w:pPr>
          <w:hyperlink w:anchor="_Toc176452090" w:history="1">
            <w:r w:rsidRPr="003E0A0E">
              <w:rPr>
                <w:rStyle w:val="Hyperlink"/>
                <w:noProof/>
              </w:rPr>
              <w:t>What is meaningful engagement?</w:t>
            </w:r>
            <w:r>
              <w:rPr>
                <w:noProof/>
                <w:webHidden/>
              </w:rPr>
              <w:tab/>
            </w:r>
            <w:r>
              <w:rPr>
                <w:noProof/>
                <w:webHidden/>
              </w:rPr>
              <w:fldChar w:fldCharType="begin"/>
            </w:r>
            <w:r>
              <w:rPr>
                <w:noProof/>
                <w:webHidden/>
              </w:rPr>
              <w:instrText xml:space="preserve"> PAGEREF _Toc176452090 \h </w:instrText>
            </w:r>
            <w:r>
              <w:rPr>
                <w:noProof/>
                <w:webHidden/>
              </w:rPr>
            </w:r>
            <w:r>
              <w:rPr>
                <w:noProof/>
                <w:webHidden/>
              </w:rPr>
              <w:fldChar w:fldCharType="separate"/>
            </w:r>
            <w:r>
              <w:rPr>
                <w:noProof/>
                <w:webHidden/>
              </w:rPr>
              <w:t>2</w:t>
            </w:r>
            <w:r>
              <w:rPr>
                <w:noProof/>
                <w:webHidden/>
              </w:rPr>
              <w:fldChar w:fldCharType="end"/>
            </w:r>
          </w:hyperlink>
        </w:p>
        <w:p w14:paraId="413455D9" w14:textId="47EC6ACE" w:rsidR="000C7103" w:rsidRDefault="000C7103">
          <w:pPr>
            <w:pStyle w:val="TOC2"/>
            <w:tabs>
              <w:tab w:val="right" w:leader="dot" w:pos="9016"/>
            </w:tabs>
            <w:rPr>
              <w:rFonts w:eastAsiaTheme="minorEastAsia"/>
              <w:smallCaps w:val="0"/>
              <w:noProof/>
              <w:sz w:val="24"/>
              <w:szCs w:val="24"/>
              <w:lang w:eastAsia="en-GB"/>
            </w:rPr>
          </w:pPr>
          <w:hyperlink w:anchor="_Toc176452091" w:history="1">
            <w:r w:rsidRPr="003E0A0E">
              <w:rPr>
                <w:rStyle w:val="Hyperlink"/>
                <w:noProof/>
              </w:rPr>
              <w:t>Significance of Stakeholder Involvement</w:t>
            </w:r>
            <w:r>
              <w:rPr>
                <w:noProof/>
                <w:webHidden/>
              </w:rPr>
              <w:tab/>
            </w:r>
            <w:r>
              <w:rPr>
                <w:noProof/>
                <w:webHidden/>
              </w:rPr>
              <w:fldChar w:fldCharType="begin"/>
            </w:r>
            <w:r>
              <w:rPr>
                <w:noProof/>
                <w:webHidden/>
              </w:rPr>
              <w:instrText xml:space="preserve"> PAGEREF _Toc176452091 \h </w:instrText>
            </w:r>
            <w:r>
              <w:rPr>
                <w:noProof/>
                <w:webHidden/>
              </w:rPr>
            </w:r>
            <w:r>
              <w:rPr>
                <w:noProof/>
                <w:webHidden/>
              </w:rPr>
              <w:fldChar w:fldCharType="separate"/>
            </w:r>
            <w:r>
              <w:rPr>
                <w:noProof/>
                <w:webHidden/>
              </w:rPr>
              <w:t>3</w:t>
            </w:r>
            <w:r>
              <w:rPr>
                <w:noProof/>
                <w:webHidden/>
              </w:rPr>
              <w:fldChar w:fldCharType="end"/>
            </w:r>
          </w:hyperlink>
        </w:p>
        <w:p w14:paraId="0FCE2EAA" w14:textId="45E3DD7A" w:rsidR="000C7103" w:rsidRDefault="000C7103">
          <w:pPr>
            <w:pStyle w:val="TOC2"/>
            <w:tabs>
              <w:tab w:val="right" w:leader="dot" w:pos="9016"/>
            </w:tabs>
            <w:rPr>
              <w:rFonts w:eastAsiaTheme="minorEastAsia"/>
              <w:smallCaps w:val="0"/>
              <w:noProof/>
              <w:sz w:val="24"/>
              <w:szCs w:val="24"/>
              <w:lang w:eastAsia="en-GB"/>
            </w:rPr>
          </w:pPr>
          <w:hyperlink w:anchor="_Toc176452092" w:history="1">
            <w:r w:rsidRPr="003E0A0E">
              <w:rPr>
                <w:rStyle w:val="Hyperlink"/>
                <w:noProof/>
              </w:rPr>
              <w:t>Applicability of the Policy</w:t>
            </w:r>
            <w:r>
              <w:rPr>
                <w:noProof/>
                <w:webHidden/>
              </w:rPr>
              <w:tab/>
            </w:r>
            <w:r>
              <w:rPr>
                <w:noProof/>
                <w:webHidden/>
              </w:rPr>
              <w:fldChar w:fldCharType="begin"/>
            </w:r>
            <w:r>
              <w:rPr>
                <w:noProof/>
                <w:webHidden/>
              </w:rPr>
              <w:instrText xml:space="preserve"> PAGEREF _Toc176452092 \h </w:instrText>
            </w:r>
            <w:r>
              <w:rPr>
                <w:noProof/>
                <w:webHidden/>
              </w:rPr>
            </w:r>
            <w:r>
              <w:rPr>
                <w:noProof/>
                <w:webHidden/>
              </w:rPr>
              <w:fldChar w:fldCharType="separate"/>
            </w:r>
            <w:r>
              <w:rPr>
                <w:noProof/>
                <w:webHidden/>
              </w:rPr>
              <w:t>3</w:t>
            </w:r>
            <w:r>
              <w:rPr>
                <w:noProof/>
                <w:webHidden/>
              </w:rPr>
              <w:fldChar w:fldCharType="end"/>
            </w:r>
          </w:hyperlink>
        </w:p>
        <w:p w14:paraId="73E0F883" w14:textId="1327ACDC" w:rsidR="000C7103" w:rsidRDefault="000C7103">
          <w:pPr>
            <w:pStyle w:val="TOC1"/>
            <w:tabs>
              <w:tab w:val="right" w:leader="dot" w:pos="9016"/>
            </w:tabs>
            <w:rPr>
              <w:rFonts w:eastAsiaTheme="minorEastAsia"/>
              <w:b w:val="0"/>
              <w:bCs w:val="0"/>
              <w:caps w:val="0"/>
              <w:noProof/>
              <w:sz w:val="24"/>
              <w:szCs w:val="24"/>
              <w:lang w:eastAsia="en-GB"/>
            </w:rPr>
          </w:pPr>
          <w:hyperlink w:anchor="_Toc176452093" w:history="1">
            <w:r w:rsidRPr="003E0A0E">
              <w:rPr>
                <w:rStyle w:val="Hyperlink"/>
                <w:noProof/>
              </w:rPr>
              <w:t>3. Principles</w:t>
            </w:r>
            <w:r>
              <w:rPr>
                <w:noProof/>
                <w:webHidden/>
              </w:rPr>
              <w:tab/>
            </w:r>
            <w:r>
              <w:rPr>
                <w:noProof/>
                <w:webHidden/>
              </w:rPr>
              <w:fldChar w:fldCharType="begin"/>
            </w:r>
            <w:r>
              <w:rPr>
                <w:noProof/>
                <w:webHidden/>
              </w:rPr>
              <w:instrText xml:space="preserve"> PAGEREF _Toc176452093 \h </w:instrText>
            </w:r>
            <w:r>
              <w:rPr>
                <w:noProof/>
                <w:webHidden/>
              </w:rPr>
            </w:r>
            <w:r>
              <w:rPr>
                <w:noProof/>
                <w:webHidden/>
              </w:rPr>
              <w:fldChar w:fldCharType="separate"/>
            </w:r>
            <w:r>
              <w:rPr>
                <w:noProof/>
                <w:webHidden/>
              </w:rPr>
              <w:t>3</w:t>
            </w:r>
            <w:r>
              <w:rPr>
                <w:noProof/>
                <w:webHidden/>
              </w:rPr>
              <w:fldChar w:fldCharType="end"/>
            </w:r>
          </w:hyperlink>
        </w:p>
        <w:p w14:paraId="18AAA1BE" w14:textId="3602B3E6" w:rsidR="000C7103" w:rsidRDefault="000C7103">
          <w:pPr>
            <w:pStyle w:val="TOC1"/>
            <w:tabs>
              <w:tab w:val="right" w:leader="dot" w:pos="9016"/>
            </w:tabs>
            <w:rPr>
              <w:rFonts w:eastAsiaTheme="minorEastAsia"/>
              <w:b w:val="0"/>
              <w:bCs w:val="0"/>
              <w:caps w:val="0"/>
              <w:noProof/>
              <w:sz w:val="24"/>
              <w:szCs w:val="24"/>
              <w:lang w:eastAsia="en-GB"/>
            </w:rPr>
          </w:pPr>
          <w:hyperlink w:anchor="_Toc176452094" w:history="1">
            <w:r w:rsidRPr="003E0A0E">
              <w:rPr>
                <w:rStyle w:val="Hyperlink"/>
                <w:noProof/>
              </w:rPr>
              <w:t>4. Promoting Gender Equality and Women’s Empowerment</w:t>
            </w:r>
            <w:r>
              <w:rPr>
                <w:noProof/>
                <w:webHidden/>
              </w:rPr>
              <w:tab/>
            </w:r>
            <w:r>
              <w:rPr>
                <w:noProof/>
                <w:webHidden/>
              </w:rPr>
              <w:fldChar w:fldCharType="begin"/>
            </w:r>
            <w:r>
              <w:rPr>
                <w:noProof/>
                <w:webHidden/>
              </w:rPr>
              <w:instrText xml:space="preserve"> PAGEREF _Toc176452094 \h </w:instrText>
            </w:r>
            <w:r>
              <w:rPr>
                <w:noProof/>
                <w:webHidden/>
              </w:rPr>
            </w:r>
            <w:r>
              <w:rPr>
                <w:noProof/>
                <w:webHidden/>
              </w:rPr>
              <w:fldChar w:fldCharType="separate"/>
            </w:r>
            <w:r>
              <w:rPr>
                <w:noProof/>
                <w:webHidden/>
              </w:rPr>
              <w:t>4</w:t>
            </w:r>
            <w:r>
              <w:rPr>
                <w:noProof/>
                <w:webHidden/>
              </w:rPr>
              <w:fldChar w:fldCharType="end"/>
            </w:r>
          </w:hyperlink>
        </w:p>
        <w:p w14:paraId="650BBC14" w14:textId="42601325" w:rsidR="000C7103" w:rsidRDefault="000C7103">
          <w:pPr>
            <w:pStyle w:val="TOC1"/>
            <w:tabs>
              <w:tab w:val="right" w:leader="dot" w:pos="9016"/>
            </w:tabs>
            <w:rPr>
              <w:rFonts w:eastAsiaTheme="minorEastAsia"/>
              <w:b w:val="0"/>
              <w:bCs w:val="0"/>
              <w:caps w:val="0"/>
              <w:noProof/>
              <w:sz w:val="24"/>
              <w:szCs w:val="24"/>
              <w:lang w:eastAsia="en-GB"/>
            </w:rPr>
          </w:pPr>
          <w:hyperlink w:anchor="_Toc176452095" w:history="1">
            <w:r w:rsidRPr="003E0A0E">
              <w:rPr>
                <w:rStyle w:val="Hyperlink"/>
                <w:noProof/>
              </w:rPr>
              <w:t>5. Culturally Sensitive Engagement with Indigenous Peoples</w:t>
            </w:r>
            <w:r>
              <w:rPr>
                <w:noProof/>
                <w:webHidden/>
              </w:rPr>
              <w:tab/>
            </w:r>
            <w:r>
              <w:rPr>
                <w:noProof/>
                <w:webHidden/>
              </w:rPr>
              <w:fldChar w:fldCharType="begin"/>
            </w:r>
            <w:r>
              <w:rPr>
                <w:noProof/>
                <w:webHidden/>
              </w:rPr>
              <w:instrText xml:space="preserve"> PAGEREF _Toc176452095 \h </w:instrText>
            </w:r>
            <w:r>
              <w:rPr>
                <w:noProof/>
                <w:webHidden/>
              </w:rPr>
            </w:r>
            <w:r>
              <w:rPr>
                <w:noProof/>
                <w:webHidden/>
              </w:rPr>
              <w:fldChar w:fldCharType="separate"/>
            </w:r>
            <w:r>
              <w:rPr>
                <w:noProof/>
                <w:webHidden/>
              </w:rPr>
              <w:t>5</w:t>
            </w:r>
            <w:r>
              <w:rPr>
                <w:noProof/>
                <w:webHidden/>
              </w:rPr>
              <w:fldChar w:fldCharType="end"/>
            </w:r>
          </w:hyperlink>
        </w:p>
        <w:p w14:paraId="0E3B451A" w14:textId="0D5FAC3D" w:rsidR="000C7103" w:rsidRDefault="000C7103">
          <w:pPr>
            <w:pStyle w:val="TOC1"/>
            <w:tabs>
              <w:tab w:val="right" w:leader="dot" w:pos="9016"/>
            </w:tabs>
            <w:rPr>
              <w:rFonts w:eastAsiaTheme="minorEastAsia"/>
              <w:b w:val="0"/>
              <w:bCs w:val="0"/>
              <w:caps w:val="0"/>
              <w:noProof/>
              <w:sz w:val="24"/>
              <w:szCs w:val="24"/>
              <w:lang w:eastAsia="en-GB"/>
            </w:rPr>
          </w:pPr>
          <w:hyperlink w:anchor="_Toc176452096" w:history="1">
            <w:r w:rsidRPr="003E0A0E">
              <w:rPr>
                <w:rStyle w:val="Hyperlink"/>
                <w:noProof/>
              </w:rPr>
              <w:t>6. The Stakeholder Engagement Process</w:t>
            </w:r>
            <w:r>
              <w:rPr>
                <w:noProof/>
                <w:webHidden/>
              </w:rPr>
              <w:tab/>
            </w:r>
            <w:r>
              <w:rPr>
                <w:noProof/>
                <w:webHidden/>
              </w:rPr>
              <w:fldChar w:fldCharType="begin"/>
            </w:r>
            <w:r>
              <w:rPr>
                <w:noProof/>
                <w:webHidden/>
              </w:rPr>
              <w:instrText xml:space="preserve"> PAGEREF _Toc176452096 \h </w:instrText>
            </w:r>
            <w:r>
              <w:rPr>
                <w:noProof/>
                <w:webHidden/>
              </w:rPr>
            </w:r>
            <w:r>
              <w:rPr>
                <w:noProof/>
                <w:webHidden/>
              </w:rPr>
              <w:fldChar w:fldCharType="separate"/>
            </w:r>
            <w:r>
              <w:rPr>
                <w:noProof/>
                <w:webHidden/>
              </w:rPr>
              <w:t>5</w:t>
            </w:r>
            <w:r>
              <w:rPr>
                <w:noProof/>
                <w:webHidden/>
              </w:rPr>
              <w:fldChar w:fldCharType="end"/>
            </w:r>
          </w:hyperlink>
        </w:p>
        <w:p w14:paraId="12D6B743" w14:textId="7DA74EE4" w:rsidR="000C7103" w:rsidRDefault="000C7103">
          <w:pPr>
            <w:pStyle w:val="TOC1"/>
            <w:tabs>
              <w:tab w:val="right" w:leader="dot" w:pos="9016"/>
            </w:tabs>
            <w:rPr>
              <w:rFonts w:eastAsiaTheme="minorEastAsia"/>
              <w:b w:val="0"/>
              <w:bCs w:val="0"/>
              <w:caps w:val="0"/>
              <w:noProof/>
              <w:sz w:val="24"/>
              <w:szCs w:val="24"/>
              <w:lang w:eastAsia="en-GB"/>
            </w:rPr>
          </w:pPr>
          <w:hyperlink w:anchor="_Toc176452097" w:history="1">
            <w:r w:rsidRPr="003E0A0E">
              <w:rPr>
                <w:rStyle w:val="Hyperlink"/>
                <w:noProof/>
              </w:rPr>
              <w:t>7. Engagement during Design Stages</w:t>
            </w:r>
            <w:r>
              <w:rPr>
                <w:noProof/>
                <w:webHidden/>
              </w:rPr>
              <w:tab/>
            </w:r>
            <w:r>
              <w:rPr>
                <w:noProof/>
                <w:webHidden/>
              </w:rPr>
              <w:fldChar w:fldCharType="begin"/>
            </w:r>
            <w:r>
              <w:rPr>
                <w:noProof/>
                <w:webHidden/>
              </w:rPr>
              <w:instrText xml:space="preserve"> PAGEREF _Toc176452097 \h </w:instrText>
            </w:r>
            <w:r>
              <w:rPr>
                <w:noProof/>
                <w:webHidden/>
              </w:rPr>
            </w:r>
            <w:r>
              <w:rPr>
                <w:noProof/>
                <w:webHidden/>
              </w:rPr>
              <w:fldChar w:fldCharType="separate"/>
            </w:r>
            <w:r>
              <w:rPr>
                <w:noProof/>
                <w:webHidden/>
              </w:rPr>
              <w:t>7</w:t>
            </w:r>
            <w:r>
              <w:rPr>
                <w:noProof/>
                <w:webHidden/>
              </w:rPr>
              <w:fldChar w:fldCharType="end"/>
            </w:r>
          </w:hyperlink>
        </w:p>
        <w:p w14:paraId="52413D63" w14:textId="2AEBD737" w:rsidR="000C7103" w:rsidRDefault="000C7103">
          <w:pPr>
            <w:pStyle w:val="TOC2"/>
            <w:tabs>
              <w:tab w:val="right" w:leader="dot" w:pos="9016"/>
            </w:tabs>
            <w:rPr>
              <w:rFonts w:eastAsiaTheme="minorEastAsia"/>
              <w:smallCaps w:val="0"/>
              <w:noProof/>
              <w:sz w:val="24"/>
              <w:szCs w:val="24"/>
              <w:lang w:eastAsia="en-GB"/>
            </w:rPr>
          </w:pPr>
          <w:hyperlink w:anchor="_Toc176452098" w:history="1">
            <w:r w:rsidRPr="003E0A0E">
              <w:rPr>
                <w:rStyle w:val="Hyperlink"/>
                <w:noProof/>
              </w:rPr>
              <w:t>Step 1: Identify stakeholders</w:t>
            </w:r>
            <w:r>
              <w:rPr>
                <w:noProof/>
                <w:webHidden/>
              </w:rPr>
              <w:tab/>
            </w:r>
            <w:r>
              <w:rPr>
                <w:noProof/>
                <w:webHidden/>
              </w:rPr>
              <w:fldChar w:fldCharType="begin"/>
            </w:r>
            <w:r>
              <w:rPr>
                <w:noProof/>
                <w:webHidden/>
              </w:rPr>
              <w:instrText xml:space="preserve"> PAGEREF _Toc176452098 \h </w:instrText>
            </w:r>
            <w:r>
              <w:rPr>
                <w:noProof/>
                <w:webHidden/>
              </w:rPr>
            </w:r>
            <w:r>
              <w:rPr>
                <w:noProof/>
                <w:webHidden/>
              </w:rPr>
              <w:fldChar w:fldCharType="separate"/>
            </w:r>
            <w:r>
              <w:rPr>
                <w:noProof/>
                <w:webHidden/>
              </w:rPr>
              <w:t>7</w:t>
            </w:r>
            <w:r>
              <w:rPr>
                <w:noProof/>
                <w:webHidden/>
              </w:rPr>
              <w:fldChar w:fldCharType="end"/>
            </w:r>
          </w:hyperlink>
        </w:p>
        <w:p w14:paraId="2BDCD3B6" w14:textId="25FBA0AA" w:rsidR="000C7103" w:rsidRDefault="000C7103">
          <w:pPr>
            <w:pStyle w:val="TOC2"/>
            <w:tabs>
              <w:tab w:val="right" w:leader="dot" w:pos="9016"/>
            </w:tabs>
            <w:rPr>
              <w:rFonts w:eastAsiaTheme="minorEastAsia"/>
              <w:smallCaps w:val="0"/>
              <w:noProof/>
              <w:sz w:val="24"/>
              <w:szCs w:val="24"/>
              <w:lang w:eastAsia="en-GB"/>
            </w:rPr>
          </w:pPr>
          <w:hyperlink w:anchor="_Toc176452099" w:history="1">
            <w:r w:rsidRPr="003E0A0E">
              <w:rPr>
                <w:rStyle w:val="Hyperlink"/>
                <w:noProof/>
              </w:rPr>
              <w:t>Step 2: Initial consultations</w:t>
            </w:r>
            <w:r>
              <w:rPr>
                <w:noProof/>
                <w:webHidden/>
              </w:rPr>
              <w:tab/>
            </w:r>
            <w:r>
              <w:rPr>
                <w:noProof/>
                <w:webHidden/>
              </w:rPr>
              <w:fldChar w:fldCharType="begin"/>
            </w:r>
            <w:r>
              <w:rPr>
                <w:noProof/>
                <w:webHidden/>
              </w:rPr>
              <w:instrText xml:space="preserve"> PAGEREF _Toc176452099 \h </w:instrText>
            </w:r>
            <w:r>
              <w:rPr>
                <w:noProof/>
                <w:webHidden/>
              </w:rPr>
            </w:r>
            <w:r>
              <w:rPr>
                <w:noProof/>
                <w:webHidden/>
              </w:rPr>
              <w:fldChar w:fldCharType="separate"/>
            </w:r>
            <w:r>
              <w:rPr>
                <w:noProof/>
                <w:webHidden/>
              </w:rPr>
              <w:t>7</w:t>
            </w:r>
            <w:r>
              <w:rPr>
                <w:noProof/>
                <w:webHidden/>
              </w:rPr>
              <w:fldChar w:fldCharType="end"/>
            </w:r>
          </w:hyperlink>
        </w:p>
        <w:p w14:paraId="51B2B14D" w14:textId="46D3D67C" w:rsidR="000C7103" w:rsidRDefault="000C7103">
          <w:pPr>
            <w:pStyle w:val="TOC2"/>
            <w:tabs>
              <w:tab w:val="right" w:leader="dot" w:pos="9016"/>
            </w:tabs>
            <w:rPr>
              <w:rFonts w:eastAsiaTheme="minorEastAsia"/>
              <w:smallCaps w:val="0"/>
              <w:noProof/>
              <w:sz w:val="24"/>
              <w:szCs w:val="24"/>
              <w:lang w:eastAsia="en-GB"/>
            </w:rPr>
          </w:pPr>
          <w:hyperlink w:anchor="_Toc176452100" w:history="1">
            <w:r w:rsidRPr="003E0A0E">
              <w:rPr>
                <w:rStyle w:val="Hyperlink"/>
                <w:noProof/>
              </w:rPr>
              <w:t>Step 3: Stakeholder analysis</w:t>
            </w:r>
            <w:r>
              <w:rPr>
                <w:noProof/>
                <w:webHidden/>
              </w:rPr>
              <w:tab/>
            </w:r>
            <w:r>
              <w:rPr>
                <w:noProof/>
                <w:webHidden/>
              </w:rPr>
              <w:fldChar w:fldCharType="begin"/>
            </w:r>
            <w:r>
              <w:rPr>
                <w:noProof/>
                <w:webHidden/>
              </w:rPr>
              <w:instrText xml:space="preserve"> PAGEREF _Toc176452100 \h </w:instrText>
            </w:r>
            <w:r>
              <w:rPr>
                <w:noProof/>
                <w:webHidden/>
              </w:rPr>
            </w:r>
            <w:r>
              <w:rPr>
                <w:noProof/>
                <w:webHidden/>
              </w:rPr>
              <w:fldChar w:fldCharType="separate"/>
            </w:r>
            <w:r>
              <w:rPr>
                <w:noProof/>
                <w:webHidden/>
              </w:rPr>
              <w:t>7</w:t>
            </w:r>
            <w:r>
              <w:rPr>
                <w:noProof/>
                <w:webHidden/>
              </w:rPr>
              <w:fldChar w:fldCharType="end"/>
            </w:r>
          </w:hyperlink>
        </w:p>
        <w:p w14:paraId="4F48BC0D" w14:textId="65DAE479" w:rsidR="000C7103" w:rsidRDefault="000C7103">
          <w:pPr>
            <w:pStyle w:val="TOC2"/>
            <w:tabs>
              <w:tab w:val="right" w:leader="dot" w:pos="9016"/>
            </w:tabs>
            <w:rPr>
              <w:rFonts w:eastAsiaTheme="minorEastAsia"/>
              <w:smallCaps w:val="0"/>
              <w:noProof/>
              <w:sz w:val="24"/>
              <w:szCs w:val="24"/>
              <w:lang w:eastAsia="en-GB"/>
            </w:rPr>
          </w:pPr>
          <w:hyperlink w:anchor="_Toc176452101" w:history="1">
            <w:r w:rsidRPr="003E0A0E">
              <w:rPr>
                <w:rStyle w:val="Hyperlink"/>
                <w:noProof/>
              </w:rPr>
              <w:t>Step 4: Stakeholder mapping</w:t>
            </w:r>
            <w:r>
              <w:rPr>
                <w:noProof/>
                <w:webHidden/>
              </w:rPr>
              <w:tab/>
            </w:r>
            <w:r>
              <w:rPr>
                <w:noProof/>
                <w:webHidden/>
              </w:rPr>
              <w:fldChar w:fldCharType="begin"/>
            </w:r>
            <w:r>
              <w:rPr>
                <w:noProof/>
                <w:webHidden/>
              </w:rPr>
              <w:instrText xml:space="preserve"> PAGEREF _Toc176452101 \h </w:instrText>
            </w:r>
            <w:r>
              <w:rPr>
                <w:noProof/>
                <w:webHidden/>
              </w:rPr>
            </w:r>
            <w:r>
              <w:rPr>
                <w:noProof/>
                <w:webHidden/>
              </w:rPr>
              <w:fldChar w:fldCharType="separate"/>
            </w:r>
            <w:r>
              <w:rPr>
                <w:noProof/>
                <w:webHidden/>
              </w:rPr>
              <w:t>7</w:t>
            </w:r>
            <w:r>
              <w:rPr>
                <w:noProof/>
                <w:webHidden/>
              </w:rPr>
              <w:fldChar w:fldCharType="end"/>
            </w:r>
          </w:hyperlink>
        </w:p>
        <w:p w14:paraId="346319D6" w14:textId="43A24EE0" w:rsidR="000C7103" w:rsidRDefault="000C7103">
          <w:pPr>
            <w:pStyle w:val="TOC1"/>
            <w:tabs>
              <w:tab w:val="right" w:leader="dot" w:pos="9016"/>
            </w:tabs>
            <w:rPr>
              <w:rFonts w:eastAsiaTheme="minorEastAsia"/>
              <w:b w:val="0"/>
              <w:bCs w:val="0"/>
              <w:caps w:val="0"/>
              <w:noProof/>
              <w:sz w:val="24"/>
              <w:szCs w:val="24"/>
              <w:lang w:eastAsia="en-GB"/>
            </w:rPr>
          </w:pPr>
          <w:hyperlink w:anchor="_Toc176452102" w:history="1">
            <w:r w:rsidRPr="003E0A0E">
              <w:rPr>
                <w:rStyle w:val="Hyperlink"/>
                <w:noProof/>
              </w:rPr>
              <w:t>8. Engagement during Preparation Stages</w:t>
            </w:r>
            <w:r>
              <w:rPr>
                <w:noProof/>
                <w:webHidden/>
              </w:rPr>
              <w:tab/>
            </w:r>
            <w:r>
              <w:rPr>
                <w:noProof/>
                <w:webHidden/>
              </w:rPr>
              <w:fldChar w:fldCharType="begin"/>
            </w:r>
            <w:r>
              <w:rPr>
                <w:noProof/>
                <w:webHidden/>
              </w:rPr>
              <w:instrText xml:space="preserve"> PAGEREF _Toc176452102 \h </w:instrText>
            </w:r>
            <w:r>
              <w:rPr>
                <w:noProof/>
                <w:webHidden/>
              </w:rPr>
            </w:r>
            <w:r>
              <w:rPr>
                <w:noProof/>
                <w:webHidden/>
              </w:rPr>
              <w:fldChar w:fldCharType="separate"/>
            </w:r>
            <w:r>
              <w:rPr>
                <w:noProof/>
                <w:webHidden/>
              </w:rPr>
              <w:t>8</w:t>
            </w:r>
            <w:r>
              <w:rPr>
                <w:noProof/>
                <w:webHidden/>
              </w:rPr>
              <w:fldChar w:fldCharType="end"/>
            </w:r>
          </w:hyperlink>
        </w:p>
        <w:p w14:paraId="58E2FBC9" w14:textId="1DD2B927" w:rsidR="000C7103" w:rsidRDefault="000C7103">
          <w:pPr>
            <w:pStyle w:val="TOC2"/>
            <w:tabs>
              <w:tab w:val="right" w:leader="dot" w:pos="9016"/>
            </w:tabs>
            <w:rPr>
              <w:rFonts w:eastAsiaTheme="minorEastAsia"/>
              <w:smallCaps w:val="0"/>
              <w:noProof/>
              <w:sz w:val="24"/>
              <w:szCs w:val="24"/>
              <w:lang w:eastAsia="en-GB"/>
            </w:rPr>
          </w:pPr>
          <w:hyperlink w:anchor="_Toc176452103" w:history="1">
            <w:r w:rsidRPr="003E0A0E">
              <w:rPr>
                <w:rStyle w:val="Hyperlink"/>
                <w:noProof/>
              </w:rPr>
              <w:t>Step 5: Develop Stakeholder Engagement Plan (SEP)</w:t>
            </w:r>
            <w:r>
              <w:rPr>
                <w:noProof/>
                <w:webHidden/>
              </w:rPr>
              <w:tab/>
            </w:r>
            <w:r>
              <w:rPr>
                <w:noProof/>
                <w:webHidden/>
              </w:rPr>
              <w:fldChar w:fldCharType="begin"/>
            </w:r>
            <w:r>
              <w:rPr>
                <w:noProof/>
                <w:webHidden/>
              </w:rPr>
              <w:instrText xml:space="preserve"> PAGEREF _Toc176452103 \h </w:instrText>
            </w:r>
            <w:r>
              <w:rPr>
                <w:noProof/>
                <w:webHidden/>
              </w:rPr>
            </w:r>
            <w:r>
              <w:rPr>
                <w:noProof/>
                <w:webHidden/>
              </w:rPr>
              <w:fldChar w:fldCharType="separate"/>
            </w:r>
            <w:r>
              <w:rPr>
                <w:noProof/>
                <w:webHidden/>
              </w:rPr>
              <w:t>8</w:t>
            </w:r>
            <w:r>
              <w:rPr>
                <w:noProof/>
                <w:webHidden/>
              </w:rPr>
              <w:fldChar w:fldCharType="end"/>
            </w:r>
          </w:hyperlink>
        </w:p>
        <w:p w14:paraId="16E22E15" w14:textId="0EF505C1" w:rsidR="000C7103" w:rsidRDefault="000C7103">
          <w:pPr>
            <w:pStyle w:val="TOC2"/>
            <w:tabs>
              <w:tab w:val="right" w:leader="dot" w:pos="9016"/>
            </w:tabs>
            <w:rPr>
              <w:rFonts w:eastAsiaTheme="minorEastAsia"/>
              <w:smallCaps w:val="0"/>
              <w:noProof/>
              <w:sz w:val="24"/>
              <w:szCs w:val="24"/>
              <w:lang w:eastAsia="en-GB"/>
            </w:rPr>
          </w:pPr>
          <w:hyperlink w:anchor="_Toc176452104" w:history="1">
            <w:r w:rsidRPr="003E0A0E">
              <w:rPr>
                <w:rStyle w:val="Hyperlink"/>
                <w:noProof/>
              </w:rPr>
              <w:t>Step 6: Communication strategies</w:t>
            </w:r>
            <w:r>
              <w:rPr>
                <w:noProof/>
                <w:webHidden/>
              </w:rPr>
              <w:tab/>
            </w:r>
            <w:r>
              <w:rPr>
                <w:noProof/>
                <w:webHidden/>
              </w:rPr>
              <w:fldChar w:fldCharType="begin"/>
            </w:r>
            <w:r>
              <w:rPr>
                <w:noProof/>
                <w:webHidden/>
              </w:rPr>
              <w:instrText xml:space="preserve"> PAGEREF _Toc176452104 \h </w:instrText>
            </w:r>
            <w:r>
              <w:rPr>
                <w:noProof/>
                <w:webHidden/>
              </w:rPr>
            </w:r>
            <w:r>
              <w:rPr>
                <w:noProof/>
                <w:webHidden/>
              </w:rPr>
              <w:fldChar w:fldCharType="separate"/>
            </w:r>
            <w:r>
              <w:rPr>
                <w:noProof/>
                <w:webHidden/>
              </w:rPr>
              <w:t>8</w:t>
            </w:r>
            <w:r>
              <w:rPr>
                <w:noProof/>
                <w:webHidden/>
              </w:rPr>
              <w:fldChar w:fldCharType="end"/>
            </w:r>
          </w:hyperlink>
        </w:p>
        <w:p w14:paraId="7E0E89DB" w14:textId="3326F8F2" w:rsidR="000C7103" w:rsidRDefault="000C7103">
          <w:pPr>
            <w:pStyle w:val="TOC2"/>
            <w:tabs>
              <w:tab w:val="right" w:leader="dot" w:pos="9016"/>
            </w:tabs>
            <w:rPr>
              <w:rFonts w:eastAsiaTheme="minorEastAsia"/>
              <w:smallCaps w:val="0"/>
              <w:noProof/>
              <w:sz w:val="24"/>
              <w:szCs w:val="24"/>
              <w:lang w:eastAsia="en-GB"/>
            </w:rPr>
          </w:pPr>
          <w:hyperlink w:anchor="_Toc176452105" w:history="1">
            <w:r w:rsidRPr="003E0A0E">
              <w:rPr>
                <w:rStyle w:val="Hyperlink"/>
                <w:noProof/>
              </w:rPr>
              <w:t>Step 7: Grievance Redress Mechanism</w:t>
            </w:r>
            <w:r>
              <w:rPr>
                <w:noProof/>
                <w:webHidden/>
              </w:rPr>
              <w:tab/>
            </w:r>
            <w:r>
              <w:rPr>
                <w:noProof/>
                <w:webHidden/>
              </w:rPr>
              <w:fldChar w:fldCharType="begin"/>
            </w:r>
            <w:r>
              <w:rPr>
                <w:noProof/>
                <w:webHidden/>
              </w:rPr>
              <w:instrText xml:space="preserve"> PAGEREF _Toc176452105 \h </w:instrText>
            </w:r>
            <w:r>
              <w:rPr>
                <w:noProof/>
                <w:webHidden/>
              </w:rPr>
            </w:r>
            <w:r>
              <w:rPr>
                <w:noProof/>
                <w:webHidden/>
              </w:rPr>
              <w:fldChar w:fldCharType="separate"/>
            </w:r>
            <w:r>
              <w:rPr>
                <w:noProof/>
                <w:webHidden/>
              </w:rPr>
              <w:t>9</w:t>
            </w:r>
            <w:r>
              <w:rPr>
                <w:noProof/>
                <w:webHidden/>
              </w:rPr>
              <w:fldChar w:fldCharType="end"/>
            </w:r>
          </w:hyperlink>
        </w:p>
        <w:p w14:paraId="0ECB9989" w14:textId="55D8164C" w:rsidR="000C7103" w:rsidRDefault="000C7103">
          <w:pPr>
            <w:pStyle w:val="TOC2"/>
            <w:tabs>
              <w:tab w:val="right" w:leader="dot" w:pos="9016"/>
            </w:tabs>
            <w:rPr>
              <w:rFonts w:eastAsiaTheme="minorEastAsia"/>
              <w:smallCaps w:val="0"/>
              <w:noProof/>
              <w:sz w:val="24"/>
              <w:szCs w:val="24"/>
              <w:lang w:eastAsia="en-GB"/>
            </w:rPr>
          </w:pPr>
          <w:hyperlink w:anchor="_Toc176452106" w:history="1">
            <w:r w:rsidRPr="003E0A0E">
              <w:rPr>
                <w:rStyle w:val="Hyperlink"/>
                <w:noProof/>
              </w:rPr>
              <w:t>Step 8: Allocate resources</w:t>
            </w:r>
            <w:r>
              <w:rPr>
                <w:noProof/>
                <w:webHidden/>
              </w:rPr>
              <w:tab/>
            </w:r>
            <w:r>
              <w:rPr>
                <w:noProof/>
                <w:webHidden/>
              </w:rPr>
              <w:fldChar w:fldCharType="begin"/>
            </w:r>
            <w:r>
              <w:rPr>
                <w:noProof/>
                <w:webHidden/>
              </w:rPr>
              <w:instrText xml:space="preserve"> PAGEREF _Toc176452106 \h </w:instrText>
            </w:r>
            <w:r>
              <w:rPr>
                <w:noProof/>
                <w:webHidden/>
              </w:rPr>
            </w:r>
            <w:r>
              <w:rPr>
                <w:noProof/>
                <w:webHidden/>
              </w:rPr>
              <w:fldChar w:fldCharType="separate"/>
            </w:r>
            <w:r>
              <w:rPr>
                <w:noProof/>
                <w:webHidden/>
              </w:rPr>
              <w:t>9</w:t>
            </w:r>
            <w:r>
              <w:rPr>
                <w:noProof/>
                <w:webHidden/>
              </w:rPr>
              <w:fldChar w:fldCharType="end"/>
            </w:r>
          </w:hyperlink>
        </w:p>
        <w:p w14:paraId="33CDE3BA" w14:textId="3D5D0667" w:rsidR="000C7103" w:rsidRDefault="000C7103">
          <w:pPr>
            <w:pStyle w:val="TOC1"/>
            <w:tabs>
              <w:tab w:val="right" w:leader="dot" w:pos="9016"/>
            </w:tabs>
            <w:rPr>
              <w:rFonts w:eastAsiaTheme="minorEastAsia"/>
              <w:b w:val="0"/>
              <w:bCs w:val="0"/>
              <w:caps w:val="0"/>
              <w:noProof/>
              <w:sz w:val="24"/>
              <w:szCs w:val="24"/>
              <w:lang w:eastAsia="en-GB"/>
            </w:rPr>
          </w:pPr>
          <w:hyperlink w:anchor="_Toc176452107" w:history="1">
            <w:r w:rsidRPr="003E0A0E">
              <w:rPr>
                <w:rStyle w:val="Hyperlink"/>
                <w:noProof/>
              </w:rPr>
              <w:t>9. Engagement during Implementation Stages</w:t>
            </w:r>
            <w:r>
              <w:rPr>
                <w:noProof/>
                <w:webHidden/>
              </w:rPr>
              <w:tab/>
            </w:r>
            <w:r>
              <w:rPr>
                <w:noProof/>
                <w:webHidden/>
              </w:rPr>
              <w:fldChar w:fldCharType="begin"/>
            </w:r>
            <w:r>
              <w:rPr>
                <w:noProof/>
                <w:webHidden/>
              </w:rPr>
              <w:instrText xml:space="preserve"> PAGEREF _Toc176452107 \h </w:instrText>
            </w:r>
            <w:r>
              <w:rPr>
                <w:noProof/>
                <w:webHidden/>
              </w:rPr>
            </w:r>
            <w:r>
              <w:rPr>
                <w:noProof/>
                <w:webHidden/>
              </w:rPr>
              <w:fldChar w:fldCharType="separate"/>
            </w:r>
            <w:r>
              <w:rPr>
                <w:noProof/>
                <w:webHidden/>
              </w:rPr>
              <w:t>9</w:t>
            </w:r>
            <w:r>
              <w:rPr>
                <w:noProof/>
                <w:webHidden/>
              </w:rPr>
              <w:fldChar w:fldCharType="end"/>
            </w:r>
          </w:hyperlink>
        </w:p>
        <w:p w14:paraId="7CA630EE" w14:textId="13DD46D1" w:rsidR="000C7103" w:rsidRDefault="000C7103">
          <w:pPr>
            <w:pStyle w:val="TOC2"/>
            <w:tabs>
              <w:tab w:val="right" w:leader="dot" w:pos="9016"/>
            </w:tabs>
            <w:rPr>
              <w:rFonts w:eastAsiaTheme="minorEastAsia"/>
              <w:smallCaps w:val="0"/>
              <w:noProof/>
              <w:sz w:val="24"/>
              <w:szCs w:val="24"/>
              <w:lang w:eastAsia="en-GB"/>
            </w:rPr>
          </w:pPr>
          <w:hyperlink w:anchor="_Toc176452108" w:history="1">
            <w:r w:rsidRPr="003E0A0E">
              <w:rPr>
                <w:rStyle w:val="Hyperlink"/>
                <w:noProof/>
              </w:rPr>
              <w:t>Step 9: Continued engagement and SEP implementation</w:t>
            </w:r>
            <w:r>
              <w:rPr>
                <w:noProof/>
                <w:webHidden/>
              </w:rPr>
              <w:tab/>
            </w:r>
            <w:r>
              <w:rPr>
                <w:noProof/>
                <w:webHidden/>
              </w:rPr>
              <w:fldChar w:fldCharType="begin"/>
            </w:r>
            <w:r>
              <w:rPr>
                <w:noProof/>
                <w:webHidden/>
              </w:rPr>
              <w:instrText xml:space="preserve"> PAGEREF _Toc176452108 \h </w:instrText>
            </w:r>
            <w:r>
              <w:rPr>
                <w:noProof/>
                <w:webHidden/>
              </w:rPr>
            </w:r>
            <w:r>
              <w:rPr>
                <w:noProof/>
                <w:webHidden/>
              </w:rPr>
              <w:fldChar w:fldCharType="separate"/>
            </w:r>
            <w:r>
              <w:rPr>
                <w:noProof/>
                <w:webHidden/>
              </w:rPr>
              <w:t>9</w:t>
            </w:r>
            <w:r>
              <w:rPr>
                <w:noProof/>
                <w:webHidden/>
              </w:rPr>
              <w:fldChar w:fldCharType="end"/>
            </w:r>
          </w:hyperlink>
        </w:p>
        <w:p w14:paraId="0EB01CEA" w14:textId="7880E239" w:rsidR="000C7103" w:rsidRDefault="000C7103">
          <w:pPr>
            <w:pStyle w:val="TOC2"/>
            <w:tabs>
              <w:tab w:val="right" w:leader="dot" w:pos="9016"/>
            </w:tabs>
            <w:rPr>
              <w:rFonts w:eastAsiaTheme="minorEastAsia"/>
              <w:smallCaps w:val="0"/>
              <w:noProof/>
              <w:sz w:val="24"/>
              <w:szCs w:val="24"/>
              <w:lang w:eastAsia="en-GB"/>
            </w:rPr>
          </w:pPr>
          <w:hyperlink w:anchor="_Toc176452109" w:history="1">
            <w:r w:rsidRPr="003E0A0E">
              <w:rPr>
                <w:rStyle w:val="Hyperlink"/>
                <w:noProof/>
              </w:rPr>
              <w:t>Step 10: Respond to concerns / grievances</w:t>
            </w:r>
            <w:r>
              <w:rPr>
                <w:noProof/>
                <w:webHidden/>
              </w:rPr>
              <w:tab/>
            </w:r>
            <w:r>
              <w:rPr>
                <w:noProof/>
                <w:webHidden/>
              </w:rPr>
              <w:fldChar w:fldCharType="begin"/>
            </w:r>
            <w:r>
              <w:rPr>
                <w:noProof/>
                <w:webHidden/>
              </w:rPr>
              <w:instrText xml:space="preserve"> PAGEREF _Toc176452109 \h </w:instrText>
            </w:r>
            <w:r>
              <w:rPr>
                <w:noProof/>
                <w:webHidden/>
              </w:rPr>
            </w:r>
            <w:r>
              <w:rPr>
                <w:noProof/>
                <w:webHidden/>
              </w:rPr>
              <w:fldChar w:fldCharType="separate"/>
            </w:r>
            <w:r>
              <w:rPr>
                <w:noProof/>
                <w:webHidden/>
              </w:rPr>
              <w:t>9</w:t>
            </w:r>
            <w:r>
              <w:rPr>
                <w:noProof/>
                <w:webHidden/>
              </w:rPr>
              <w:fldChar w:fldCharType="end"/>
            </w:r>
          </w:hyperlink>
        </w:p>
        <w:p w14:paraId="1551F9A1" w14:textId="1F72BFD8" w:rsidR="000C7103" w:rsidRDefault="000C7103">
          <w:pPr>
            <w:pStyle w:val="TOC2"/>
            <w:tabs>
              <w:tab w:val="right" w:leader="dot" w:pos="9016"/>
            </w:tabs>
            <w:rPr>
              <w:rFonts w:eastAsiaTheme="minorEastAsia"/>
              <w:smallCaps w:val="0"/>
              <w:noProof/>
              <w:sz w:val="24"/>
              <w:szCs w:val="24"/>
              <w:lang w:eastAsia="en-GB"/>
            </w:rPr>
          </w:pPr>
          <w:hyperlink w:anchor="_Toc176452110" w:history="1">
            <w:r w:rsidRPr="003E0A0E">
              <w:rPr>
                <w:rStyle w:val="Hyperlink"/>
                <w:noProof/>
              </w:rPr>
              <w:t>Step 11: Monitor and report back</w:t>
            </w:r>
            <w:r>
              <w:rPr>
                <w:noProof/>
                <w:webHidden/>
              </w:rPr>
              <w:tab/>
            </w:r>
            <w:r>
              <w:rPr>
                <w:noProof/>
                <w:webHidden/>
              </w:rPr>
              <w:fldChar w:fldCharType="begin"/>
            </w:r>
            <w:r>
              <w:rPr>
                <w:noProof/>
                <w:webHidden/>
              </w:rPr>
              <w:instrText xml:space="preserve"> PAGEREF _Toc176452110 \h </w:instrText>
            </w:r>
            <w:r>
              <w:rPr>
                <w:noProof/>
                <w:webHidden/>
              </w:rPr>
            </w:r>
            <w:r>
              <w:rPr>
                <w:noProof/>
                <w:webHidden/>
              </w:rPr>
              <w:fldChar w:fldCharType="separate"/>
            </w:r>
            <w:r>
              <w:rPr>
                <w:noProof/>
                <w:webHidden/>
              </w:rPr>
              <w:t>10</w:t>
            </w:r>
            <w:r>
              <w:rPr>
                <w:noProof/>
                <w:webHidden/>
              </w:rPr>
              <w:fldChar w:fldCharType="end"/>
            </w:r>
          </w:hyperlink>
        </w:p>
        <w:p w14:paraId="04E246F2" w14:textId="5C61C4A6" w:rsidR="000C7103" w:rsidRDefault="000C7103">
          <w:pPr>
            <w:pStyle w:val="TOC1"/>
            <w:tabs>
              <w:tab w:val="right" w:leader="dot" w:pos="9016"/>
            </w:tabs>
            <w:rPr>
              <w:rFonts w:eastAsiaTheme="minorEastAsia"/>
              <w:b w:val="0"/>
              <w:bCs w:val="0"/>
              <w:caps w:val="0"/>
              <w:noProof/>
              <w:sz w:val="24"/>
              <w:szCs w:val="24"/>
              <w:lang w:eastAsia="en-GB"/>
            </w:rPr>
          </w:pPr>
          <w:hyperlink w:anchor="_Toc176452111" w:history="1">
            <w:r w:rsidRPr="003E0A0E">
              <w:rPr>
                <w:rStyle w:val="Hyperlink"/>
                <w:noProof/>
              </w:rPr>
              <w:t>10. Considerations for challenging environments</w:t>
            </w:r>
            <w:r>
              <w:rPr>
                <w:noProof/>
                <w:webHidden/>
              </w:rPr>
              <w:tab/>
            </w:r>
            <w:r>
              <w:rPr>
                <w:noProof/>
                <w:webHidden/>
              </w:rPr>
              <w:fldChar w:fldCharType="begin"/>
            </w:r>
            <w:r>
              <w:rPr>
                <w:noProof/>
                <w:webHidden/>
              </w:rPr>
              <w:instrText xml:space="preserve"> PAGEREF _Toc176452111 \h </w:instrText>
            </w:r>
            <w:r>
              <w:rPr>
                <w:noProof/>
                <w:webHidden/>
              </w:rPr>
            </w:r>
            <w:r>
              <w:rPr>
                <w:noProof/>
                <w:webHidden/>
              </w:rPr>
              <w:fldChar w:fldCharType="separate"/>
            </w:r>
            <w:r>
              <w:rPr>
                <w:noProof/>
                <w:webHidden/>
              </w:rPr>
              <w:t>10</w:t>
            </w:r>
            <w:r>
              <w:rPr>
                <w:noProof/>
                <w:webHidden/>
              </w:rPr>
              <w:fldChar w:fldCharType="end"/>
            </w:r>
          </w:hyperlink>
        </w:p>
        <w:p w14:paraId="77C860E4" w14:textId="4E2E9A07" w:rsidR="000C7103" w:rsidRDefault="000C7103">
          <w:pPr>
            <w:pStyle w:val="TOC1"/>
            <w:tabs>
              <w:tab w:val="right" w:leader="dot" w:pos="9016"/>
            </w:tabs>
            <w:rPr>
              <w:rFonts w:eastAsiaTheme="minorEastAsia"/>
              <w:b w:val="0"/>
              <w:bCs w:val="0"/>
              <w:caps w:val="0"/>
              <w:noProof/>
              <w:sz w:val="24"/>
              <w:szCs w:val="24"/>
              <w:lang w:eastAsia="en-GB"/>
            </w:rPr>
          </w:pPr>
          <w:hyperlink w:anchor="_Toc176452112" w:history="1">
            <w:r w:rsidRPr="003E0A0E">
              <w:rPr>
                <w:rStyle w:val="Hyperlink"/>
                <w:noProof/>
              </w:rPr>
              <w:t>11. Monitoring, Compliance, and Reporting</w:t>
            </w:r>
            <w:r>
              <w:rPr>
                <w:noProof/>
                <w:webHidden/>
              </w:rPr>
              <w:tab/>
            </w:r>
            <w:r>
              <w:rPr>
                <w:noProof/>
                <w:webHidden/>
              </w:rPr>
              <w:fldChar w:fldCharType="begin"/>
            </w:r>
            <w:r>
              <w:rPr>
                <w:noProof/>
                <w:webHidden/>
              </w:rPr>
              <w:instrText xml:space="preserve"> PAGEREF _Toc176452112 \h </w:instrText>
            </w:r>
            <w:r>
              <w:rPr>
                <w:noProof/>
                <w:webHidden/>
              </w:rPr>
            </w:r>
            <w:r>
              <w:rPr>
                <w:noProof/>
                <w:webHidden/>
              </w:rPr>
              <w:fldChar w:fldCharType="separate"/>
            </w:r>
            <w:r>
              <w:rPr>
                <w:noProof/>
                <w:webHidden/>
              </w:rPr>
              <w:t>10</w:t>
            </w:r>
            <w:r>
              <w:rPr>
                <w:noProof/>
                <w:webHidden/>
              </w:rPr>
              <w:fldChar w:fldCharType="end"/>
            </w:r>
          </w:hyperlink>
        </w:p>
        <w:p w14:paraId="5D3A06C2" w14:textId="7932E451" w:rsidR="000C7103" w:rsidRDefault="000C7103">
          <w:pPr>
            <w:pStyle w:val="TOC1"/>
            <w:tabs>
              <w:tab w:val="right" w:leader="dot" w:pos="9016"/>
            </w:tabs>
            <w:rPr>
              <w:rFonts w:eastAsiaTheme="minorEastAsia"/>
              <w:b w:val="0"/>
              <w:bCs w:val="0"/>
              <w:caps w:val="0"/>
              <w:noProof/>
              <w:sz w:val="24"/>
              <w:szCs w:val="24"/>
              <w:lang w:eastAsia="en-GB"/>
            </w:rPr>
          </w:pPr>
          <w:hyperlink w:anchor="_Toc176452113" w:history="1">
            <w:r w:rsidRPr="003E0A0E">
              <w:rPr>
                <w:rStyle w:val="Hyperlink"/>
                <w:noProof/>
              </w:rPr>
              <w:t>12. Organisational Commitment and Capacity</w:t>
            </w:r>
            <w:r>
              <w:rPr>
                <w:noProof/>
                <w:webHidden/>
              </w:rPr>
              <w:tab/>
            </w:r>
            <w:r>
              <w:rPr>
                <w:noProof/>
                <w:webHidden/>
              </w:rPr>
              <w:fldChar w:fldCharType="begin"/>
            </w:r>
            <w:r>
              <w:rPr>
                <w:noProof/>
                <w:webHidden/>
              </w:rPr>
              <w:instrText xml:space="preserve"> PAGEREF _Toc176452113 \h </w:instrText>
            </w:r>
            <w:r>
              <w:rPr>
                <w:noProof/>
                <w:webHidden/>
              </w:rPr>
            </w:r>
            <w:r>
              <w:rPr>
                <w:noProof/>
                <w:webHidden/>
              </w:rPr>
              <w:fldChar w:fldCharType="separate"/>
            </w:r>
            <w:r>
              <w:rPr>
                <w:noProof/>
                <w:webHidden/>
              </w:rPr>
              <w:t>10</w:t>
            </w:r>
            <w:r>
              <w:rPr>
                <w:noProof/>
                <w:webHidden/>
              </w:rPr>
              <w:fldChar w:fldCharType="end"/>
            </w:r>
          </w:hyperlink>
        </w:p>
        <w:p w14:paraId="2DC88C7F" w14:textId="16222B1A" w:rsidR="00D64064" w:rsidRPr="00C505DF" w:rsidRDefault="00944FB2" w:rsidP="00C505DF">
          <w:pPr>
            <w:rPr>
              <w:noProof/>
            </w:rPr>
          </w:pPr>
          <w:r>
            <w:rPr>
              <w:b/>
              <w:bCs/>
              <w:noProof/>
            </w:rPr>
            <w:fldChar w:fldCharType="end"/>
          </w:r>
        </w:p>
      </w:sdtContent>
    </w:sdt>
    <w:p w14:paraId="1C023FF7" w14:textId="77777777" w:rsidR="0019082B" w:rsidRDefault="0019082B">
      <w:pPr>
        <w:jc w:val="left"/>
        <w:rPr>
          <w:rFonts w:asciiTheme="majorHAnsi" w:eastAsiaTheme="majorEastAsia" w:hAnsiTheme="majorHAnsi" w:cstheme="majorBidi"/>
          <w:b/>
          <w:bCs/>
          <w:color w:val="156082" w:themeColor="accent1"/>
          <w:sz w:val="28"/>
          <w:szCs w:val="28"/>
        </w:rPr>
      </w:pPr>
      <w:bookmarkStart w:id="0" w:name="_Toc176452087"/>
      <w:r>
        <w:br w:type="page"/>
      </w:r>
    </w:p>
    <w:p w14:paraId="3B03D607" w14:textId="0C4A5DEF" w:rsidR="00C505DF" w:rsidRPr="00C505DF" w:rsidRDefault="00C505DF" w:rsidP="00C505DF">
      <w:pPr>
        <w:pStyle w:val="Heading1"/>
      </w:pPr>
      <w:r w:rsidRPr="00C505DF">
        <w:lastRenderedPageBreak/>
        <w:t>1. Introduction</w:t>
      </w:r>
      <w:bookmarkEnd w:id="0"/>
    </w:p>
    <w:p w14:paraId="0E3F065B" w14:textId="64C9415F" w:rsidR="00C505DF" w:rsidRDefault="00C505DF" w:rsidP="00C505DF">
      <w:r w:rsidRPr="00C505DF">
        <w:t xml:space="preserve">The </w:t>
      </w:r>
      <w:r w:rsidRPr="00C505DF">
        <w:rPr>
          <w:b/>
          <w:bCs/>
        </w:rPr>
        <w:t>Global Fund for Coral Reefs (GFCR)</w:t>
      </w:r>
      <w:r w:rsidRPr="00C505DF">
        <w:t xml:space="preserve"> is committed to </w:t>
      </w:r>
      <w:r w:rsidR="002B7E1B">
        <w:t>p</w:t>
      </w:r>
      <w:r w:rsidR="002B7E1B" w:rsidRPr="002B7E1B">
        <w:t xml:space="preserve">reserving and restoring coral reef ecosystems through collaborative efforts with diverse stakeholders. </w:t>
      </w:r>
      <w:r w:rsidRPr="00C505DF">
        <w:t xml:space="preserve">This </w:t>
      </w:r>
      <w:r>
        <w:rPr>
          <w:b/>
          <w:bCs/>
        </w:rPr>
        <w:t>Stakeholder Engagement</w:t>
      </w:r>
      <w:r w:rsidRPr="00C505DF">
        <w:rPr>
          <w:b/>
          <w:bCs/>
        </w:rPr>
        <w:t xml:space="preserve"> Policy</w:t>
      </w:r>
      <w:r w:rsidRPr="00C505DF">
        <w:t xml:space="preserve"> establishes</w:t>
      </w:r>
      <w:r>
        <w:t xml:space="preserve"> </w:t>
      </w:r>
      <w:r w:rsidR="00815EC1">
        <w:t xml:space="preserve">GFCR’s commitment to </w:t>
      </w:r>
      <w:r w:rsidR="0069166A">
        <w:t>foster</w:t>
      </w:r>
      <w:r w:rsidR="00B441BC">
        <w:t>ing</w:t>
      </w:r>
      <w:r w:rsidR="00815EC1">
        <w:t xml:space="preserve"> meaningful and inclusive participation in all stages </w:t>
      </w:r>
      <w:r w:rsidR="00086F4C">
        <w:t>of</w:t>
      </w:r>
      <w:r w:rsidR="00272A3C">
        <w:t xml:space="preserve"> its</w:t>
      </w:r>
      <w:r w:rsidR="00086F4C">
        <w:t xml:space="preserve"> </w:t>
      </w:r>
      <w:r w:rsidR="00B238D2">
        <w:t>initiatives</w:t>
      </w:r>
      <w:r w:rsidR="00351972">
        <w:t>, r</w:t>
      </w:r>
      <w:r w:rsidR="00351972" w:rsidRPr="00351972">
        <w:t>ecogni</w:t>
      </w:r>
      <w:r w:rsidR="00351972">
        <w:t>s</w:t>
      </w:r>
      <w:r w:rsidR="00351972" w:rsidRPr="00351972">
        <w:t xml:space="preserve">ing that effective engagement is crucial for the environmental and social sustainability of </w:t>
      </w:r>
      <w:r w:rsidR="00C75B82">
        <w:t xml:space="preserve">its </w:t>
      </w:r>
      <w:r w:rsidR="00B238D2">
        <w:t>programmes and projects</w:t>
      </w:r>
      <w:r w:rsidR="00351972" w:rsidRPr="00351972">
        <w:t>.</w:t>
      </w:r>
    </w:p>
    <w:p w14:paraId="7CFF2228" w14:textId="517D60DC" w:rsidR="00ED0A6B" w:rsidRDefault="00C75B82" w:rsidP="00C505DF">
      <w:r>
        <w:t>B</w:t>
      </w:r>
      <w:r w:rsidR="0079417D">
        <w:t>y</w:t>
      </w:r>
      <w:r w:rsidR="00ED0A6B" w:rsidRPr="00ED0A6B">
        <w:t xml:space="preserve"> emphasi</w:t>
      </w:r>
      <w:r w:rsidR="00ED0A6B">
        <w:t>s</w:t>
      </w:r>
      <w:r w:rsidR="00ED0A6B" w:rsidRPr="00ED0A6B">
        <w:t>ing open and transparent engagement between Convening Agents and stakeholder</w:t>
      </w:r>
      <w:r w:rsidR="003F7A2D">
        <w:t>s</w:t>
      </w:r>
      <w:r w:rsidR="00E3780D">
        <w:t xml:space="preserve">, </w:t>
      </w:r>
      <w:r w:rsidR="00E3780D" w:rsidRPr="00E3780D">
        <w:t>GFCR aims to align with international best practices for conservation funds and blended finance mechanisms</w:t>
      </w:r>
      <w:r w:rsidR="00ED0A6B" w:rsidRPr="00ED0A6B">
        <w:t>. This approach is designed to enhance</w:t>
      </w:r>
      <w:r w:rsidR="00195574">
        <w:t xml:space="preserve"> programme and project</w:t>
      </w:r>
      <w:r w:rsidR="00ED0A6B" w:rsidRPr="00ED0A6B">
        <w:t xml:space="preserve"> acceptance, improve design</w:t>
      </w:r>
      <w:r w:rsidR="00E3780D">
        <w:t>, preparation</w:t>
      </w:r>
      <w:r w:rsidR="00ED0A6B" w:rsidRPr="00ED0A6B">
        <w:t xml:space="preserve"> and implementation, and ultimately advance GFCR's mission of mobili</w:t>
      </w:r>
      <w:r w:rsidR="00B238D2">
        <w:t>s</w:t>
      </w:r>
      <w:r w:rsidR="00ED0A6B" w:rsidRPr="00ED0A6B">
        <w:t>ing resources for coral reef conservation.</w:t>
      </w:r>
    </w:p>
    <w:p w14:paraId="3B935560" w14:textId="6489B977" w:rsidR="00C6149C" w:rsidRDefault="00C6149C" w:rsidP="00C505DF">
      <w:r w:rsidRPr="00C6149C">
        <w:t xml:space="preserve">The </w:t>
      </w:r>
      <w:r w:rsidR="00195574">
        <w:t>P</w:t>
      </w:r>
      <w:r w:rsidRPr="00C6149C">
        <w:t>olicy underscores GFCR's commitment to improving the well-being of vulnerable populations affected by its activities, with a particular focus on marginali</w:t>
      </w:r>
      <w:r w:rsidR="00195574">
        <w:t>s</w:t>
      </w:r>
      <w:r w:rsidRPr="00C6149C">
        <w:t>ed groups, women and girls, indigenous peoples, and local communities. By engaging early and often with stakeholders, GFCR seeks to develop interactive and constructive processes that ensure stakeholders are well-informed, their ideas are advanced, and their concerns are addressed</w:t>
      </w:r>
      <w:r w:rsidR="00B35A46">
        <w:rPr>
          <w:rStyle w:val="FootnoteReference"/>
        </w:rPr>
        <w:footnoteReference w:id="1"/>
      </w:r>
      <w:r w:rsidRPr="00C6149C">
        <w:t>.</w:t>
      </w:r>
    </w:p>
    <w:p w14:paraId="2DB6ED46" w14:textId="57188AAB" w:rsidR="00662308" w:rsidRDefault="00190A4B" w:rsidP="00C505DF">
      <w:r w:rsidRPr="00190A4B">
        <w:t xml:space="preserve">This Policy </w:t>
      </w:r>
      <w:r w:rsidR="00114BF9">
        <w:t>outlines</w:t>
      </w:r>
      <w:r w:rsidRPr="00190A4B">
        <w:t xml:space="preserve"> </w:t>
      </w:r>
      <w:r w:rsidR="002C5D39" w:rsidRPr="002C5D39">
        <w:t>the GFCR's expectations for Convening Agents in conducting stakeholder engagement processes</w:t>
      </w:r>
      <w:r w:rsidRPr="00190A4B">
        <w:t xml:space="preserve">. It </w:t>
      </w:r>
      <w:r w:rsidR="00114BF9">
        <w:t>details</w:t>
      </w:r>
      <w:r w:rsidRPr="00190A4B">
        <w:t xml:space="preserve">: the purpose and scope of </w:t>
      </w:r>
      <w:r>
        <w:t xml:space="preserve">stakeholder </w:t>
      </w:r>
      <w:r w:rsidR="006B4E44">
        <w:t>engagement</w:t>
      </w:r>
      <w:r w:rsidRPr="00190A4B">
        <w:t xml:space="preserve">; the principles </w:t>
      </w:r>
      <w:r w:rsidR="00EA7F1A" w:rsidRPr="00EA7F1A">
        <w:t>guiding engagement practices</w:t>
      </w:r>
      <w:r w:rsidRPr="00190A4B">
        <w:t xml:space="preserve">; </w:t>
      </w:r>
      <w:r w:rsidR="00EB7646" w:rsidRPr="00EB7646">
        <w:t>specific considerations for including women and indigenous peoples</w:t>
      </w:r>
      <w:r w:rsidR="005A1A31">
        <w:t xml:space="preserve">; requirements and </w:t>
      </w:r>
      <w:r w:rsidR="00EE23C8">
        <w:t>steps</w:t>
      </w:r>
      <w:r w:rsidR="005A1A31">
        <w:t xml:space="preserve"> </w:t>
      </w:r>
      <w:r w:rsidR="007C34A6">
        <w:t xml:space="preserve">for </w:t>
      </w:r>
      <w:r w:rsidR="00C13C3B">
        <w:t xml:space="preserve">effective engagement </w:t>
      </w:r>
      <w:r w:rsidR="00874E72">
        <w:t>at different stages</w:t>
      </w:r>
      <w:r w:rsidR="005A1A31">
        <w:t>; monitoring</w:t>
      </w:r>
      <w:r w:rsidR="00452CE7">
        <w:t xml:space="preserve"> </w:t>
      </w:r>
      <w:r w:rsidR="005A1A31">
        <w:t>and reporting</w:t>
      </w:r>
      <w:r w:rsidR="00EE23C8">
        <w:t xml:space="preserve"> procedures</w:t>
      </w:r>
      <w:r w:rsidR="005A1A31">
        <w:t xml:space="preserve">; and </w:t>
      </w:r>
      <w:r w:rsidR="005B6F07">
        <w:t>the</w:t>
      </w:r>
      <w:r w:rsidR="00874E72">
        <w:t xml:space="preserve"> </w:t>
      </w:r>
      <w:r w:rsidR="005A1A31">
        <w:t xml:space="preserve">organisational commitment and </w:t>
      </w:r>
      <w:r w:rsidR="00D31398">
        <w:t>capacity</w:t>
      </w:r>
      <w:r w:rsidR="00874E72">
        <w:t xml:space="preserve"> </w:t>
      </w:r>
      <w:r w:rsidR="005B6F07">
        <w:t xml:space="preserve">required </w:t>
      </w:r>
      <w:r w:rsidR="00874E72">
        <w:t xml:space="preserve">to </w:t>
      </w:r>
      <w:r w:rsidR="008C3380">
        <w:t xml:space="preserve">support </w:t>
      </w:r>
      <w:r w:rsidR="006C4360">
        <w:t>these</w:t>
      </w:r>
      <w:r w:rsidR="008C3380">
        <w:t xml:space="preserve"> efforts</w:t>
      </w:r>
      <w:r w:rsidRPr="00190A4B">
        <w:t>.</w:t>
      </w:r>
    </w:p>
    <w:p w14:paraId="323A66A3" w14:textId="48F15EAF" w:rsidR="0045045A" w:rsidRDefault="000B0BD8" w:rsidP="0045045A">
      <w:pPr>
        <w:pStyle w:val="Heading1"/>
      </w:pPr>
      <w:bookmarkStart w:id="1" w:name="_Toc176452088"/>
      <w:r>
        <w:t>2</w:t>
      </w:r>
      <w:r w:rsidR="0045045A">
        <w:t xml:space="preserve">. </w:t>
      </w:r>
      <w:r>
        <w:t>Purpose and scope</w:t>
      </w:r>
      <w:bookmarkEnd w:id="1"/>
    </w:p>
    <w:p w14:paraId="56EAB07D" w14:textId="05ABE400" w:rsidR="00334783" w:rsidRDefault="004B68BA" w:rsidP="00334783">
      <w:r w:rsidRPr="004B68BA">
        <w:t>The GFCR requires Convening Agents to develop and implement plans for meaningful consultation and engagement with stakeholders throughout the lifecycle of its programmes and projects.</w:t>
      </w:r>
    </w:p>
    <w:p w14:paraId="4986BA42" w14:textId="3A149A08" w:rsidR="00771A95" w:rsidRDefault="00771A95" w:rsidP="00771A95">
      <w:pPr>
        <w:pStyle w:val="Heading2"/>
      </w:pPr>
      <w:bookmarkStart w:id="2" w:name="_Toc176452089"/>
      <w:r>
        <w:t>Who are stakeholders?</w:t>
      </w:r>
      <w:bookmarkEnd w:id="2"/>
    </w:p>
    <w:p w14:paraId="0DCE1676" w14:textId="77777777" w:rsidR="00F970DE" w:rsidRDefault="00F970DE" w:rsidP="00F970DE">
      <w:r>
        <w:t>Stakeholders refer to individuals or groups who:</w:t>
      </w:r>
    </w:p>
    <w:p w14:paraId="36405C26" w14:textId="63B50A37" w:rsidR="00F970DE" w:rsidRDefault="00F970DE" w:rsidP="00F970DE">
      <w:pPr>
        <w:pStyle w:val="ListParagraph"/>
        <w:numPr>
          <w:ilvl w:val="0"/>
          <w:numId w:val="8"/>
        </w:numPr>
      </w:pPr>
      <w:r>
        <w:t>Are affected or likely to be affected by a programme or project (affected parties).</w:t>
      </w:r>
    </w:p>
    <w:p w14:paraId="3AA2DA4B" w14:textId="3355C882" w:rsidR="00771A95" w:rsidRPr="00334783" w:rsidRDefault="00F970DE" w:rsidP="00F970DE">
      <w:pPr>
        <w:pStyle w:val="ListParagraph"/>
        <w:numPr>
          <w:ilvl w:val="0"/>
          <w:numId w:val="8"/>
        </w:numPr>
      </w:pPr>
      <w:r>
        <w:t>May have an interest in the programme or project (other interested parties).</w:t>
      </w:r>
    </w:p>
    <w:p w14:paraId="601D5542" w14:textId="10C0A3FD" w:rsidR="005805B2" w:rsidRDefault="00965ED0" w:rsidP="000B0BD8">
      <w:pPr>
        <w:pStyle w:val="Heading2"/>
      </w:pPr>
      <w:bookmarkStart w:id="3" w:name="_Toc176452090"/>
      <w:r>
        <w:t>What is meaningful engagement?</w:t>
      </w:r>
      <w:bookmarkEnd w:id="3"/>
    </w:p>
    <w:p w14:paraId="67063BF2" w14:textId="5A6E5B48" w:rsidR="00031D25" w:rsidRDefault="00031D25" w:rsidP="005C6D84">
      <w:r w:rsidRPr="00031D25">
        <w:t>Meaningful stakeholder engagement encompasses both consultation and active participation</w:t>
      </w:r>
      <w:r w:rsidR="008E0301">
        <w:t xml:space="preserve"> (engagement):</w:t>
      </w:r>
    </w:p>
    <w:p w14:paraId="6E157E1C" w14:textId="4F15ED51" w:rsidR="00A86EF8" w:rsidRDefault="005C6D84" w:rsidP="005C6D84">
      <w:pPr>
        <w:pStyle w:val="ListParagraph"/>
        <w:numPr>
          <w:ilvl w:val="0"/>
          <w:numId w:val="6"/>
        </w:numPr>
      </w:pPr>
      <w:r w:rsidRPr="00031D25">
        <w:rPr>
          <w:b/>
          <w:bCs/>
        </w:rPr>
        <w:t>Consultation</w:t>
      </w:r>
      <w:r w:rsidRPr="005C6D84">
        <w:t xml:space="preserve"> involves seeking input from diverse </w:t>
      </w:r>
      <w:r w:rsidR="00187F04">
        <w:t>affected or interested</w:t>
      </w:r>
      <w:r w:rsidRPr="005C6D84">
        <w:t xml:space="preserve"> </w:t>
      </w:r>
      <w:r w:rsidR="00187F04">
        <w:t>parties</w:t>
      </w:r>
      <w:r w:rsidRPr="005C6D84">
        <w:t>, particularly women and traditionally marginali</w:t>
      </w:r>
      <w:r>
        <w:t>s</w:t>
      </w:r>
      <w:r w:rsidRPr="005C6D84">
        <w:t xml:space="preserve">ed or underrepresented communities, to </w:t>
      </w:r>
      <w:r w:rsidR="00A86EF8">
        <w:t>understand</w:t>
      </w:r>
      <w:r w:rsidRPr="005C6D84">
        <w:t xml:space="preserve"> their perspectives on proposed activities.</w:t>
      </w:r>
    </w:p>
    <w:p w14:paraId="0647416E" w14:textId="1F2C3DEC" w:rsidR="00DC3793" w:rsidRDefault="00DC3793" w:rsidP="005C6D84">
      <w:pPr>
        <w:pStyle w:val="ListParagraph"/>
        <w:numPr>
          <w:ilvl w:val="0"/>
          <w:numId w:val="6"/>
        </w:numPr>
      </w:pPr>
      <w:r w:rsidRPr="00A86EF8">
        <w:rPr>
          <w:b/>
          <w:bCs/>
        </w:rPr>
        <w:lastRenderedPageBreak/>
        <w:t>Engagement</w:t>
      </w:r>
      <w:r w:rsidR="00A86EF8">
        <w:t xml:space="preserve"> </w:t>
      </w:r>
      <w:r w:rsidR="00D95E2A">
        <w:t>provides</w:t>
      </w:r>
      <w:r w:rsidRPr="00DC3793">
        <w:t xml:space="preserve"> stakeholders </w:t>
      </w:r>
      <w:r w:rsidR="00D95E2A" w:rsidRPr="00D95E2A">
        <w:t>with a more substantial role in actively participating in discussions</w:t>
      </w:r>
      <w:r w:rsidR="00B4090F">
        <w:t xml:space="preserve"> </w:t>
      </w:r>
      <w:r w:rsidR="005C586E">
        <w:t>to</w:t>
      </w:r>
      <w:r w:rsidR="006D5F47">
        <w:t xml:space="preserve"> then</w:t>
      </w:r>
      <w:r w:rsidR="00EC056C">
        <w:t xml:space="preserve"> </w:t>
      </w:r>
      <w:r w:rsidR="00A204DC" w:rsidRPr="00A204DC">
        <w:t>make consequential contributions to decision</w:t>
      </w:r>
      <w:r w:rsidR="006D5F47">
        <w:t>s</w:t>
      </w:r>
      <w:r w:rsidR="00B56014">
        <w:t xml:space="preserve"> </w:t>
      </w:r>
      <w:r w:rsidR="006D5F47">
        <w:t>related to</w:t>
      </w:r>
      <w:r w:rsidR="00B56014">
        <w:t xml:space="preserve"> the design, preparation and implementation of programmes and projects</w:t>
      </w:r>
      <w:r w:rsidR="00A204DC" w:rsidRPr="00A204DC">
        <w:t>. It goes beyond superficial consultation to enable deeper participation and co-creation</w:t>
      </w:r>
      <w:r w:rsidR="00D95E2A" w:rsidRPr="00D95E2A">
        <w:t>.</w:t>
      </w:r>
    </w:p>
    <w:p w14:paraId="2DD7D857" w14:textId="4572BE23" w:rsidR="00350CC3" w:rsidRPr="005C6D84" w:rsidRDefault="00350CC3" w:rsidP="005C6D84">
      <w:r w:rsidRPr="00350CC3">
        <w:t>Meaningful stakeholder</w:t>
      </w:r>
      <w:r w:rsidR="00A13B7E">
        <w:t xml:space="preserve"> </w:t>
      </w:r>
      <w:r w:rsidR="00900970">
        <w:t>e</w:t>
      </w:r>
      <w:r w:rsidRPr="00350CC3">
        <w:t>ngagement</w:t>
      </w:r>
      <w:r w:rsidR="00A13B7E">
        <w:t xml:space="preserve"> </w:t>
      </w:r>
      <w:r w:rsidR="00DF5261">
        <w:t xml:space="preserve">prioritises </w:t>
      </w:r>
      <w:r w:rsidRPr="00350CC3">
        <w:t xml:space="preserve">culturally appropriate, two-way communication </w:t>
      </w:r>
      <w:r w:rsidR="006E1DEB" w:rsidRPr="006E1DEB">
        <w:t>that fosters genuine exchange of views and ensures inclusive participation. Special attention is given to women's involvement and diverse group perspectives. The process is designed to be free from coercion, thoroughly documented, and includes clear mechanisms for timely reporting and follow-up actions.</w:t>
      </w:r>
      <w:r w:rsidR="00197A8A">
        <w:t xml:space="preserve"> </w:t>
      </w:r>
      <w:r w:rsidR="00197A8A" w:rsidRPr="00197A8A">
        <w:t>Rather than a one-time event, meaningful</w:t>
      </w:r>
      <w:r w:rsidR="00197A8A">
        <w:t xml:space="preserve"> stakeholder</w:t>
      </w:r>
      <w:r w:rsidR="00197A8A" w:rsidRPr="00197A8A">
        <w:t xml:space="preserve"> engagement is an ongoing cycle of interaction, co-creation, and feedback</w:t>
      </w:r>
      <w:r w:rsidR="00197A8A">
        <w:t>.</w:t>
      </w:r>
    </w:p>
    <w:p w14:paraId="6F1208A2" w14:textId="300E1CAA" w:rsidR="002D2A3C" w:rsidRDefault="007B2FB9" w:rsidP="00DE518C">
      <w:pPr>
        <w:pStyle w:val="Heading2"/>
      </w:pPr>
      <w:bookmarkStart w:id="4" w:name="_Toc176452091"/>
      <w:r>
        <w:t>Significance of Stakeholder Involvement</w:t>
      </w:r>
      <w:bookmarkEnd w:id="4"/>
    </w:p>
    <w:p w14:paraId="58478676" w14:textId="64B41C55" w:rsidR="00C22C1D" w:rsidRDefault="00C22C1D" w:rsidP="00C22C1D">
      <w:r>
        <w:t xml:space="preserve">Effective </w:t>
      </w:r>
      <w:r w:rsidR="00054D2E">
        <w:t xml:space="preserve">and meaningful </w:t>
      </w:r>
      <w:r>
        <w:t>stakeholder engagement</w:t>
      </w:r>
      <w:r w:rsidR="00137FD1">
        <w:t xml:space="preserve"> can contribute to</w:t>
      </w:r>
      <w:r>
        <w:t>:</w:t>
      </w:r>
    </w:p>
    <w:p w14:paraId="4AFE4FA8" w14:textId="64788011" w:rsidR="00C22C1D" w:rsidRDefault="00054D2E" w:rsidP="00C22C1D">
      <w:pPr>
        <w:pStyle w:val="ListParagraph"/>
        <w:numPr>
          <w:ilvl w:val="0"/>
          <w:numId w:val="7"/>
        </w:numPr>
      </w:pPr>
      <w:r>
        <w:t>E</w:t>
      </w:r>
      <w:r w:rsidR="00C22C1D">
        <w:t>nhanc</w:t>
      </w:r>
      <w:r w:rsidR="00137FD1">
        <w:t>ing</w:t>
      </w:r>
      <w:r w:rsidR="00C22C1D">
        <w:t xml:space="preserve"> </w:t>
      </w:r>
      <w:r w:rsidR="00137FD1" w:rsidRPr="00137FD1">
        <w:t xml:space="preserve">the design, </w:t>
      </w:r>
      <w:r w:rsidR="00137FD1">
        <w:t xml:space="preserve">preparation, </w:t>
      </w:r>
      <w:r w:rsidR="00137FD1" w:rsidRPr="00137FD1">
        <w:t>implementation, and acceptance of programmes and projects</w:t>
      </w:r>
      <w:r w:rsidR="00C22C1D">
        <w:t>.</w:t>
      </w:r>
    </w:p>
    <w:p w14:paraId="1942C45D" w14:textId="64FB43B8" w:rsidR="00C22C1D" w:rsidRDefault="00054D2E" w:rsidP="00C22C1D">
      <w:pPr>
        <w:pStyle w:val="ListParagraph"/>
        <w:numPr>
          <w:ilvl w:val="0"/>
          <w:numId w:val="7"/>
        </w:numPr>
      </w:pPr>
      <w:r>
        <w:t>I</w:t>
      </w:r>
      <w:r w:rsidR="00C22C1D">
        <w:t>mprov</w:t>
      </w:r>
      <w:r w:rsidR="00137FD1">
        <w:t>ing</w:t>
      </w:r>
      <w:r w:rsidR="00C22C1D">
        <w:t xml:space="preserve"> the environmental and social sustainability of </w:t>
      </w:r>
      <w:r w:rsidR="00137FD1">
        <w:t>initiatives</w:t>
      </w:r>
      <w:r w:rsidR="00C22C1D">
        <w:t>.</w:t>
      </w:r>
    </w:p>
    <w:p w14:paraId="455508A8" w14:textId="51182803" w:rsidR="00C22C1D" w:rsidRDefault="00054D2E" w:rsidP="00C22C1D">
      <w:pPr>
        <w:pStyle w:val="ListParagraph"/>
        <w:numPr>
          <w:ilvl w:val="0"/>
          <w:numId w:val="7"/>
        </w:numPr>
      </w:pPr>
      <w:r>
        <w:t>Identif</w:t>
      </w:r>
      <w:r w:rsidR="00137FD1">
        <w:t>ying</w:t>
      </w:r>
      <w:r w:rsidR="00C22C1D">
        <w:t xml:space="preserve"> stakeholder priorities, potential constraints, and conflicts.</w:t>
      </w:r>
    </w:p>
    <w:p w14:paraId="6A39F157" w14:textId="4E31B636" w:rsidR="00C22C1D" w:rsidRDefault="00054D2E" w:rsidP="00C22C1D">
      <w:pPr>
        <w:pStyle w:val="ListParagraph"/>
        <w:numPr>
          <w:ilvl w:val="0"/>
          <w:numId w:val="7"/>
        </w:numPr>
      </w:pPr>
      <w:r>
        <w:t>Incorporat</w:t>
      </w:r>
      <w:r w:rsidR="00137FD1">
        <w:t>ing</w:t>
      </w:r>
      <w:r w:rsidR="00C22C1D">
        <w:t xml:space="preserve"> local knowledge to mitigate risks and impacts</w:t>
      </w:r>
      <w:r>
        <w:t xml:space="preserve"> </w:t>
      </w:r>
      <w:r w:rsidR="00E839F8">
        <w:t>associated with</w:t>
      </w:r>
      <w:r>
        <w:t xml:space="preserve"> programmes and projects</w:t>
      </w:r>
      <w:r w:rsidR="00C22C1D">
        <w:t>.</w:t>
      </w:r>
    </w:p>
    <w:p w14:paraId="4BEC8E6A" w14:textId="2F2A8554" w:rsidR="00C22C1D" w:rsidRDefault="00054D2E" w:rsidP="00C22C1D">
      <w:pPr>
        <w:pStyle w:val="ListParagraph"/>
        <w:numPr>
          <w:ilvl w:val="0"/>
          <w:numId w:val="7"/>
        </w:numPr>
      </w:pPr>
      <w:r>
        <w:t>Provid</w:t>
      </w:r>
      <w:r w:rsidR="00E839F8">
        <w:t>ing</w:t>
      </w:r>
      <w:r w:rsidR="00C22C1D">
        <w:t xml:space="preserve"> feedback </w:t>
      </w:r>
      <w:r w:rsidR="004414C1">
        <w:t xml:space="preserve">and monitoring </w:t>
      </w:r>
      <w:r w:rsidR="00C22C1D">
        <w:t>mechanism</w:t>
      </w:r>
      <w:r w:rsidR="005D20A2">
        <w:t>s</w:t>
      </w:r>
      <w:r w:rsidR="00C22C1D">
        <w:t xml:space="preserve"> to ensure </w:t>
      </w:r>
      <w:r w:rsidR="00E839F8">
        <w:t>initiatives</w:t>
      </w:r>
      <w:r w:rsidR="00C22C1D">
        <w:t xml:space="preserve"> achieve intended results.</w:t>
      </w:r>
    </w:p>
    <w:p w14:paraId="4D20635B" w14:textId="2455EEDD" w:rsidR="00C22C1D" w:rsidRDefault="005D20A2" w:rsidP="00C22C1D">
      <w:pPr>
        <w:pStyle w:val="ListParagraph"/>
        <w:numPr>
          <w:ilvl w:val="0"/>
          <w:numId w:val="7"/>
        </w:numPr>
      </w:pPr>
      <w:r>
        <w:t>Uphold</w:t>
      </w:r>
      <w:r w:rsidR="00E839F8">
        <w:t>ing</w:t>
      </w:r>
      <w:r w:rsidR="00C22C1D">
        <w:t xml:space="preserve"> the rights of citizens to participate in decisions that may affect them.</w:t>
      </w:r>
    </w:p>
    <w:p w14:paraId="1E5D1FB9" w14:textId="3D891B48" w:rsidR="000B0BD8" w:rsidRDefault="007B2FB9" w:rsidP="000B0BD8">
      <w:pPr>
        <w:pStyle w:val="Heading2"/>
      </w:pPr>
      <w:bookmarkStart w:id="5" w:name="_Toc176452092"/>
      <w:r>
        <w:t>Applicability of the Policy</w:t>
      </w:r>
      <w:bookmarkEnd w:id="5"/>
    </w:p>
    <w:p w14:paraId="33F80371" w14:textId="524D4792" w:rsidR="000B0BD8" w:rsidRDefault="00B4163B" w:rsidP="004E1DE4">
      <w:r>
        <w:t xml:space="preserve">This Policy </w:t>
      </w:r>
      <w:r w:rsidR="000B0BD8" w:rsidRPr="00F938F6">
        <w:t xml:space="preserve">applies to all </w:t>
      </w:r>
      <w:r w:rsidR="00744CE3">
        <w:t xml:space="preserve">programmes, projects and </w:t>
      </w:r>
      <w:r w:rsidR="000B0BD8" w:rsidRPr="00F938F6">
        <w:t xml:space="preserve">activities </w:t>
      </w:r>
      <w:r w:rsidR="00744CE3">
        <w:t>supported</w:t>
      </w:r>
      <w:r w:rsidR="000B0BD8" w:rsidRPr="00F938F6">
        <w:t xml:space="preserve"> by </w:t>
      </w:r>
      <w:r>
        <w:t>GFCR</w:t>
      </w:r>
      <w:r w:rsidR="00744CE3">
        <w:t xml:space="preserve"> and its Convening Agents</w:t>
      </w:r>
      <w:r w:rsidR="004E1DE4">
        <w:t xml:space="preserve">, </w:t>
      </w:r>
      <w:r w:rsidR="004E1DE4" w:rsidRPr="004E1DE4">
        <w:t xml:space="preserve">with the intensity and scale of engagement varying based on the </w:t>
      </w:r>
      <w:r w:rsidR="009E5E1D">
        <w:t>initiative’s</w:t>
      </w:r>
      <w:r w:rsidR="004E1DE4" w:rsidRPr="004E1DE4">
        <w:t xml:space="preserve"> complexity, potential risks, and impacts.</w:t>
      </w:r>
    </w:p>
    <w:p w14:paraId="17B89BFD" w14:textId="0BD0BE96" w:rsidR="00C505DF" w:rsidRDefault="00C505DF" w:rsidP="005F6B93">
      <w:pPr>
        <w:pStyle w:val="Heading1"/>
      </w:pPr>
      <w:bookmarkStart w:id="6" w:name="_Toc176452093"/>
      <w:r>
        <w:t>3. Principles</w:t>
      </w:r>
      <w:bookmarkEnd w:id="6"/>
    </w:p>
    <w:p w14:paraId="7DCB9A03" w14:textId="108952C6" w:rsidR="00542E5E" w:rsidRDefault="00215030" w:rsidP="00C505DF">
      <w:r>
        <w:t>Key</w:t>
      </w:r>
      <w:r w:rsidR="00542E5E" w:rsidRPr="00542E5E">
        <w:t xml:space="preserve"> principles</w:t>
      </w:r>
      <w:r w:rsidR="00984FC2">
        <w:rPr>
          <w:rStyle w:val="FootnoteReference"/>
        </w:rPr>
        <w:footnoteReference w:id="2"/>
      </w:r>
      <w:r w:rsidR="00542E5E" w:rsidRPr="00542E5E">
        <w:t xml:space="preserve"> </w:t>
      </w:r>
      <w:r>
        <w:t>that should guide</w:t>
      </w:r>
      <w:r w:rsidR="00542E5E" w:rsidRPr="00542E5E">
        <w:t xml:space="preserve"> </w:t>
      </w:r>
      <w:r w:rsidR="00332432">
        <w:t>s</w:t>
      </w:r>
      <w:r w:rsidR="00542E5E" w:rsidRPr="00542E5E">
        <w:t xml:space="preserve">takeholder </w:t>
      </w:r>
      <w:r w:rsidR="00332432">
        <w:t>e</w:t>
      </w:r>
      <w:r w:rsidR="00542E5E" w:rsidRPr="00542E5E">
        <w:t xml:space="preserve">ngagement </w:t>
      </w:r>
      <w:r w:rsidR="00F8511C">
        <w:t xml:space="preserve">processes </w:t>
      </w:r>
      <w:r w:rsidR="009F470C">
        <w:t>across</w:t>
      </w:r>
      <w:r w:rsidR="00F8511C">
        <w:t xml:space="preserve"> </w:t>
      </w:r>
      <w:r w:rsidR="0087554B">
        <w:t>GFCR</w:t>
      </w:r>
      <w:r w:rsidR="009F470C">
        <w:t xml:space="preserve"> </w:t>
      </w:r>
      <w:r w:rsidR="0040103B">
        <w:t>governance,</w:t>
      </w:r>
      <w:r w:rsidR="00F8511C">
        <w:t xml:space="preserve"> and </w:t>
      </w:r>
      <w:r w:rsidR="00CD3DC4">
        <w:t xml:space="preserve">the operations of </w:t>
      </w:r>
      <w:r w:rsidR="00F8511C">
        <w:t>its Convening Agents include</w:t>
      </w:r>
      <w:r w:rsidR="00542E5E" w:rsidRPr="00542E5E">
        <w:t>:</w:t>
      </w:r>
    </w:p>
    <w:p w14:paraId="7A25E2C4" w14:textId="0CDD36AC" w:rsidR="009126FE" w:rsidRPr="00281528" w:rsidRDefault="00281528" w:rsidP="00B76C97">
      <w:pPr>
        <w:pStyle w:val="ListParagraph"/>
        <w:numPr>
          <w:ilvl w:val="0"/>
          <w:numId w:val="10"/>
        </w:numPr>
      </w:pPr>
      <w:r w:rsidRPr="009126FE">
        <w:rPr>
          <w:b/>
          <w:bCs/>
        </w:rPr>
        <w:t>Human rights</w:t>
      </w:r>
      <w:r w:rsidR="000314BD" w:rsidRPr="009126FE">
        <w:rPr>
          <w:b/>
          <w:bCs/>
        </w:rPr>
        <w:t>-based</w:t>
      </w:r>
      <w:r w:rsidRPr="009126FE">
        <w:rPr>
          <w:b/>
          <w:bCs/>
        </w:rPr>
        <w:t xml:space="preserve"> approach</w:t>
      </w:r>
      <w:r>
        <w:t xml:space="preserve">: </w:t>
      </w:r>
      <w:r w:rsidR="003C05F7" w:rsidRPr="003C05F7">
        <w:t xml:space="preserve">Ensure all engagement processes respect, protect, and fulfil </w:t>
      </w:r>
      <w:r w:rsidR="009126FE" w:rsidRPr="009126FE">
        <w:t>the fundamental rights and freedoms of all stakeholders</w:t>
      </w:r>
      <w:r w:rsidR="00C254CD">
        <w:rPr>
          <w:rStyle w:val="FootnoteReference"/>
        </w:rPr>
        <w:footnoteReference w:id="3"/>
      </w:r>
      <w:r w:rsidR="003C05F7" w:rsidRPr="003C05F7">
        <w:t xml:space="preserve">, </w:t>
      </w:r>
      <w:r w:rsidR="009126FE">
        <w:t>e</w:t>
      </w:r>
      <w:r w:rsidR="009126FE" w:rsidRPr="009126FE">
        <w:t>mpower</w:t>
      </w:r>
      <w:r w:rsidR="009126FE">
        <w:t>ing</w:t>
      </w:r>
      <w:r w:rsidR="009126FE" w:rsidRPr="009126FE">
        <w:t xml:space="preserve"> rights-holders to claim their rights and enabl</w:t>
      </w:r>
      <w:r w:rsidR="009126FE">
        <w:t>ing</w:t>
      </w:r>
      <w:r w:rsidR="009126FE" w:rsidRPr="009126FE">
        <w:t xml:space="preserve"> duty-bearers to meet their obligation</w:t>
      </w:r>
      <w:r w:rsidR="009126FE">
        <w:t>s.</w:t>
      </w:r>
    </w:p>
    <w:p w14:paraId="02122D3E" w14:textId="315C469D" w:rsidR="006A4AB9" w:rsidRPr="006A4AB9" w:rsidRDefault="006A4AB9" w:rsidP="006A4AB9">
      <w:pPr>
        <w:pStyle w:val="ListParagraph"/>
        <w:numPr>
          <w:ilvl w:val="0"/>
          <w:numId w:val="10"/>
        </w:numPr>
      </w:pPr>
      <w:r w:rsidRPr="006A4AB9">
        <w:rPr>
          <w:b/>
          <w:bCs/>
        </w:rPr>
        <w:lastRenderedPageBreak/>
        <w:t xml:space="preserve">Inclusivity and non-discrimination: </w:t>
      </w:r>
      <w:r w:rsidRPr="006A4AB9">
        <w:t>Actively include diverse stakeholders, particularly marginali</w:t>
      </w:r>
      <w:r w:rsidR="000A2191">
        <w:t>s</w:t>
      </w:r>
      <w:r w:rsidRPr="006A4AB9">
        <w:t>ed groups, women, and indigenous peoples, ensuring equal opportunities for participation.</w:t>
      </w:r>
    </w:p>
    <w:p w14:paraId="0E5E41DF" w14:textId="77777777" w:rsidR="006A4AB9" w:rsidRPr="006A4AB9" w:rsidRDefault="006A4AB9" w:rsidP="006A4AB9">
      <w:pPr>
        <w:pStyle w:val="ListParagraph"/>
        <w:numPr>
          <w:ilvl w:val="0"/>
          <w:numId w:val="10"/>
        </w:numPr>
      </w:pPr>
      <w:r w:rsidRPr="006A4AB9">
        <w:rPr>
          <w:b/>
          <w:bCs/>
        </w:rPr>
        <w:t xml:space="preserve">Transparency and accessibility: </w:t>
      </w:r>
      <w:r w:rsidRPr="006A4AB9">
        <w:t>Share relevant information in accessible formats to enable informed participation.</w:t>
      </w:r>
    </w:p>
    <w:p w14:paraId="5111D125" w14:textId="4C8B2254" w:rsidR="006A4AB9" w:rsidRPr="006A4AB9" w:rsidRDefault="006A4AB9" w:rsidP="006A4AB9">
      <w:pPr>
        <w:pStyle w:val="ListParagraph"/>
        <w:numPr>
          <w:ilvl w:val="0"/>
          <w:numId w:val="10"/>
        </w:numPr>
      </w:pPr>
      <w:r w:rsidRPr="006A4AB9">
        <w:rPr>
          <w:b/>
          <w:bCs/>
        </w:rPr>
        <w:t xml:space="preserve">Two-way dialogue: </w:t>
      </w:r>
      <w:r w:rsidRPr="006A4AB9">
        <w:t>Foster genuine communication and encourage active stakeholder participation.</w:t>
      </w:r>
    </w:p>
    <w:p w14:paraId="33914DB6" w14:textId="77777777" w:rsidR="006A4AB9" w:rsidRPr="006A4AB9" w:rsidRDefault="006A4AB9" w:rsidP="006A4AB9">
      <w:pPr>
        <w:pStyle w:val="ListParagraph"/>
        <w:numPr>
          <w:ilvl w:val="0"/>
          <w:numId w:val="10"/>
        </w:numPr>
      </w:pPr>
      <w:r w:rsidRPr="006A4AB9">
        <w:rPr>
          <w:b/>
          <w:bCs/>
        </w:rPr>
        <w:t xml:space="preserve">Cultural sensitivity: </w:t>
      </w:r>
      <w:r w:rsidRPr="006A4AB9">
        <w:t>Respect local customs, languages, and communication preferences of different stakeholder groups.</w:t>
      </w:r>
    </w:p>
    <w:p w14:paraId="685F0DB7" w14:textId="77777777" w:rsidR="006A4AB9" w:rsidRPr="006A4AB9" w:rsidRDefault="006A4AB9" w:rsidP="006A4AB9">
      <w:pPr>
        <w:pStyle w:val="ListParagraph"/>
        <w:numPr>
          <w:ilvl w:val="0"/>
          <w:numId w:val="10"/>
        </w:numPr>
      </w:pPr>
      <w:r w:rsidRPr="006A4AB9">
        <w:rPr>
          <w:b/>
          <w:bCs/>
        </w:rPr>
        <w:t xml:space="preserve">'Do no harm': </w:t>
      </w:r>
      <w:r w:rsidRPr="006A4AB9">
        <w:t>Ensure engagement processes and outcomes do not negatively impact stakeholders or exacerbate existing vulnerabilities.</w:t>
      </w:r>
    </w:p>
    <w:p w14:paraId="219E1414" w14:textId="77777777" w:rsidR="006A4AB9" w:rsidRPr="006A4AB9" w:rsidRDefault="006A4AB9" w:rsidP="006A4AB9">
      <w:pPr>
        <w:pStyle w:val="ListParagraph"/>
        <w:numPr>
          <w:ilvl w:val="0"/>
          <w:numId w:val="10"/>
        </w:numPr>
      </w:pPr>
      <w:r w:rsidRPr="006A4AB9">
        <w:rPr>
          <w:b/>
          <w:bCs/>
        </w:rPr>
        <w:t xml:space="preserve">Integration of input: </w:t>
      </w:r>
      <w:r w:rsidRPr="006A4AB9">
        <w:t>Demonstrate how stakeholder perspectives are considered and incorporated into decision-making processes.</w:t>
      </w:r>
    </w:p>
    <w:p w14:paraId="4874FAA3" w14:textId="77777777" w:rsidR="006A4AB9" w:rsidRPr="006A4AB9" w:rsidRDefault="006A4AB9" w:rsidP="006A4AB9">
      <w:pPr>
        <w:pStyle w:val="ListParagraph"/>
        <w:numPr>
          <w:ilvl w:val="0"/>
          <w:numId w:val="10"/>
        </w:numPr>
        <w:rPr>
          <w:b/>
          <w:bCs/>
        </w:rPr>
      </w:pPr>
      <w:r w:rsidRPr="006A4AB9">
        <w:rPr>
          <w:b/>
          <w:bCs/>
        </w:rPr>
        <w:t xml:space="preserve">Accountability: </w:t>
      </w:r>
      <w:r w:rsidRPr="006A4AB9">
        <w:t>Establish clear mechanisms for responsibility and follow-through on commitments made during engagement.</w:t>
      </w:r>
    </w:p>
    <w:p w14:paraId="4AC021F8" w14:textId="77777777" w:rsidR="006A4AB9" w:rsidRPr="006A4AB9" w:rsidRDefault="006A4AB9" w:rsidP="006A4AB9">
      <w:pPr>
        <w:pStyle w:val="ListParagraph"/>
        <w:numPr>
          <w:ilvl w:val="0"/>
          <w:numId w:val="10"/>
        </w:numPr>
      </w:pPr>
      <w:r w:rsidRPr="006A4AB9">
        <w:rPr>
          <w:b/>
          <w:bCs/>
        </w:rPr>
        <w:t xml:space="preserve">Adaptive learning: </w:t>
      </w:r>
      <w:r w:rsidRPr="006A4AB9">
        <w:t>Maintain flexibility to adjust processes based on feedback and lessons learned.</w:t>
      </w:r>
    </w:p>
    <w:p w14:paraId="47E4105E" w14:textId="77777777" w:rsidR="006A4AB9" w:rsidRPr="006A4AB9" w:rsidRDefault="006A4AB9" w:rsidP="006A4AB9">
      <w:pPr>
        <w:pStyle w:val="ListParagraph"/>
        <w:numPr>
          <w:ilvl w:val="0"/>
          <w:numId w:val="10"/>
        </w:numPr>
        <w:rPr>
          <w:b/>
          <w:bCs/>
        </w:rPr>
      </w:pPr>
      <w:r w:rsidRPr="006A4AB9">
        <w:rPr>
          <w:b/>
          <w:bCs/>
        </w:rPr>
        <w:t xml:space="preserve">Adequate resourcing: </w:t>
      </w:r>
      <w:r w:rsidRPr="006A4AB9">
        <w:t>Dedicate sufficient time, budget, and expertise to enable meaningful engagement.</w:t>
      </w:r>
    </w:p>
    <w:p w14:paraId="592A2B0F" w14:textId="5C31F509" w:rsidR="00621D47" w:rsidRDefault="00621D47" w:rsidP="00C505DF">
      <w:r>
        <w:t xml:space="preserve">These principles aim to ensure </w:t>
      </w:r>
      <w:r w:rsidRPr="00621D47">
        <w:t>GFCR can foster more meaningful</w:t>
      </w:r>
      <w:r w:rsidR="00F52058">
        <w:t xml:space="preserve"> and </w:t>
      </w:r>
      <w:r w:rsidRPr="00621D47">
        <w:t xml:space="preserve">inclusive stakeholder engagement processes across its governance and </w:t>
      </w:r>
      <w:r>
        <w:t xml:space="preserve">the </w:t>
      </w:r>
      <w:r w:rsidRPr="00621D47">
        <w:t>operations</w:t>
      </w:r>
      <w:r>
        <w:t xml:space="preserve"> of its Convening Agents</w:t>
      </w:r>
      <w:r w:rsidRPr="00621D47">
        <w:t>.</w:t>
      </w:r>
    </w:p>
    <w:p w14:paraId="350F8B5E" w14:textId="39F80935" w:rsidR="00712B87" w:rsidRDefault="00712B87" w:rsidP="00712B87">
      <w:pPr>
        <w:pStyle w:val="Heading1"/>
      </w:pPr>
      <w:bookmarkStart w:id="7" w:name="_Toc176452094"/>
      <w:r>
        <w:t xml:space="preserve">4. </w:t>
      </w:r>
      <w:r w:rsidR="007B2FB9">
        <w:t>Promoting G</w:t>
      </w:r>
      <w:r>
        <w:t xml:space="preserve">ender </w:t>
      </w:r>
      <w:r w:rsidR="007B2FB9">
        <w:t>E</w:t>
      </w:r>
      <w:r>
        <w:t xml:space="preserve">quality and </w:t>
      </w:r>
      <w:r w:rsidR="007B2FB9">
        <w:t>W</w:t>
      </w:r>
      <w:r>
        <w:t xml:space="preserve">omen’s </w:t>
      </w:r>
      <w:r w:rsidR="007B2FB9">
        <w:t>E</w:t>
      </w:r>
      <w:r>
        <w:t>mpowerment</w:t>
      </w:r>
      <w:bookmarkEnd w:id="7"/>
    </w:p>
    <w:p w14:paraId="54C2E881" w14:textId="351B5A92" w:rsidR="006C6BF0" w:rsidRDefault="006C6BF0" w:rsidP="00BC1211">
      <w:r>
        <w:t xml:space="preserve">The GFCR </w:t>
      </w:r>
      <w:r w:rsidR="00982065">
        <w:t xml:space="preserve">Gender Policy </w:t>
      </w:r>
      <w:r>
        <w:t>re</w:t>
      </w:r>
      <w:r w:rsidR="005C0A8B">
        <w:t xml:space="preserve">cognises gender equality and women’s empowerment as </w:t>
      </w:r>
      <w:r w:rsidR="00DD2278">
        <w:t xml:space="preserve">both a strategic and operational imperative. </w:t>
      </w:r>
      <w:r w:rsidR="00C94912" w:rsidRPr="00C94912">
        <w:t>A gender</w:t>
      </w:r>
      <w:r w:rsidR="004375AE">
        <w:t xml:space="preserve"> </w:t>
      </w:r>
      <w:r w:rsidR="00C94912" w:rsidRPr="00C94912">
        <w:t>responsive approach is essential in stakeholder engagement, acknowledging that women and men</w:t>
      </w:r>
      <w:r w:rsidR="00152190">
        <w:rPr>
          <w:rStyle w:val="FootnoteReference"/>
        </w:rPr>
        <w:footnoteReference w:id="4"/>
      </w:r>
      <w:r w:rsidR="00C94912" w:rsidRPr="00C94912">
        <w:t xml:space="preserve"> possess unique skills, knowledge, and experiences as primary users and stewards of many natural resources</w:t>
      </w:r>
      <w:r w:rsidR="00152190">
        <w:t>, including coral reefs</w:t>
      </w:r>
      <w:r w:rsidR="00C94912" w:rsidRPr="00C94912">
        <w:t>.</w:t>
      </w:r>
    </w:p>
    <w:tbl>
      <w:tblPr>
        <w:tblStyle w:val="TableGrid"/>
        <w:tblW w:w="0" w:type="auto"/>
        <w:tblLook w:val="04A0" w:firstRow="1" w:lastRow="0" w:firstColumn="1" w:lastColumn="0" w:noHBand="0" w:noVBand="1"/>
      </w:tblPr>
      <w:tblGrid>
        <w:gridCol w:w="8996"/>
      </w:tblGrid>
      <w:tr w:rsidR="00A143E6" w14:paraId="6073B3D3" w14:textId="77777777" w:rsidTr="00025D5D">
        <w:tc>
          <w:tcPr>
            <w:tcW w:w="9016" w:type="dxa"/>
            <w:tcBorders>
              <w:top w:val="double" w:sz="4" w:space="0" w:color="auto"/>
              <w:left w:val="double" w:sz="4" w:space="0" w:color="auto"/>
              <w:bottom w:val="double" w:sz="4" w:space="0" w:color="auto"/>
              <w:right w:val="double" w:sz="4" w:space="0" w:color="auto"/>
            </w:tcBorders>
            <w:tcMar>
              <w:top w:w="170" w:type="dxa"/>
              <w:left w:w="170" w:type="dxa"/>
              <w:bottom w:w="170" w:type="dxa"/>
              <w:right w:w="170" w:type="dxa"/>
            </w:tcMar>
          </w:tcPr>
          <w:p w14:paraId="22B4145F" w14:textId="5D6569D2" w:rsidR="00A143E6" w:rsidRDefault="00A143E6" w:rsidP="00F33C5D">
            <w:pPr>
              <w:jc w:val="center"/>
              <w:rPr>
                <w:b/>
                <w:bCs/>
                <w:sz w:val="20"/>
                <w:szCs w:val="20"/>
              </w:rPr>
            </w:pPr>
            <w:r w:rsidRPr="00CF6971">
              <w:rPr>
                <w:b/>
                <w:bCs/>
                <w:sz w:val="20"/>
                <w:szCs w:val="20"/>
              </w:rPr>
              <w:t>BOX 1</w:t>
            </w:r>
            <w:r w:rsidR="00915777">
              <w:rPr>
                <w:b/>
                <w:bCs/>
                <w:sz w:val="20"/>
                <w:szCs w:val="20"/>
              </w:rPr>
              <w:t>:</w:t>
            </w:r>
            <w:r w:rsidRPr="00CF6971">
              <w:rPr>
                <w:b/>
                <w:bCs/>
                <w:sz w:val="20"/>
                <w:szCs w:val="20"/>
              </w:rPr>
              <w:t xml:space="preserve"> </w:t>
            </w:r>
            <w:r w:rsidR="004375AE">
              <w:rPr>
                <w:b/>
                <w:bCs/>
                <w:sz w:val="20"/>
                <w:szCs w:val="20"/>
              </w:rPr>
              <w:t>A GENDER RESPONSIVE APPROACH</w:t>
            </w:r>
          </w:p>
          <w:p w14:paraId="717E4D76" w14:textId="77777777" w:rsidR="00A143E6" w:rsidRDefault="00A143E6" w:rsidP="00025D5D">
            <w:pPr>
              <w:rPr>
                <w:b/>
                <w:bCs/>
                <w:sz w:val="20"/>
                <w:szCs w:val="20"/>
              </w:rPr>
            </w:pPr>
          </w:p>
          <w:p w14:paraId="6EA58F34" w14:textId="7DA1FE6B" w:rsidR="00A143E6" w:rsidRDefault="00915777" w:rsidP="00F440B1">
            <w:r w:rsidRPr="00915777">
              <w:rPr>
                <w:sz w:val="20"/>
                <w:szCs w:val="20"/>
              </w:rPr>
              <w:t xml:space="preserve">A </w:t>
            </w:r>
            <w:r w:rsidR="00C50702" w:rsidRPr="00C50702">
              <w:rPr>
                <w:b/>
                <w:bCs/>
                <w:sz w:val="20"/>
                <w:szCs w:val="20"/>
              </w:rPr>
              <w:t>gender responsive</w:t>
            </w:r>
            <w:r w:rsidRPr="00915777">
              <w:rPr>
                <w:sz w:val="20"/>
                <w:szCs w:val="20"/>
              </w:rPr>
              <w:t xml:space="preserve"> </w:t>
            </w:r>
            <w:r w:rsidRPr="00710B47">
              <w:rPr>
                <w:b/>
                <w:bCs/>
                <w:sz w:val="20"/>
                <w:szCs w:val="20"/>
              </w:rPr>
              <w:t>approach</w:t>
            </w:r>
            <w:r w:rsidR="00710B47" w:rsidRPr="00710B47">
              <w:rPr>
                <w:rStyle w:val="FootnoteReference"/>
                <w:b/>
                <w:bCs/>
                <w:sz w:val="20"/>
                <w:szCs w:val="20"/>
              </w:rPr>
              <w:footnoteReference w:id="5"/>
            </w:r>
            <w:r w:rsidRPr="00915777">
              <w:rPr>
                <w:sz w:val="20"/>
                <w:szCs w:val="20"/>
              </w:rPr>
              <w:t xml:space="preserve"> recognises and acknowledges gender norms and inequalities and responds to them through the creation of actions, policies and initiatives to address the different needs, constraints and opportunities of women and men. A gender responsive approach ensures that the differential needs of women and men are addressed; that participation of women and men is equitable; and that distribution of benefits, resources, status and rights are equitably addressed</w:t>
            </w:r>
            <w:r>
              <w:rPr>
                <w:sz w:val="20"/>
                <w:szCs w:val="20"/>
              </w:rPr>
              <w:t>.</w:t>
            </w:r>
          </w:p>
        </w:tc>
      </w:tr>
    </w:tbl>
    <w:p w14:paraId="7923EF9B" w14:textId="77777777" w:rsidR="00BF1913" w:rsidRDefault="00BF1913" w:rsidP="00BC1211"/>
    <w:p w14:paraId="4AEA10E1" w14:textId="0F5BC18E" w:rsidR="00BE1A48" w:rsidRDefault="009820F0" w:rsidP="00BC1211">
      <w:r w:rsidRPr="009820F0">
        <w:t>Convening Agents, in their work with co-implementers, are responsible for meaningfully including women and men in stakeholder consultations. This involves engaging with women/gender-focused groups, associations, or gender units in partner organi</w:t>
      </w:r>
      <w:r>
        <w:t>s</w:t>
      </w:r>
      <w:r w:rsidRPr="009820F0">
        <w:t>ations throughout each programme.</w:t>
      </w:r>
    </w:p>
    <w:p w14:paraId="3A20BDF8" w14:textId="583B65DB" w:rsidR="00A8029F" w:rsidRDefault="00BE1A48" w:rsidP="00BC1211">
      <w:r w:rsidRPr="00BE1A48">
        <w:lastRenderedPageBreak/>
        <w:t>Gender-responsive consultations should consider cultural contexts, potential barriers to participation, and employ inclusive methods</w:t>
      </w:r>
      <w:r w:rsidR="00050677">
        <w:rPr>
          <w:rStyle w:val="FootnoteReference"/>
        </w:rPr>
        <w:footnoteReference w:id="6"/>
      </w:r>
      <w:r w:rsidRPr="00BE1A48">
        <w:t xml:space="preserve"> such as</w:t>
      </w:r>
      <w:r w:rsidR="00A8029F">
        <w:t>:</w:t>
      </w:r>
    </w:p>
    <w:p w14:paraId="62B90826" w14:textId="2C9F915D" w:rsidR="00A8029F" w:rsidRDefault="00A8029F" w:rsidP="00A8029F">
      <w:pPr>
        <w:pStyle w:val="ListParagraph"/>
        <w:numPr>
          <w:ilvl w:val="0"/>
          <w:numId w:val="12"/>
        </w:numPr>
      </w:pPr>
      <w:r w:rsidRPr="00C4299B">
        <w:t>Women-only interviews</w:t>
      </w:r>
      <w:r>
        <w:t>.</w:t>
      </w:r>
    </w:p>
    <w:p w14:paraId="28E92108" w14:textId="1037669D" w:rsidR="00A8029F" w:rsidRDefault="00A8029F" w:rsidP="00A8029F">
      <w:pPr>
        <w:pStyle w:val="ListParagraph"/>
        <w:numPr>
          <w:ilvl w:val="0"/>
          <w:numId w:val="12"/>
        </w:numPr>
      </w:pPr>
      <w:r w:rsidRPr="00C4299B">
        <w:t>Gender</w:t>
      </w:r>
      <w:r>
        <w:t>-</w:t>
      </w:r>
      <w:r w:rsidRPr="00C4299B">
        <w:t>specific focus groups and group consultations</w:t>
      </w:r>
      <w:r>
        <w:t>.</w:t>
      </w:r>
    </w:p>
    <w:p w14:paraId="18DABDB8" w14:textId="38684810" w:rsidR="00A8029F" w:rsidRDefault="00A8029F" w:rsidP="00A8029F">
      <w:pPr>
        <w:pStyle w:val="ListParagraph"/>
        <w:numPr>
          <w:ilvl w:val="0"/>
          <w:numId w:val="12"/>
        </w:numPr>
      </w:pPr>
      <w:r w:rsidRPr="00C4299B">
        <w:t>Separate meetings with women’s cooperatives or associations</w:t>
      </w:r>
      <w:r>
        <w:t>.</w:t>
      </w:r>
    </w:p>
    <w:p w14:paraId="652C8406" w14:textId="77777777" w:rsidR="00A8029F" w:rsidRDefault="00A8029F" w:rsidP="00A8029F">
      <w:pPr>
        <w:pStyle w:val="ListParagraph"/>
        <w:numPr>
          <w:ilvl w:val="0"/>
          <w:numId w:val="12"/>
        </w:numPr>
      </w:pPr>
      <w:r w:rsidRPr="00C4299B">
        <w:t xml:space="preserve">Reserved seating in steering committees, decision-making </w:t>
      </w:r>
      <w:r>
        <w:t>and</w:t>
      </w:r>
      <w:r w:rsidRPr="00C4299B">
        <w:t xml:space="preserve"> monitoring bodies for females</w:t>
      </w:r>
      <w:r>
        <w:t>.</w:t>
      </w:r>
    </w:p>
    <w:p w14:paraId="19282ACB" w14:textId="77777777" w:rsidR="00A8029F" w:rsidRDefault="00A8029F" w:rsidP="00A8029F">
      <w:pPr>
        <w:pStyle w:val="ListParagraph"/>
        <w:numPr>
          <w:ilvl w:val="0"/>
          <w:numId w:val="12"/>
        </w:numPr>
      </w:pPr>
      <w:r w:rsidRPr="00C4299B">
        <w:t>Choosing consultation times</w:t>
      </w:r>
      <w:r>
        <w:t xml:space="preserve"> and</w:t>
      </w:r>
      <w:r w:rsidRPr="00C4299B">
        <w:t xml:space="preserve"> places that will increase gender inclusiveness</w:t>
      </w:r>
      <w:r>
        <w:t>.</w:t>
      </w:r>
    </w:p>
    <w:p w14:paraId="7D13AC68" w14:textId="3546B5ED" w:rsidR="00A8029F" w:rsidRDefault="00A8029F" w:rsidP="00A8029F">
      <w:pPr>
        <w:pStyle w:val="ListParagraph"/>
        <w:numPr>
          <w:ilvl w:val="0"/>
          <w:numId w:val="12"/>
        </w:numPr>
      </w:pPr>
      <w:r w:rsidRPr="00C4299B">
        <w:t>Providing childcare during consultations</w:t>
      </w:r>
      <w:r>
        <w:t>.</w:t>
      </w:r>
    </w:p>
    <w:p w14:paraId="07F50C75" w14:textId="27FDED5E" w:rsidR="00A8029F" w:rsidRPr="00BC1211" w:rsidRDefault="00901468" w:rsidP="00A8029F">
      <w:pPr>
        <w:pStyle w:val="ListParagraph"/>
        <w:numPr>
          <w:ilvl w:val="0"/>
          <w:numId w:val="12"/>
        </w:numPr>
      </w:pPr>
      <w:r>
        <w:t>Offering t</w:t>
      </w:r>
      <w:r w:rsidR="00A8029F" w:rsidRPr="00C4299B">
        <w:t>ailored capacity</w:t>
      </w:r>
      <w:r w:rsidR="00440179">
        <w:t>-</w:t>
      </w:r>
      <w:r w:rsidR="00A8029F" w:rsidRPr="00C4299B">
        <w:t>building sessions</w:t>
      </w:r>
      <w:r w:rsidR="00A8029F">
        <w:t>.</w:t>
      </w:r>
    </w:p>
    <w:p w14:paraId="73475E09" w14:textId="1986AFB4" w:rsidR="00531FC1" w:rsidRDefault="009C2D12" w:rsidP="00BC1211">
      <w:r w:rsidRPr="009C2D12">
        <w:t>By implementing these practices, the GFCR aims to empower women in decision-making processes that affect them. This gender-focused engagement enhances community capacity and ensures that the unique perspectives and needs of all genders are recogni</w:t>
      </w:r>
      <w:r w:rsidR="0093790A">
        <w:t>s</w:t>
      </w:r>
      <w:r w:rsidRPr="009C2D12">
        <w:t>ed in coral reef conservation and restoration efforts.</w:t>
      </w:r>
    </w:p>
    <w:p w14:paraId="0479E919" w14:textId="4F7A9779" w:rsidR="00712B87" w:rsidRDefault="00712B87" w:rsidP="00712B87">
      <w:pPr>
        <w:pStyle w:val="Heading1"/>
      </w:pPr>
      <w:bookmarkStart w:id="8" w:name="_Toc176452095"/>
      <w:r>
        <w:t xml:space="preserve">5. Culturally </w:t>
      </w:r>
      <w:r w:rsidR="007B2FB9">
        <w:t>Sensitive Engagement</w:t>
      </w:r>
      <w:r>
        <w:t xml:space="preserve"> with Indigenous Peoples</w:t>
      </w:r>
      <w:bookmarkEnd w:id="8"/>
    </w:p>
    <w:p w14:paraId="078DA8C5" w14:textId="7F9ECF8F" w:rsidR="00754053" w:rsidRDefault="00754053" w:rsidP="00754053">
      <w:r w:rsidRPr="00543F40">
        <w:t>The rights and interests of indigenous peoples are increasingly recogni</w:t>
      </w:r>
      <w:r>
        <w:t>s</w:t>
      </w:r>
      <w:r w:rsidRPr="00543F40">
        <w:t>ed in climate change policies and actions, as highlighted by the United Nations Framework Convention on Climate Change</w:t>
      </w:r>
      <w:r>
        <w:t>,</w:t>
      </w:r>
      <w:r w:rsidRPr="00543F40">
        <w:t xml:space="preserve"> Paris Agreement</w:t>
      </w:r>
      <w:r>
        <w:t xml:space="preserve">, and, most recently, </w:t>
      </w:r>
      <w:r w:rsidRPr="00822F59">
        <w:t>Kunming-Montreal Global Biodiversity Framework</w:t>
      </w:r>
      <w:r>
        <w:t>,</w:t>
      </w:r>
      <w:r w:rsidRPr="00822F59">
        <w:t xml:space="preserve"> adopted by the parties to the Convention on Biological Diversity in 2022.</w:t>
      </w:r>
      <w:r w:rsidRPr="00543F40">
        <w:t xml:space="preserve"> These frameworks emphasi</w:t>
      </w:r>
      <w:r>
        <w:t>s</w:t>
      </w:r>
      <w:r w:rsidRPr="00543F40">
        <w:t>e the importance of respecting and considering the rights of indigenous peoples when addressing climate change</w:t>
      </w:r>
      <w:r w:rsidR="00E35DF1">
        <w:t xml:space="preserve"> and conservation</w:t>
      </w:r>
      <w:r w:rsidRPr="00543F40">
        <w:t>. International instruments such as the UN Declaration on the Rights of Indigenous Peoples (UNDRIP)</w:t>
      </w:r>
      <w:r w:rsidR="002B4D91">
        <w:t xml:space="preserve">, </w:t>
      </w:r>
      <w:r w:rsidRPr="00FA3B74">
        <w:t>I</w:t>
      </w:r>
      <w:r>
        <w:t xml:space="preserve">nternational Labour Organization (ILO) </w:t>
      </w:r>
      <w:r w:rsidRPr="002235C0">
        <w:t xml:space="preserve">Indigenous and Tribal Peoples Convention </w:t>
      </w:r>
      <w:r w:rsidRPr="00543F40">
        <w:t>169</w:t>
      </w:r>
      <w:r w:rsidR="00D93802">
        <w:t xml:space="preserve">, </w:t>
      </w:r>
      <w:r w:rsidR="002B4D91">
        <w:t>and other</w:t>
      </w:r>
      <w:r w:rsidR="007E4C80">
        <w:t>s</w:t>
      </w:r>
      <w:r w:rsidR="008F37A9">
        <w:rPr>
          <w:rStyle w:val="FootnoteReference"/>
        </w:rPr>
        <w:footnoteReference w:id="7"/>
      </w:r>
      <w:r w:rsidR="00D93802">
        <w:t xml:space="preserve">, </w:t>
      </w:r>
      <w:r w:rsidRPr="00543F40">
        <w:t xml:space="preserve">affirm their rights to lands, territories, and resources they have traditionally owned or occupied, as well as their right to </w:t>
      </w:r>
      <w:r w:rsidR="00AF2698" w:rsidRPr="00C11909">
        <w:t xml:space="preserve">Free, Prior, and Informed Consent (FPIC) </w:t>
      </w:r>
      <w:r w:rsidRPr="00543F40">
        <w:t xml:space="preserve">regarding </w:t>
      </w:r>
      <w:r>
        <w:t>programmes and projects</w:t>
      </w:r>
      <w:r w:rsidRPr="00543F40">
        <w:t xml:space="preserve"> affecting these areas.</w:t>
      </w:r>
    </w:p>
    <w:p w14:paraId="0103BD9C" w14:textId="100566DF" w:rsidR="00754053" w:rsidRDefault="00F97D4F" w:rsidP="00C505DF">
      <w:r w:rsidRPr="00C11909">
        <w:t xml:space="preserve">In </w:t>
      </w:r>
      <w:r>
        <w:t>programmes and projects</w:t>
      </w:r>
      <w:r w:rsidRPr="00C11909">
        <w:t xml:space="preserve"> involving or potentially affecting </w:t>
      </w:r>
      <w:r>
        <w:t>i</w:t>
      </w:r>
      <w:r w:rsidRPr="00C11909">
        <w:t xml:space="preserve">ndigenous </w:t>
      </w:r>
      <w:r>
        <w:t>p</w:t>
      </w:r>
      <w:r w:rsidRPr="00C11909">
        <w:t>eoples, it is crucial to adopt a culturally sensitive engagement approach that respects their unique social, cultural, and economic contexts. The GFCR emphasi</w:t>
      </w:r>
      <w:r>
        <w:t>s</w:t>
      </w:r>
      <w:r w:rsidRPr="00C11909">
        <w:t xml:space="preserve">es the importance of conducting culturally appropriate consultations to ensure that </w:t>
      </w:r>
      <w:r>
        <w:t>i</w:t>
      </w:r>
      <w:r w:rsidRPr="00C11909">
        <w:t xml:space="preserve">ndigenous </w:t>
      </w:r>
      <w:r>
        <w:t>p</w:t>
      </w:r>
      <w:r w:rsidRPr="00C11909">
        <w:t xml:space="preserve">eoples receive equitable benefits and opportunities from </w:t>
      </w:r>
      <w:r>
        <w:t>GFCR supported initiatives</w:t>
      </w:r>
      <w:r>
        <w:rPr>
          <w:rStyle w:val="FootnoteReference"/>
        </w:rPr>
        <w:footnoteReference w:id="8"/>
      </w:r>
      <w:r w:rsidRPr="00C11909">
        <w:t xml:space="preserve">. </w:t>
      </w:r>
    </w:p>
    <w:p w14:paraId="50EE6E28" w14:textId="0FE6D636" w:rsidR="00EA5F87" w:rsidRDefault="00C11909" w:rsidP="00C505DF">
      <w:r w:rsidRPr="00C11909">
        <w:t xml:space="preserve">This approach involves engaging </w:t>
      </w:r>
      <w:r w:rsidR="00F67C2A">
        <w:t>i</w:t>
      </w:r>
      <w:r w:rsidRPr="00C11909">
        <w:t>ndigenous communities in meaningful dialogue, recogni</w:t>
      </w:r>
      <w:r w:rsidR="00EA5F87">
        <w:t>s</w:t>
      </w:r>
      <w:r w:rsidRPr="00C11909">
        <w:t xml:space="preserve">ing their traditional knowledge, and ensuring their active participation in decision-making processes. </w:t>
      </w:r>
    </w:p>
    <w:p w14:paraId="352EB653" w14:textId="39BF581D" w:rsidR="00C11909" w:rsidRDefault="00EC2183" w:rsidP="00C505DF">
      <w:r w:rsidRPr="00EC2183">
        <w:t>Convening Agents are encouraged to utili</w:t>
      </w:r>
      <w:r>
        <w:t>s</w:t>
      </w:r>
      <w:r w:rsidRPr="00EC2183">
        <w:t>e speciali</w:t>
      </w:r>
      <w:r>
        <w:t>s</w:t>
      </w:r>
      <w:r w:rsidRPr="00EC2183">
        <w:t xml:space="preserve">ed expertise to implement best-practice consultations. Through this </w:t>
      </w:r>
      <w:r>
        <w:t xml:space="preserve">meaningful and </w:t>
      </w:r>
      <w:r w:rsidRPr="00EC2183">
        <w:t xml:space="preserve">inclusive engagement, GFCR aims to </w:t>
      </w:r>
      <w:r w:rsidR="008B3619" w:rsidRPr="008B3619">
        <w:t xml:space="preserve">support </w:t>
      </w:r>
      <w:r w:rsidR="00F67C2A">
        <w:lastRenderedPageBreak/>
        <w:t>i</w:t>
      </w:r>
      <w:r w:rsidR="008B3619" w:rsidRPr="008B3619">
        <w:t xml:space="preserve">ndigenous </w:t>
      </w:r>
      <w:r w:rsidR="00F67C2A">
        <w:t>p</w:t>
      </w:r>
      <w:r w:rsidR="008B3619" w:rsidRPr="008B3619">
        <w:t xml:space="preserve">eoples in safeguarding their rights </w:t>
      </w:r>
      <w:r w:rsidRPr="00EC2183">
        <w:t>and enhanc</w:t>
      </w:r>
      <w:r w:rsidR="008B3619">
        <w:t>ing</w:t>
      </w:r>
      <w:r w:rsidRPr="00EC2183">
        <w:t xml:space="preserve"> their contributions to sustainable development and </w:t>
      </w:r>
      <w:r w:rsidR="008A0159" w:rsidRPr="00ED0A6B">
        <w:t>coral reef conservation</w:t>
      </w:r>
      <w:r w:rsidR="00C11909" w:rsidRPr="00C11909">
        <w:t>.</w:t>
      </w:r>
    </w:p>
    <w:p w14:paraId="7F45C6E8" w14:textId="7FEC00E8" w:rsidR="00CD0C7F" w:rsidRDefault="007B2FB9" w:rsidP="00712B87">
      <w:pPr>
        <w:pStyle w:val="Heading1"/>
      </w:pPr>
      <w:bookmarkStart w:id="9" w:name="_Toc176452096"/>
      <w:r>
        <w:t>6</w:t>
      </w:r>
      <w:r w:rsidR="00712B87">
        <w:t>.</w:t>
      </w:r>
      <w:r>
        <w:t xml:space="preserve"> </w:t>
      </w:r>
      <w:r w:rsidR="00D96AC9">
        <w:t>The Stakeholder Engagement Process</w:t>
      </w:r>
      <w:bookmarkEnd w:id="9"/>
    </w:p>
    <w:p w14:paraId="31F8EB99" w14:textId="21A2AEEE" w:rsidR="001B5056" w:rsidRDefault="001B5056" w:rsidP="00115897">
      <w:r w:rsidRPr="001B5056">
        <w:t xml:space="preserve">GFCR Convening Agents, in their work with co-implementers, are required to implement a comprehensive stakeholder engagement process </w:t>
      </w:r>
      <w:r w:rsidR="0032489B">
        <w:t>spanning</w:t>
      </w:r>
      <w:r w:rsidRPr="001B5056">
        <w:t xml:space="preserve"> the entire lifecycle of programmes and projects. This process is iterative and continuous, beginning in the earliest stages of design and continuing through implementation and beyond.</w:t>
      </w:r>
    </w:p>
    <w:p w14:paraId="469393A1" w14:textId="7733A6C4" w:rsidR="00B14E63" w:rsidRDefault="0032489B" w:rsidP="00115897">
      <w:r>
        <w:t>R</w:t>
      </w:r>
      <w:r w:rsidR="00D3116C" w:rsidRPr="00D3116C">
        <w:t>equirements of</w:t>
      </w:r>
      <w:r>
        <w:t xml:space="preserve"> </w:t>
      </w:r>
      <w:r w:rsidRPr="001B5056">
        <w:t>Convening Agents</w:t>
      </w:r>
      <w:r>
        <w:t xml:space="preserve"> in</w:t>
      </w:r>
      <w:r w:rsidR="00D3116C" w:rsidRPr="00D3116C">
        <w:t xml:space="preserve"> this process include</w:t>
      </w:r>
      <w:r w:rsidR="00115897" w:rsidRPr="00115897">
        <w:t xml:space="preserve">: </w:t>
      </w:r>
    </w:p>
    <w:p w14:paraId="76BC14D9" w14:textId="099F5319" w:rsidR="006776B4" w:rsidRDefault="006776B4" w:rsidP="002B0084">
      <w:pPr>
        <w:pStyle w:val="ListParagraph"/>
        <w:numPr>
          <w:ilvl w:val="0"/>
          <w:numId w:val="13"/>
        </w:numPr>
      </w:pPr>
      <w:r w:rsidRPr="006776B4">
        <w:t>Initiat</w:t>
      </w:r>
      <w:r w:rsidR="00D3116C">
        <w:t>ing</w:t>
      </w:r>
      <w:r w:rsidRPr="006776B4">
        <w:t xml:space="preserve"> and maintain</w:t>
      </w:r>
      <w:r w:rsidR="00D3116C">
        <w:t>ing</w:t>
      </w:r>
      <w:r w:rsidRPr="006776B4">
        <w:t xml:space="preserve"> meaningful stakeholder engagement throughout the entire lifecycle of programmes and projects, commencing as early as possible in the design phase.</w:t>
      </w:r>
    </w:p>
    <w:p w14:paraId="2B987570" w14:textId="12484A47" w:rsidR="004A451D" w:rsidRDefault="005074FA" w:rsidP="002B0084">
      <w:pPr>
        <w:pStyle w:val="ListParagraph"/>
        <w:numPr>
          <w:ilvl w:val="0"/>
          <w:numId w:val="13"/>
        </w:numPr>
      </w:pPr>
      <w:r w:rsidRPr="005074FA">
        <w:t>Implement</w:t>
      </w:r>
      <w:r w:rsidR="00D3116C">
        <w:t>ing</w:t>
      </w:r>
      <w:r w:rsidRPr="005074FA">
        <w:t xml:space="preserve"> stakeholder analysis and engagement processes that are gender-responsive, culturally sensitive, non-discriminatory, and inclusive. This includes paying </w:t>
      </w:r>
      <w:r>
        <w:t>particular</w:t>
      </w:r>
      <w:r w:rsidRPr="005074FA">
        <w:t xml:space="preserve"> attention to vulnerable and marginali</w:t>
      </w:r>
      <w:r>
        <w:t>s</w:t>
      </w:r>
      <w:r w:rsidRPr="005074FA">
        <w:t xml:space="preserve">ed </w:t>
      </w:r>
      <w:r w:rsidR="002723C2" w:rsidRPr="005074FA">
        <w:t>groups and</w:t>
      </w:r>
      <w:r w:rsidRPr="005074FA">
        <w:t xml:space="preserve"> ensuring FPIC for initiatives that may affect </w:t>
      </w:r>
      <w:r w:rsidR="00F67C2A">
        <w:t>i</w:t>
      </w:r>
      <w:r w:rsidRPr="005074FA">
        <w:t xml:space="preserve">ndigenous </w:t>
      </w:r>
      <w:r w:rsidR="00F67C2A">
        <w:t>p</w:t>
      </w:r>
      <w:r w:rsidRPr="005074FA">
        <w:t>eoples' rights, lands, resources, or territories.</w:t>
      </w:r>
    </w:p>
    <w:p w14:paraId="5CE19A65" w14:textId="7F846C3A" w:rsidR="00AB5944" w:rsidRDefault="00AB5944" w:rsidP="00E91D2C">
      <w:pPr>
        <w:pStyle w:val="ListParagraph"/>
        <w:numPr>
          <w:ilvl w:val="0"/>
          <w:numId w:val="13"/>
        </w:numPr>
      </w:pPr>
      <w:r w:rsidRPr="00AB5944">
        <w:t>Disseminat</w:t>
      </w:r>
      <w:r w:rsidR="00D3116C">
        <w:t>ing</w:t>
      </w:r>
      <w:r w:rsidRPr="00AB5944">
        <w:t xml:space="preserve"> information to stakeholders in a timely, comprehensible, and accessible manner, tailored to cultural contexts. All engagement activities must be conducted free from manipulation, interference, coercion, discrimination, or intimidation.</w:t>
      </w:r>
    </w:p>
    <w:p w14:paraId="7A253E87" w14:textId="21AD43DB" w:rsidR="00E91D2C" w:rsidRDefault="00E91D2C" w:rsidP="00E91D2C">
      <w:pPr>
        <w:pStyle w:val="ListParagraph"/>
        <w:numPr>
          <w:ilvl w:val="0"/>
          <w:numId w:val="13"/>
        </w:numPr>
      </w:pPr>
      <w:r>
        <w:t>Develop</w:t>
      </w:r>
      <w:r w:rsidR="00D3116C">
        <w:t>ing</w:t>
      </w:r>
      <w:r>
        <w:t xml:space="preserve"> appropriately scaled stakeholder engagement plans, with the scale and frequency of engagement reflecting</w:t>
      </w:r>
      <w:r w:rsidR="00972390">
        <w:t xml:space="preserve"> the initiative’s </w:t>
      </w:r>
      <w:r>
        <w:t>nature, potential risks, and stakeholder concerns.</w:t>
      </w:r>
    </w:p>
    <w:p w14:paraId="01DCCD63" w14:textId="44A3C1B2" w:rsidR="00E91D2C" w:rsidRDefault="00E91D2C" w:rsidP="00E91D2C">
      <w:pPr>
        <w:pStyle w:val="ListParagraph"/>
        <w:numPr>
          <w:ilvl w:val="0"/>
          <w:numId w:val="13"/>
        </w:numPr>
      </w:pPr>
      <w:r>
        <w:t>Establish</w:t>
      </w:r>
      <w:r w:rsidR="00D3116C">
        <w:t>ing</w:t>
      </w:r>
      <w:r>
        <w:t xml:space="preserve"> accessible grievance mechanisms for affected stakeholders to communicate concerns.</w:t>
      </w:r>
    </w:p>
    <w:p w14:paraId="16194DF0" w14:textId="2F3EB0BE" w:rsidR="0056340C" w:rsidRDefault="00513F9B" w:rsidP="00115897">
      <w:pPr>
        <w:pStyle w:val="ListParagraph"/>
        <w:numPr>
          <w:ilvl w:val="0"/>
          <w:numId w:val="13"/>
        </w:numPr>
      </w:pPr>
      <w:r w:rsidRPr="00513F9B">
        <w:t>Maintain</w:t>
      </w:r>
      <w:r w:rsidR="00D3116C">
        <w:t>ing</w:t>
      </w:r>
      <w:r w:rsidRPr="00513F9B">
        <w:t xml:space="preserve"> and disclos</w:t>
      </w:r>
      <w:r w:rsidR="00D3116C">
        <w:t>ing</w:t>
      </w:r>
      <w:r w:rsidRPr="00513F9B">
        <w:t xml:space="preserve"> a documented record of stakeholder engagement, including a description of stakeholders consulted, feedback received, and </w:t>
      </w:r>
      <w:r w:rsidR="005746A7" w:rsidRPr="005746A7">
        <w:t>how this input was incorporated or, if not, the reasons for its exclusion.</w:t>
      </w:r>
    </w:p>
    <w:p w14:paraId="080D0E31" w14:textId="77040488" w:rsidR="009F0409" w:rsidRDefault="00EA5C01" w:rsidP="009F0409">
      <w:r w:rsidRPr="00EA5C01">
        <w:t xml:space="preserve">To effectively implement these requirements, the stakeholder engagement process </w:t>
      </w:r>
      <w:r w:rsidR="00B4588E">
        <w:t>can be</w:t>
      </w:r>
      <w:r w:rsidRPr="00EA5C01">
        <w:t xml:space="preserve"> structured </w:t>
      </w:r>
      <w:r w:rsidR="00B4588E">
        <w:t>according to the</w:t>
      </w:r>
      <w:r w:rsidRPr="00EA5C01">
        <w:t xml:space="preserve"> three main stages</w:t>
      </w:r>
      <w:r w:rsidR="00B4588E">
        <w:t xml:space="preserve"> of programme </w:t>
      </w:r>
      <w:r w:rsidR="00C87FC6">
        <w:t xml:space="preserve">or project </w:t>
      </w:r>
      <w:r w:rsidR="00B4588E">
        <w:t>development</w:t>
      </w:r>
      <w:r w:rsidRPr="00EA5C01">
        <w:t xml:space="preserve">: Design, Preparation, and Implementation. </w:t>
      </w:r>
      <w:r w:rsidR="00BD7688" w:rsidRPr="001C7AF4">
        <w:t xml:space="preserve">While specific procedures may vary based on individual cases, </w:t>
      </w:r>
      <w:r w:rsidR="00914164">
        <w:t>key</w:t>
      </w:r>
      <w:r w:rsidR="00BD7688" w:rsidRPr="001C7AF4">
        <w:t xml:space="preserve"> steps </w:t>
      </w:r>
      <w:r w:rsidR="00914164">
        <w:t>and activities within each stage include</w:t>
      </w:r>
      <w:r>
        <w:t>:</w:t>
      </w:r>
    </w:p>
    <w:p w14:paraId="0E9595BC" w14:textId="77777777" w:rsidR="00A31B41" w:rsidRDefault="00A31B41" w:rsidP="009F0409"/>
    <w:p w14:paraId="565B9947" w14:textId="763BA34F" w:rsidR="007B4B0E" w:rsidRPr="00115897" w:rsidRDefault="007B4B0E" w:rsidP="009F0409">
      <w:r w:rsidRPr="007B4B0E">
        <w:rPr>
          <w:noProof/>
        </w:rPr>
        <w:lastRenderedPageBreak/>
        <w:drawing>
          <wp:inline distT="0" distB="0" distL="0" distR="0" wp14:anchorId="68F5000A" wp14:editId="00157E01">
            <wp:extent cx="5731510" cy="6925945"/>
            <wp:effectExtent l="0" t="0" r="2540" b="8255"/>
            <wp:docPr id="6" name="Picture 5" descr="A screenshot of a computer screen&#10;&#10;Description automatically generated">
              <a:extLst xmlns:a="http://schemas.openxmlformats.org/drawingml/2006/main">
                <a:ext uri="{FF2B5EF4-FFF2-40B4-BE49-F238E27FC236}">
                  <a16:creationId xmlns:a16="http://schemas.microsoft.com/office/drawing/2014/main" id="{4B3DDB06-4261-FC85-746B-A8D0ED09F3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screenshot of a computer screen&#10;&#10;Description automatically generated">
                      <a:extLst>
                        <a:ext uri="{FF2B5EF4-FFF2-40B4-BE49-F238E27FC236}">
                          <a16:creationId xmlns:a16="http://schemas.microsoft.com/office/drawing/2014/main" id="{4B3DDB06-4261-FC85-746B-A8D0ED09F302}"/>
                        </a:ext>
                      </a:extLst>
                    </pic:cNvPr>
                    <pic:cNvPicPr>
                      <a:picLocks noChangeAspect="1"/>
                    </pic:cNvPicPr>
                  </pic:nvPicPr>
                  <pic:blipFill>
                    <a:blip r:embed="rId11"/>
                    <a:stretch>
                      <a:fillRect/>
                    </a:stretch>
                  </pic:blipFill>
                  <pic:spPr>
                    <a:xfrm>
                      <a:off x="0" y="0"/>
                      <a:ext cx="5731510" cy="6925945"/>
                    </a:xfrm>
                    <a:prstGeom prst="rect">
                      <a:avLst/>
                    </a:prstGeom>
                  </pic:spPr>
                </pic:pic>
              </a:graphicData>
            </a:graphic>
          </wp:inline>
        </w:drawing>
      </w:r>
    </w:p>
    <w:p w14:paraId="6C1D64FC" w14:textId="29707F2B" w:rsidR="004B26F6" w:rsidRDefault="00DE74C6" w:rsidP="007A5460">
      <w:pPr>
        <w:pStyle w:val="Heading1"/>
      </w:pPr>
      <w:bookmarkStart w:id="10" w:name="_Toc176452097"/>
      <w:r>
        <w:t>7</w:t>
      </w:r>
      <w:r w:rsidR="00C505DF">
        <w:t xml:space="preserve">. </w:t>
      </w:r>
      <w:r w:rsidR="001718A7" w:rsidRPr="001718A7">
        <w:t>Engagement during Design Stages</w:t>
      </w:r>
      <w:bookmarkEnd w:id="10"/>
    </w:p>
    <w:p w14:paraId="6D0EA329" w14:textId="248890D0" w:rsidR="004C146E" w:rsidRDefault="004C146E" w:rsidP="00B83118">
      <w:r w:rsidRPr="004C146E">
        <w:t xml:space="preserve">During the design stage, the focus is on developing </w:t>
      </w:r>
      <w:r w:rsidR="0041739E">
        <w:t>the programme or project</w:t>
      </w:r>
      <w:r w:rsidR="00674400">
        <w:t xml:space="preserve"> concept</w:t>
      </w:r>
      <w:r w:rsidRPr="004C146E">
        <w:t xml:space="preserve"> and laying the </w:t>
      </w:r>
      <w:r w:rsidR="00674400">
        <w:t>foundation</w:t>
      </w:r>
      <w:r w:rsidRPr="004C146E">
        <w:t xml:space="preserve"> for ongoing collaboration. </w:t>
      </w:r>
    </w:p>
    <w:p w14:paraId="7D40E7B4" w14:textId="70CADCBD" w:rsidR="004A0B46" w:rsidRPr="00941627" w:rsidRDefault="004A0B46" w:rsidP="001718A7">
      <w:pPr>
        <w:pStyle w:val="Heading2"/>
      </w:pPr>
      <w:bookmarkStart w:id="11" w:name="_Toc176452098"/>
      <w:r w:rsidRPr="00941627">
        <w:t>Step 1: Identify stakeholders</w:t>
      </w:r>
      <w:bookmarkEnd w:id="11"/>
    </w:p>
    <w:p w14:paraId="6C986416" w14:textId="28D42BD7" w:rsidR="00240F62" w:rsidRDefault="00240F62" w:rsidP="002E19CD">
      <w:r w:rsidRPr="00240F62">
        <w:t>Conduct a comprehensive stakeholder identification process, encompassing</w:t>
      </w:r>
      <w:r>
        <w:t xml:space="preserve">, </w:t>
      </w:r>
      <w:r w:rsidR="00D447F9">
        <w:t>among others</w:t>
      </w:r>
      <w:r>
        <w:t>:</w:t>
      </w:r>
    </w:p>
    <w:p w14:paraId="39DB755A" w14:textId="211674F4" w:rsidR="00240F62" w:rsidRDefault="00240F62" w:rsidP="00240F62">
      <w:pPr>
        <w:pStyle w:val="ListParagraph"/>
        <w:numPr>
          <w:ilvl w:val="0"/>
          <w:numId w:val="17"/>
        </w:numPr>
      </w:pPr>
      <w:r>
        <w:t>Local communities.</w:t>
      </w:r>
    </w:p>
    <w:p w14:paraId="3331CEC5" w14:textId="0FF9943E" w:rsidR="00240F62" w:rsidRDefault="00240F62" w:rsidP="00240F62">
      <w:pPr>
        <w:pStyle w:val="ListParagraph"/>
        <w:numPr>
          <w:ilvl w:val="0"/>
          <w:numId w:val="17"/>
        </w:numPr>
      </w:pPr>
      <w:r>
        <w:lastRenderedPageBreak/>
        <w:t>Indigenous Peoples.</w:t>
      </w:r>
    </w:p>
    <w:p w14:paraId="18D62393" w14:textId="74B8CBF6" w:rsidR="00240F62" w:rsidRDefault="00240F62" w:rsidP="00240F62">
      <w:pPr>
        <w:pStyle w:val="ListParagraph"/>
        <w:numPr>
          <w:ilvl w:val="0"/>
          <w:numId w:val="17"/>
        </w:numPr>
      </w:pPr>
      <w:r>
        <w:t>Government agencies at various levels.</w:t>
      </w:r>
    </w:p>
    <w:p w14:paraId="6A1F873B" w14:textId="12019084" w:rsidR="00240F62" w:rsidRDefault="00240F62" w:rsidP="00240F62">
      <w:pPr>
        <w:pStyle w:val="ListParagraph"/>
        <w:numPr>
          <w:ilvl w:val="0"/>
          <w:numId w:val="17"/>
        </w:numPr>
      </w:pPr>
      <w:r>
        <w:t>Civil society organisations.</w:t>
      </w:r>
    </w:p>
    <w:p w14:paraId="5693D18D" w14:textId="6111DE89" w:rsidR="00240F62" w:rsidRDefault="00240F62" w:rsidP="00240F62">
      <w:pPr>
        <w:pStyle w:val="ListParagraph"/>
        <w:numPr>
          <w:ilvl w:val="0"/>
          <w:numId w:val="17"/>
        </w:numPr>
      </w:pPr>
      <w:r>
        <w:t>Private sector entities.</w:t>
      </w:r>
    </w:p>
    <w:p w14:paraId="1011A785" w14:textId="696509F8" w:rsidR="00714DFC" w:rsidRDefault="00E860EF" w:rsidP="002E19CD">
      <w:r>
        <w:t>S</w:t>
      </w:r>
      <w:r w:rsidR="007C68C7" w:rsidRPr="007C68C7">
        <w:t xml:space="preserve">pecial attention </w:t>
      </w:r>
      <w:r>
        <w:t xml:space="preserve">should be paid </w:t>
      </w:r>
      <w:r w:rsidR="007C68C7" w:rsidRPr="007C68C7">
        <w:t xml:space="preserve">to identifying disadvantaged or vulnerable groups who may be disproportionately affected by </w:t>
      </w:r>
      <w:r w:rsidR="00D447F9">
        <w:t>a GFCR-funded initiative</w:t>
      </w:r>
      <w:r w:rsidR="007C68C7" w:rsidRPr="007C68C7">
        <w:t xml:space="preserve">. </w:t>
      </w:r>
    </w:p>
    <w:p w14:paraId="17370469" w14:textId="3E039E5D" w:rsidR="00F61D60" w:rsidRDefault="00F61D60" w:rsidP="001718A7">
      <w:pPr>
        <w:pStyle w:val="Heading2"/>
      </w:pPr>
      <w:bookmarkStart w:id="12" w:name="_Toc176452099"/>
      <w:r>
        <w:t>Step 2: Initial consultations</w:t>
      </w:r>
      <w:bookmarkEnd w:id="12"/>
    </w:p>
    <w:p w14:paraId="7EDE5515" w14:textId="77777777" w:rsidR="003F2EA2" w:rsidRDefault="003F2EA2" w:rsidP="003F2EA2">
      <w:r>
        <w:t>Conduct preliminary consultations to:</w:t>
      </w:r>
    </w:p>
    <w:p w14:paraId="32731059" w14:textId="30C15CC5" w:rsidR="003F2EA2" w:rsidRDefault="003F2EA2" w:rsidP="003F2EA2">
      <w:pPr>
        <w:pStyle w:val="ListParagraph"/>
        <w:numPr>
          <w:ilvl w:val="0"/>
          <w:numId w:val="17"/>
        </w:numPr>
      </w:pPr>
      <w:r>
        <w:t>Introduce the programme or project concept.</w:t>
      </w:r>
    </w:p>
    <w:p w14:paraId="0346FAC8" w14:textId="0510D1B4" w:rsidR="003F2EA2" w:rsidRDefault="003F2EA2" w:rsidP="003F2EA2">
      <w:pPr>
        <w:pStyle w:val="ListParagraph"/>
        <w:numPr>
          <w:ilvl w:val="0"/>
          <w:numId w:val="17"/>
        </w:numPr>
      </w:pPr>
      <w:r>
        <w:t>Gather initial feedback and concerns.</w:t>
      </w:r>
    </w:p>
    <w:p w14:paraId="550F72F7" w14:textId="71499B96" w:rsidR="003F2EA2" w:rsidRDefault="003F2EA2" w:rsidP="003F2EA2">
      <w:pPr>
        <w:pStyle w:val="ListParagraph"/>
        <w:numPr>
          <w:ilvl w:val="0"/>
          <w:numId w:val="17"/>
        </w:numPr>
      </w:pPr>
      <w:r>
        <w:t>Identify key issues and potential risks.</w:t>
      </w:r>
    </w:p>
    <w:p w14:paraId="4CBA634B" w14:textId="2FE2C859" w:rsidR="003F2EA2" w:rsidRDefault="003F2EA2" w:rsidP="003F2EA2">
      <w:pPr>
        <w:pStyle w:val="ListParagraph"/>
        <w:numPr>
          <w:ilvl w:val="0"/>
          <w:numId w:val="17"/>
        </w:numPr>
      </w:pPr>
      <w:r>
        <w:t>Inform subsequent stakeholder analysis and mapping.</w:t>
      </w:r>
    </w:p>
    <w:p w14:paraId="2A3055F3" w14:textId="2B13745B" w:rsidR="00BA0C1F" w:rsidRPr="00BA0C1F" w:rsidRDefault="001E397E" w:rsidP="003F2EA2">
      <w:r>
        <w:t>T</w:t>
      </w:r>
      <w:r w:rsidR="003F2EA2">
        <w:t xml:space="preserve">hese consultations </w:t>
      </w:r>
      <w:r>
        <w:t xml:space="preserve">should be </w:t>
      </w:r>
      <w:r w:rsidR="003F2EA2">
        <w:t>inclusive, culturally appropriate, and free from coercion or intimidation.</w:t>
      </w:r>
      <w:r>
        <w:t xml:space="preserve"> Consultations should be carried out with</w:t>
      </w:r>
      <w:r w:rsidRPr="007C68C7">
        <w:t xml:space="preserve"> both affected parties (those likely to be impacted by the programme or project) and other interested parties.</w:t>
      </w:r>
    </w:p>
    <w:p w14:paraId="58F46B33" w14:textId="0DFE82FB" w:rsidR="00152663" w:rsidRDefault="00152663" w:rsidP="00BA0C1F">
      <w:pPr>
        <w:pStyle w:val="Heading2"/>
      </w:pPr>
      <w:bookmarkStart w:id="13" w:name="_Toc176452100"/>
      <w:r>
        <w:t>Step 3: Stakeholder analysis</w:t>
      </w:r>
      <w:bookmarkEnd w:id="13"/>
    </w:p>
    <w:p w14:paraId="138B1FBF" w14:textId="77777777" w:rsidR="00D43E36" w:rsidRDefault="00D43E36" w:rsidP="00D43E36">
      <w:r>
        <w:t>Perform a detailed stakeholder analysis to:</w:t>
      </w:r>
    </w:p>
    <w:p w14:paraId="5B4D9137" w14:textId="6E0675B7" w:rsidR="00D43E36" w:rsidRDefault="00D43E36" w:rsidP="00D6782F">
      <w:pPr>
        <w:pStyle w:val="ListParagraph"/>
        <w:numPr>
          <w:ilvl w:val="0"/>
          <w:numId w:val="17"/>
        </w:numPr>
      </w:pPr>
      <w:r>
        <w:t>Assess stakeholders' interests, influence, and potential impacts</w:t>
      </w:r>
      <w:r w:rsidR="00D6782F">
        <w:t>.</w:t>
      </w:r>
    </w:p>
    <w:p w14:paraId="49C8D8FA" w14:textId="08DED077" w:rsidR="00D43E36" w:rsidRDefault="00D43E36" w:rsidP="00D6782F">
      <w:pPr>
        <w:pStyle w:val="ListParagraph"/>
        <w:numPr>
          <w:ilvl w:val="0"/>
          <w:numId w:val="17"/>
        </w:numPr>
      </w:pPr>
      <w:r>
        <w:t>Consider gender dynamics and power imbalances</w:t>
      </w:r>
      <w:r w:rsidR="00D6782F">
        <w:t>.</w:t>
      </w:r>
    </w:p>
    <w:p w14:paraId="3938BB2C" w14:textId="66F016C2" w:rsidR="00D43E36" w:rsidRDefault="00D43E36" w:rsidP="00D6782F">
      <w:pPr>
        <w:pStyle w:val="ListParagraph"/>
        <w:numPr>
          <w:ilvl w:val="0"/>
          <w:numId w:val="17"/>
        </w:numPr>
      </w:pPr>
      <w:r>
        <w:t>Identify potential barriers to participation, especially for disadvantaged or vulnerable groups</w:t>
      </w:r>
      <w:r w:rsidR="00D6782F">
        <w:t>.</w:t>
      </w:r>
    </w:p>
    <w:p w14:paraId="4CBA4B83" w14:textId="60482BDD" w:rsidR="00D43E36" w:rsidRDefault="009E2228" w:rsidP="005272D7">
      <w:r w:rsidRPr="009E2228">
        <w:t>Barriers may include sociopolitical factors, societal conflicts, educational limitations, and/or practical constraints (e.g., mobility issues, language barriers), among others. At this stage, develop strategies to mitigate these barriers, focusing on accessibility, effective communication, empowerment, and confidentiality.</w:t>
      </w:r>
    </w:p>
    <w:p w14:paraId="57A8506E" w14:textId="4FEAE40D" w:rsidR="004A0B46" w:rsidRDefault="004A0B46" w:rsidP="00BA0C1F">
      <w:pPr>
        <w:pStyle w:val="Heading2"/>
      </w:pPr>
      <w:bookmarkStart w:id="14" w:name="_Toc176452101"/>
      <w:r>
        <w:t xml:space="preserve">Step </w:t>
      </w:r>
      <w:r w:rsidR="00152663">
        <w:t>4</w:t>
      </w:r>
      <w:r>
        <w:t xml:space="preserve">: </w:t>
      </w:r>
      <w:r w:rsidR="00152663">
        <w:t>Stakeholder mapping</w:t>
      </w:r>
      <w:bookmarkEnd w:id="14"/>
    </w:p>
    <w:p w14:paraId="4C059037" w14:textId="06B63E39" w:rsidR="00C87A22" w:rsidRDefault="00C87A22" w:rsidP="00B83118">
      <w:r w:rsidRPr="00C87A22">
        <w:t>Based on the analysis, conduct</w:t>
      </w:r>
      <w:r>
        <w:t xml:space="preserve"> </w:t>
      </w:r>
      <w:r w:rsidRPr="00C87A22">
        <w:t>stakeholder mapping to:</w:t>
      </w:r>
    </w:p>
    <w:p w14:paraId="03E9E9FA" w14:textId="05E0E31A" w:rsidR="00247A2B" w:rsidRDefault="00247A2B" w:rsidP="00247A2B">
      <w:pPr>
        <w:pStyle w:val="ListParagraph"/>
        <w:numPr>
          <w:ilvl w:val="0"/>
          <w:numId w:val="17"/>
        </w:numPr>
      </w:pPr>
      <w:r>
        <w:t>Prioriti</w:t>
      </w:r>
      <w:r w:rsidR="001F2B3B">
        <w:t>s</w:t>
      </w:r>
      <w:r>
        <w:t>e stakeholders based on their level of influence and potential impact.</w:t>
      </w:r>
    </w:p>
    <w:p w14:paraId="3FC1D6CA" w14:textId="78924742" w:rsidR="00247A2B" w:rsidRDefault="00247A2B" w:rsidP="00247A2B">
      <w:pPr>
        <w:pStyle w:val="ListParagraph"/>
        <w:numPr>
          <w:ilvl w:val="0"/>
          <w:numId w:val="17"/>
        </w:numPr>
      </w:pPr>
      <w:r>
        <w:t>Identify stakeholders with different concerns and priorities regarding project impacts, mitigation mechanisms, and benefits.</w:t>
      </w:r>
    </w:p>
    <w:p w14:paraId="4156E85C" w14:textId="6B15C1F9" w:rsidR="00247A2B" w:rsidRDefault="00247A2B" w:rsidP="00247A2B">
      <w:pPr>
        <w:pStyle w:val="ListParagraph"/>
        <w:numPr>
          <w:ilvl w:val="0"/>
          <w:numId w:val="17"/>
        </w:numPr>
      </w:pPr>
      <w:r>
        <w:t>Determine which stakeholders may require different or separate forms of engagement.</w:t>
      </w:r>
    </w:p>
    <w:p w14:paraId="2AE01610" w14:textId="71D577F7" w:rsidR="00587591" w:rsidRDefault="001F2B3B" w:rsidP="00247A2B">
      <w:r>
        <w:t>To aid prioritisation, it is good practice to categorise stakeholders into</w:t>
      </w:r>
      <w:r w:rsidR="00587591">
        <w:t>:</w:t>
      </w:r>
    </w:p>
    <w:p w14:paraId="59E7A5B2" w14:textId="77777777" w:rsidR="00587591" w:rsidRDefault="00587591" w:rsidP="00587591">
      <w:pPr>
        <w:pStyle w:val="ListParagraph"/>
        <w:numPr>
          <w:ilvl w:val="0"/>
          <w:numId w:val="20"/>
        </w:numPr>
      </w:pPr>
      <w:r>
        <w:t>K</w:t>
      </w:r>
      <w:r w:rsidR="003E2268" w:rsidRPr="003E2268">
        <w:t>ey stakeholders (those with a direct role)</w:t>
      </w:r>
      <w:r>
        <w:t>.</w:t>
      </w:r>
    </w:p>
    <w:p w14:paraId="683BB9FE" w14:textId="77777777" w:rsidR="00587591" w:rsidRDefault="00587591" w:rsidP="00587591">
      <w:pPr>
        <w:pStyle w:val="ListParagraph"/>
        <w:numPr>
          <w:ilvl w:val="0"/>
          <w:numId w:val="20"/>
        </w:numPr>
      </w:pPr>
      <w:r>
        <w:t>P</w:t>
      </w:r>
      <w:r w:rsidR="003E2268" w:rsidRPr="003E2268">
        <w:t>rimary stakeholders (directly affected parties)</w:t>
      </w:r>
      <w:r>
        <w:t>.</w:t>
      </w:r>
    </w:p>
    <w:p w14:paraId="1C934375" w14:textId="77777777" w:rsidR="00587591" w:rsidRDefault="00587591" w:rsidP="00587591">
      <w:pPr>
        <w:pStyle w:val="ListParagraph"/>
        <w:numPr>
          <w:ilvl w:val="0"/>
          <w:numId w:val="20"/>
        </w:numPr>
      </w:pPr>
      <w:r>
        <w:t>S</w:t>
      </w:r>
      <w:r w:rsidR="003E2268" w:rsidRPr="003E2268">
        <w:t>econdary stakeholders (interested parties)</w:t>
      </w:r>
      <w:r>
        <w:t>.</w:t>
      </w:r>
    </w:p>
    <w:p w14:paraId="23A465DC" w14:textId="0108F82F" w:rsidR="003E2268" w:rsidRDefault="00587591" w:rsidP="00587591">
      <w:pPr>
        <w:pStyle w:val="ListParagraph"/>
        <w:numPr>
          <w:ilvl w:val="0"/>
          <w:numId w:val="20"/>
        </w:numPr>
      </w:pPr>
      <w:r>
        <w:t>A</w:t>
      </w:r>
      <w:r w:rsidR="003E2268" w:rsidRPr="003E2268">
        <w:t>nd other implementing partners (indirectly affected groups).</w:t>
      </w:r>
    </w:p>
    <w:p w14:paraId="45E3A6D7" w14:textId="1159D27E" w:rsidR="00723FD2" w:rsidRDefault="001A0FAF" w:rsidP="00B83118">
      <w:r w:rsidRPr="001A0FAF">
        <w:t xml:space="preserve">For projects with potentially significant environmental and social risks, </w:t>
      </w:r>
      <w:r>
        <w:t xml:space="preserve">it is worth </w:t>
      </w:r>
      <w:r w:rsidRPr="001A0FAF">
        <w:t>consider</w:t>
      </w:r>
      <w:r>
        <w:t>ing</w:t>
      </w:r>
      <w:r w:rsidRPr="001A0FAF">
        <w:t xml:space="preserve"> engaging independent third-party specialists to assist in stakeholder identification, analysis, and designing an inclusive engagement process</w:t>
      </w:r>
      <w:r w:rsidR="003C636D">
        <w:t xml:space="preserve">. </w:t>
      </w:r>
      <w:r w:rsidR="003C636D" w:rsidRPr="003C636D">
        <w:t xml:space="preserve">This external expertise may be valuable not only </w:t>
      </w:r>
      <w:r w:rsidR="003C636D" w:rsidRPr="003C636D">
        <w:lastRenderedPageBreak/>
        <w:t>during the design stage but also throughout the preparation and implementation stages and beyond.</w:t>
      </w:r>
    </w:p>
    <w:p w14:paraId="2F3E4546" w14:textId="7E232F6C" w:rsidR="006B0BE0" w:rsidRDefault="00F9379B" w:rsidP="006A5BC9">
      <w:pPr>
        <w:pStyle w:val="Heading1"/>
      </w:pPr>
      <w:bookmarkStart w:id="15" w:name="_Toc176452102"/>
      <w:r>
        <w:t xml:space="preserve">8. Engagement during </w:t>
      </w:r>
      <w:r w:rsidR="006A5BC9">
        <w:t>Preparation Stages</w:t>
      </w:r>
      <w:bookmarkEnd w:id="15"/>
    </w:p>
    <w:p w14:paraId="68634C1E" w14:textId="0FF6D8B3" w:rsidR="002F1533" w:rsidRPr="002F1533" w:rsidRDefault="002F1533" w:rsidP="002F1533">
      <w:r>
        <w:t>During</w:t>
      </w:r>
      <w:r w:rsidRPr="002F1533">
        <w:t xml:space="preserve"> the preparation phase, engagement becomes more focused and detailed. </w:t>
      </w:r>
    </w:p>
    <w:p w14:paraId="729C2FE7" w14:textId="5E7B38A4" w:rsidR="006B0BE0" w:rsidRDefault="006B0BE0" w:rsidP="006A5BC9">
      <w:pPr>
        <w:pStyle w:val="Heading2"/>
      </w:pPr>
      <w:bookmarkStart w:id="16" w:name="_Toc176452103"/>
      <w:r>
        <w:t>Step 5: Develop Stakeholder Engagement Plan</w:t>
      </w:r>
      <w:bookmarkEnd w:id="16"/>
    </w:p>
    <w:p w14:paraId="170152EF" w14:textId="26D0197C" w:rsidR="00D851E1" w:rsidRDefault="00D851E1" w:rsidP="001B39A4">
      <w:r w:rsidRPr="00D851E1">
        <w:t>The S</w:t>
      </w:r>
      <w:r w:rsidR="009B51CC">
        <w:t>takeholder Engagement Plan (S</w:t>
      </w:r>
      <w:r w:rsidRPr="00D851E1">
        <w:t>EP</w:t>
      </w:r>
      <w:r w:rsidR="009B51CC">
        <w:t>)</w:t>
      </w:r>
      <w:r w:rsidRPr="00D851E1">
        <w:t xml:space="preserve"> is a crucial document that guides stakeholder engagement activities throughout the programme or project lifecycle, beyond the design phase. It should be developed collaboratively, with feedback sought from relevant stakeholders on the draft version, and then revised and finalised based on this input.</w:t>
      </w:r>
    </w:p>
    <w:p w14:paraId="4975927C" w14:textId="53CCAD13" w:rsidR="00845101" w:rsidRDefault="00C11AFF" w:rsidP="001B39A4">
      <w:r>
        <w:t>The SEP</w:t>
      </w:r>
      <w:r w:rsidR="00845101" w:rsidRPr="00845101">
        <w:t xml:space="preserve"> should include:</w:t>
      </w:r>
    </w:p>
    <w:p w14:paraId="51E4E031" w14:textId="0DFB0248" w:rsidR="008A69D8" w:rsidRDefault="008A69D8" w:rsidP="008A69D8">
      <w:pPr>
        <w:pStyle w:val="ListParagraph"/>
        <w:numPr>
          <w:ilvl w:val="0"/>
          <w:numId w:val="22"/>
        </w:numPr>
      </w:pPr>
      <w:r>
        <w:t>Comprehensive stakeholder identification and analysis</w:t>
      </w:r>
      <w:r w:rsidR="00C11AFF">
        <w:t>, i</w:t>
      </w:r>
      <w:r w:rsidR="00C11AFF" w:rsidRPr="00C11AFF">
        <w:t>ncluding a detailed list with stakeholders' interests and reasons for inclusion</w:t>
      </w:r>
      <w:r w:rsidR="00C11AFF">
        <w:t>.</w:t>
      </w:r>
    </w:p>
    <w:p w14:paraId="54799BD4" w14:textId="082D3CA7" w:rsidR="008A69D8" w:rsidRDefault="008A69D8" w:rsidP="008A69D8">
      <w:pPr>
        <w:pStyle w:val="ListParagraph"/>
        <w:numPr>
          <w:ilvl w:val="0"/>
          <w:numId w:val="22"/>
        </w:numPr>
      </w:pPr>
      <w:r>
        <w:t>Engagement objectives</w:t>
      </w:r>
      <w:r w:rsidR="00C11AFF">
        <w:t xml:space="preserve">, </w:t>
      </w:r>
      <w:r>
        <w:t>methods</w:t>
      </w:r>
      <w:r w:rsidR="00285CEA">
        <w:t>, and frequency of activities</w:t>
      </w:r>
      <w:r>
        <w:t>.</w:t>
      </w:r>
    </w:p>
    <w:p w14:paraId="733BA114" w14:textId="4797EC15" w:rsidR="003E5110" w:rsidRDefault="003E5110" w:rsidP="003E5110">
      <w:pPr>
        <w:pStyle w:val="ListParagraph"/>
        <w:numPr>
          <w:ilvl w:val="0"/>
          <w:numId w:val="22"/>
        </w:numPr>
      </w:pPr>
      <w:r w:rsidRPr="003E5110">
        <w:t>Steps for achieving meaningful consultation and inclusive participation</w:t>
      </w:r>
      <w:r>
        <w:t xml:space="preserve">, including </w:t>
      </w:r>
      <w:r w:rsidR="00CB00A5">
        <w:t>details on forums for meaningful engagement.</w:t>
      </w:r>
    </w:p>
    <w:p w14:paraId="585C00A9" w14:textId="039D99F2" w:rsidR="008A69D8" w:rsidRDefault="00285CEA" w:rsidP="00285CEA">
      <w:pPr>
        <w:pStyle w:val="ListParagraph"/>
        <w:numPr>
          <w:ilvl w:val="0"/>
          <w:numId w:val="22"/>
        </w:numPr>
      </w:pPr>
      <w:r w:rsidRPr="00285CEA">
        <w:t>Clear delineation of roles and responsibilities for plan implementation</w:t>
      </w:r>
      <w:r w:rsidR="008A69D8">
        <w:t>.</w:t>
      </w:r>
    </w:p>
    <w:p w14:paraId="1E87EF35" w14:textId="4312BCC8" w:rsidR="008A69D8" w:rsidRDefault="008A69D8" w:rsidP="008A69D8">
      <w:pPr>
        <w:pStyle w:val="ListParagraph"/>
        <w:numPr>
          <w:ilvl w:val="0"/>
          <w:numId w:val="22"/>
        </w:numPr>
      </w:pPr>
      <w:r>
        <w:t>Timeline and budget for engagement activities</w:t>
      </w:r>
      <w:r w:rsidR="006370BD">
        <w:t>, including related to capacity-building</w:t>
      </w:r>
      <w:r>
        <w:t>.</w:t>
      </w:r>
    </w:p>
    <w:p w14:paraId="4BB62B34" w14:textId="110D91B7" w:rsidR="006370BD" w:rsidRPr="006370BD" w:rsidRDefault="006370BD" w:rsidP="006370BD">
      <w:pPr>
        <w:pStyle w:val="ListParagraph"/>
        <w:numPr>
          <w:ilvl w:val="0"/>
          <w:numId w:val="22"/>
        </w:numPr>
      </w:pPr>
      <w:r w:rsidRPr="006370BD">
        <w:t>Key indicators for monitoring stakeholder engagement</w:t>
      </w:r>
      <w:r>
        <w:t>.</w:t>
      </w:r>
    </w:p>
    <w:p w14:paraId="408AF271" w14:textId="55D9F77C" w:rsidR="004334C1" w:rsidRDefault="004334C1" w:rsidP="004334C1">
      <w:pPr>
        <w:pStyle w:val="ListParagraph"/>
        <w:numPr>
          <w:ilvl w:val="0"/>
          <w:numId w:val="22"/>
        </w:numPr>
      </w:pPr>
      <w:r>
        <w:t>Information disclosure and feedback gathering mechanisms</w:t>
      </w:r>
      <w:r w:rsidR="00211BAF">
        <w:t>.</w:t>
      </w:r>
    </w:p>
    <w:p w14:paraId="58B91F15" w14:textId="568257B2" w:rsidR="007F7E8F" w:rsidRDefault="004334C1" w:rsidP="004334C1">
      <w:pPr>
        <w:pStyle w:val="ListParagraph"/>
        <w:numPr>
          <w:ilvl w:val="0"/>
          <w:numId w:val="22"/>
        </w:numPr>
      </w:pPr>
      <w:r>
        <w:t>Details of the grievance redress mechanism.</w:t>
      </w:r>
      <w:r w:rsidR="001B39A4" w:rsidRPr="000B4F56">
        <w:t xml:space="preserve"> </w:t>
      </w:r>
    </w:p>
    <w:p w14:paraId="46026476" w14:textId="3FBA4431" w:rsidR="00FE04BB" w:rsidRDefault="00FE04BB" w:rsidP="006A5BC9">
      <w:pPr>
        <w:pStyle w:val="Heading2"/>
      </w:pPr>
      <w:bookmarkStart w:id="17" w:name="_Toc176452104"/>
      <w:r>
        <w:t xml:space="preserve">Step 6: </w:t>
      </w:r>
      <w:r w:rsidR="00F9379B">
        <w:t>Communication strategies</w:t>
      </w:r>
      <w:bookmarkEnd w:id="17"/>
    </w:p>
    <w:p w14:paraId="3248B361" w14:textId="77777777" w:rsidR="00F96702" w:rsidRDefault="00D00CAB" w:rsidP="00F96702">
      <w:r w:rsidRPr="00D00CAB">
        <w:t>Tailored communication approaches should be developed for different stakeholder groups</w:t>
      </w:r>
      <w:r>
        <w:t>, considering any analysed barriers to participation (</w:t>
      </w:r>
      <w:r w:rsidR="00EC12C4" w:rsidRPr="009E2228">
        <w:t>sociopolitical factors, societal conflicts, educational limitations, mobility issues, language barriers</w:t>
      </w:r>
      <w:r w:rsidR="00F96702">
        <w:t>, etc.</w:t>
      </w:r>
      <w:r w:rsidR="00EC12C4" w:rsidRPr="009E2228">
        <w:t>)</w:t>
      </w:r>
      <w:r w:rsidR="00F96702">
        <w:t>. This may include:</w:t>
      </w:r>
    </w:p>
    <w:p w14:paraId="2A164CEF" w14:textId="3A958736" w:rsidR="00F96702" w:rsidRDefault="00F96702" w:rsidP="00D83ED4">
      <w:pPr>
        <w:pStyle w:val="ListParagraph"/>
        <w:numPr>
          <w:ilvl w:val="0"/>
          <w:numId w:val="27"/>
        </w:numPr>
      </w:pPr>
      <w:r>
        <w:t>Organising an inception workshop to formally introduce the programme or project.</w:t>
      </w:r>
    </w:p>
    <w:p w14:paraId="3492253F" w14:textId="1570ECE0" w:rsidR="00F96702" w:rsidRDefault="00F96702" w:rsidP="00D83ED4">
      <w:pPr>
        <w:pStyle w:val="ListParagraph"/>
        <w:numPr>
          <w:ilvl w:val="0"/>
          <w:numId w:val="27"/>
        </w:numPr>
      </w:pPr>
      <w:r>
        <w:t>Establishing regular communication channels (e.g., newsletters, community meetings).</w:t>
      </w:r>
    </w:p>
    <w:p w14:paraId="65ABB31B" w14:textId="05AD9970" w:rsidR="00F96702" w:rsidRDefault="00D5094F" w:rsidP="00D83ED4">
      <w:pPr>
        <w:pStyle w:val="ListParagraph"/>
        <w:numPr>
          <w:ilvl w:val="0"/>
          <w:numId w:val="27"/>
        </w:numPr>
      </w:pPr>
      <w:r w:rsidRPr="00D5094F">
        <w:t>Facilitating engagement sessions across various levels and sectors in a culturally sensitive, accessible, and gender-responsive way</w:t>
      </w:r>
      <w:r w:rsidR="001774CD">
        <w:t>.</w:t>
      </w:r>
    </w:p>
    <w:p w14:paraId="237207AD" w14:textId="1C791D6F" w:rsidR="00EC12C4" w:rsidRDefault="00F96702" w:rsidP="00D83ED4">
      <w:pPr>
        <w:pStyle w:val="ListParagraph"/>
        <w:numPr>
          <w:ilvl w:val="0"/>
          <w:numId w:val="27"/>
        </w:numPr>
      </w:pPr>
      <w:r>
        <w:t>Ensuring flexibility for stakeholders to join the engagement process at any time</w:t>
      </w:r>
      <w:r w:rsidR="001774CD">
        <w:t>.</w:t>
      </w:r>
    </w:p>
    <w:p w14:paraId="08341C6A" w14:textId="52B60CFB" w:rsidR="00BE5F90" w:rsidRDefault="00BE5F90" w:rsidP="00BE5F90">
      <w:pPr>
        <w:pStyle w:val="Heading2"/>
      </w:pPr>
      <w:bookmarkStart w:id="18" w:name="_Toc176452105"/>
      <w:r>
        <w:t>Step 7: Grievance Redress Mechanism</w:t>
      </w:r>
      <w:bookmarkEnd w:id="18"/>
    </w:p>
    <w:p w14:paraId="5CFF16E8" w14:textId="63499D2B" w:rsidR="00060C7F" w:rsidRDefault="00DD2A21" w:rsidP="00B83118">
      <w:r>
        <w:t xml:space="preserve">Design a </w:t>
      </w:r>
      <w:r w:rsidR="0028312A" w:rsidRPr="0028312A">
        <w:t>Grievance Redress Mechanism to provide an accessible</w:t>
      </w:r>
      <w:r>
        <w:t>, gender-responsive</w:t>
      </w:r>
      <w:r w:rsidR="0028312A" w:rsidRPr="0028312A">
        <w:t xml:space="preserve"> and culturally appropriate system for stakeholders to raise concerns, ensuring </w:t>
      </w:r>
      <w:r w:rsidR="008D05BF" w:rsidRPr="008D05BF">
        <w:t xml:space="preserve">fairness, impartiality, </w:t>
      </w:r>
      <w:r w:rsidR="00375EEC">
        <w:t>transparency</w:t>
      </w:r>
      <w:r w:rsidR="008D05BF" w:rsidRPr="008D05BF">
        <w:t>, and responsiveness</w:t>
      </w:r>
      <w:r w:rsidR="0028312A" w:rsidRPr="0028312A">
        <w:t>.</w:t>
      </w:r>
      <w:r w:rsidR="0012236E">
        <w:rPr>
          <w:rStyle w:val="FootnoteReference"/>
        </w:rPr>
        <w:footnoteReference w:id="9"/>
      </w:r>
    </w:p>
    <w:p w14:paraId="424ADE42" w14:textId="1F908582" w:rsidR="00375EEC" w:rsidRDefault="00375EEC" w:rsidP="00B83118">
      <w:r w:rsidRPr="00375EEC">
        <w:t xml:space="preserve">The </w:t>
      </w:r>
      <w:r w:rsidR="006A7566">
        <w:t>mechanism</w:t>
      </w:r>
      <w:r w:rsidRPr="0028312A">
        <w:t xml:space="preserve"> </w:t>
      </w:r>
      <w:r w:rsidRPr="00375EEC">
        <w:t>should provide multiple channels for stakeholders to raise concerns and should be designed to address issues promptly and effectively.</w:t>
      </w:r>
      <w:r w:rsidR="00AE1FA0">
        <w:t xml:space="preserve"> </w:t>
      </w:r>
      <w:r w:rsidR="00AE1FA0" w:rsidRPr="00AE1FA0">
        <w:t xml:space="preserve">If concerns remain unresolved, </w:t>
      </w:r>
      <w:r w:rsidR="00AE1FA0" w:rsidRPr="00AE1FA0">
        <w:lastRenderedPageBreak/>
        <w:t>stakeholders have the option to escalate their grievances to the United Nations Development Programme's (UNDP) Social and Environmental Compliance Unit (SECU) for further review.</w:t>
      </w:r>
    </w:p>
    <w:p w14:paraId="53103D04" w14:textId="249AB1B6" w:rsidR="00B47673" w:rsidRDefault="004C2B58" w:rsidP="00BE5F90">
      <w:pPr>
        <w:pStyle w:val="Heading2"/>
      </w:pPr>
      <w:bookmarkStart w:id="19" w:name="_Toc176452106"/>
      <w:r>
        <w:t xml:space="preserve">Step </w:t>
      </w:r>
      <w:r w:rsidR="00BE5F90">
        <w:t>8</w:t>
      </w:r>
      <w:r>
        <w:t xml:space="preserve">: </w:t>
      </w:r>
      <w:r w:rsidR="00B47673">
        <w:t>Allocate resources</w:t>
      </w:r>
      <w:bookmarkEnd w:id="19"/>
    </w:p>
    <w:p w14:paraId="585B4378" w14:textId="77777777" w:rsidR="00755D47" w:rsidRDefault="00755D47" w:rsidP="00755D47">
      <w:r>
        <w:t>Ensure adequate resources are allocated for effective stakeholder engagement, including:</w:t>
      </w:r>
    </w:p>
    <w:p w14:paraId="40382B02" w14:textId="708CFA78" w:rsidR="00755D47" w:rsidRDefault="00755D47" w:rsidP="00D83ED4">
      <w:pPr>
        <w:pStyle w:val="ListParagraph"/>
        <w:numPr>
          <w:ilvl w:val="0"/>
          <w:numId w:val="26"/>
        </w:numPr>
      </w:pPr>
      <w:r>
        <w:t>Budget for engagement activities.</w:t>
      </w:r>
    </w:p>
    <w:p w14:paraId="45D6D274" w14:textId="6B71D057" w:rsidR="00755D47" w:rsidRDefault="00755D47" w:rsidP="00D83ED4">
      <w:pPr>
        <w:pStyle w:val="ListParagraph"/>
        <w:numPr>
          <w:ilvl w:val="0"/>
          <w:numId w:val="26"/>
        </w:numPr>
      </w:pPr>
      <w:r>
        <w:t>Skilled personnel to facilitate engagement.</w:t>
      </w:r>
    </w:p>
    <w:p w14:paraId="5D54871A" w14:textId="08529876" w:rsidR="00755D47" w:rsidRDefault="00755D47" w:rsidP="00D83ED4">
      <w:pPr>
        <w:pStyle w:val="ListParagraph"/>
        <w:numPr>
          <w:ilvl w:val="0"/>
          <w:numId w:val="26"/>
        </w:numPr>
      </w:pPr>
      <w:r>
        <w:t>Time for meaningful consultation and feedback incorporation.</w:t>
      </w:r>
    </w:p>
    <w:p w14:paraId="0ECFDDEB" w14:textId="6BE47F23" w:rsidR="00755D47" w:rsidRDefault="00755D47" w:rsidP="00D83ED4">
      <w:pPr>
        <w:pStyle w:val="ListParagraph"/>
        <w:numPr>
          <w:ilvl w:val="0"/>
          <w:numId w:val="26"/>
        </w:numPr>
      </w:pPr>
      <w:r>
        <w:t>Resources for capacity</w:t>
      </w:r>
      <w:r w:rsidR="00F67C2A">
        <w:t>-</w:t>
      </w:r>
      <w:r>
        <w:t>building of both programme/project staff and stakeholders.</w:t>
      </w:r>
    </w:p>
    <w:p w14:paraId="298A503E" w14:textId="4DCADE9F" w:rsidR="00B47673" w:rsidRDefault="00755D47" w:rsidP="00755D47">
      <w:r>
        <w:t>Consider potential capacity-building needs to enhance the effectiveness of engagement, such as training on participatory methods, conflict resolution, or cultural sensitivity.</w:t>
      </w:r>
    </w:p>
    <w:p w14:paraId="4FC4934E" w14:textId="49322172" w:rsidR="004C2B58" w:rsidRDefault="00BE5F90" w:rsidP="00BE5F90">
      <w:pPr>
        <w:pStyle w:val="Heading1"/>
      </w:pPr>
      <w:bookmarkStart w:id="20" w:name="_Toc176452107"/>
      <w:r>
        <w:t>9. Engagement during Implementation Stages</w:t>
      </w:r>
      <w:bookmarkEnd w:id="20"/>
    </w:p>
    <w:p w14:paraId="1B3B93ED" w14:textId="1474AE08" w:rsidR="004348F6" w:rsidRPr="004348F6" w:rsidRDefault="004348F6" w:rsidP="004348F6">
      <w:r w:rsidRPr="004348F6">
        <w:t xml:space="preserve">During the implementation phase, </w:t>
      </w:r>
      <w:r w:rsidR="003501AF">
        <w:t>the</w:t>
      </w:r>
      <w:r w:rsidR="003501AF" w:rsidRPr="003501AF">
        <w:t xml:space="preserve"> focus shifts to ongoing dialogue, adaptive management, and responsive engagement.</w:t>
      </w:r>
    </w:p>
    <w:p w14:paraId="09579A7E" w14:textId="05AF30CB" w:rsidR="004C2B58" w:rsidRDefault="006C1DAD" w:rsidP="005B0B89">
      <w:pPr>
        <w:pStyle w:val="Heading2"/>
      </w:pPr>
      <w:bookmarkStart w:id="21" w:name="_Toc176452108"/>
      <w:r>
        <w:t>Step 9: Continued engagement</w:t>
      </w:r>
      <w:r w:rsidR="002250A6">
        <w:t xml:space="preserve"> and </w:t>
      </w:r>
      <w:r w:rsidR="005B0B89">
        <w:t>SEP</w:t>
      </w:r>
      <w:r w:rsidR="002250A6">
        <w:t xml:space="preserve"> implementation</w:t>
      </w:r>
      <w:bookmarkEnd w:id="21"/>
    </w:p>
    <w:p w14:paraId="7CC88D1D" w14:textId="06D0F4A1" w:rsidR="00F4581E" w:rsidRDefault="00F96797" w:rsidP="00FC2169">
      <w:r w:rsidRPr="00F96797">
        <w:t>Execute the SEP, maintaining regular communication with all stakeholder groups.</w:t>
      </w:r>
      <w:r>
        <w:t xml:space="preserve"> </w:t>
      </w:r>
      <w:r w:rsidR="0014175E">
        <w:t>B</w:t>
      </w:r>
      <w:r w:rsidR="00FC2169" w:rsidRPr="00FC2169">
        <w:t xml:space="preserve">uild upon and strengthen the channels of communication and engagement established during earlier stages. </w:t>
      </w:r>
    </w:p>
    <w:p w14:paraId="34DA527B" w14:textId="77777777" w:rsidR="007838E0" w:rsidRDefault="00FC2169" w:rsidP="00FC2169">
      <w:r w:rsidRPr="00FC2169">
        <w:t xml:space="preserve">Engagement strategies should be adapted as needed, based on </w:t>
      </w:r>
      <w:r w:rsidR="007838E0">
        <w:t xml:space="preserve">any programme or project </w:t>
      </w:r>
      <w:r w:rsidRPr="00FC2169">
        <w:t xml:space="preserve">developments, changing contexts, and stakeholder feedback. </w:t>
      </w:r>
      <w:r w:rsidR="007838E0">
        <w:t>Engagement</w:t>
      </w:r>
      <w:r w:rsidRPr="00FC2169">
        <w:t xml:space="preserve"> activities </w:t>
      </w:r>
      <w:r w:rsidR="007838E0">
        <w:t xml:space="preserve">should </w:t>
      </w:r>
      <w:r w:rsidRPr="00FC2169">
        <w:t xml:space="preserve">remain inclusive, culturally appropriate, and gender-responsive throughout implementation. </w:t>
      </w:r>
    </w:p>
    <w:p w14:paraId="7BB33CAB" w14:textId="19457AF7" w:rsidR="00FC2169" w:rsidRDefault="007838E0" w:rsidP="00FC2169">
      <w:r>
        <w:t xml:space="preserve">If necessary, </w:t>
      </w:r>
      <w:r w:rsidR="00FC2169" w:rsidRPr="00FC2169">
        <w:t>review and update stakeholder lists and analysis to capture any changes in the stakeholder landscape.</w:t>
      </w:r>
    </w:p>
    <w:p w14:paraId="05C179D0" w14:textId="6B5374C3" w:rsidR="005B0B89" w:rsidRDefault="005B0B89" w:rsidP="00FC2169">
      <w:pPr>
        <w:pStyle w:val="Heading2"/>
      </w:pPr>
      <w:bookmarkStart w:id="22" w:name="_Toc176452109"/>
      <w:r>
        <w:t>Step 10: Respond to concerns / grievances</w:t>
      </w:r>
      <w:bookmarkEnd w:id="22"/>
    </w:p>
    <w:p w14:paraId="20DB1D7F" w14:textId="77777777" w:rsidR="001C3893" w:rsidRDefault="00D67A71" w:rsidP="00B83118">
      <w:r w:rsidRPr="00D67A71">
        <w:t xml:space="preserve">Actively monitor and address concerns raised through the grievance mechanism. All complaints, actions taken, and resolutions should be documented in a transparent and accessible manner. </w:t>
      </w:r>
    </w:p>
    <w:p w14:paraId="660F4A5F" w14:textId="3C076DA2" w:rsidR="005B0B89" w:rsidRDefault="00D67A71" w:rsidP="00B83118">
      <w:r w:rsidRPr="00D67A71">
        <w:t xml:space="preserve">Use feedback from grievances to inform and improve </w:t>
      </w:r>
      <w:r w:rsidR="001C3893">
        <w:t xml:space="preserve">programme and </w:t>
      </w:r>
      <w:r w:rsidRPr="00D67A71">
        <w:t xml:space="preserve">project implementation and stakeholder engagement strategies. Regularly review the effectiveness of the grievance mechanism and </w:t>
      </w:r>
      <w:r w:rsidR="001C3893" w:rsidRPr="00D67A71">
        <w:t>adjust</w:t>
      </w:r>
      <w:r w:rsidRPr="00D67A71">
        <w:t xml:space="preserve"> as necessary to ensure its accessibility and responsiveness.</w:t>
      </w:r>
    </w:p>
    <w:p w14:paraId="1E451EED" w14:textId="60A7EABA" w:rsidR="005B0B89" w:rsidRDefault="005B0B89" w:rsidP="005B0B89">
      <w:pPr>
        <w:pStyle w:val="Heading2"/>
      </w:pPr>
      <w:bookmarkStart w:id="23" w:name="_Toc176452110"/>
      <w:r>
        <w:t>Step 11: Monitor and report back</w:t>
      </w:r>
      <w:bookmarkEnd w:id="23"/>
    </w:p>
    <w:p w14:paraId="03CFDF1E" w14:textId="77777777" w:rsidR="00456491" w:rsidRDefault="00F9727D" w:rsidP="00C505DF">
      <w:r w:rsidRPr="00F9727D">
        <w:t xml:space="preserve">Continuously track engagement activities and their effectiveness using the key indicators established in the SEP. </w:t>
      </w:r>
    </w:p>
    <w:p w14:paraId="510F1562" w14:textId="45478C31" w:rsidR="00FF258B" w:rsidRDefault="00D519DB" w:rsidP="00C505DF">
      <w:r>
        <w:t>It is good practice to c</w:t>
      </w:r>
      <w:r w:rsidR="00F9727D" w:rsidRPr="00F9727D">
        <w:t>onduct regular evaluations of stakeholder engagement processes, involving stakeholders in the evaluation where possibl</w:t>
      </w:r>
      <w:r>
        <w:t>e, as well as pr</w:t>
      </w:r>
      <w:r w:rsidR="00F9727D" w:rsidRPr="00F9727D">
        <w:t>ovide frequent updates to stakeholders on project progress, including how their input has been incorporated into decision-making and implementation. Develop and disseminate stakeholder-friendly reports on engagement activities, project outcomes, and lessons learned</w:t>
      </w:r>
      <w:r w:rsidR="000E6B67" w:rsidRPr="000E6B67">
        <w:t>.</w:t>
      </w:r>
    </w:p>
    <w:p w14:paraId="4E2E9E68" w14:textId="2278BD9B" w:rsidR="00931798" w:rsidRDefault="000F2323" w:rsidP="000F2323">
      <w:pPr>
        <w:pStyle w:val="Heading1"/>
      </w:pPr>
      <w:bookmarkStart w:id="24" w:name="_Toc176452111"/>
      <w:r>
        <w:lastRenderedPageBreak/>
        <w:t xml:space="preserve">10. </w:t>
      </w:r>
      <w:r w:rsidR="00F9727D">
        <w:t>Considerations for c</w:t>
      </w:r>
      <w:r w:rsidR="00931798">
        <w:t xml:space="preserve">hallenging </w:t>
      </w:r>
      <w:r w:rsidR="00F9727D">
        <w:t>e</w:t>
      </w:r>
      <w:r w:rsidR="00931798">
        <w:t>nvironments</w:t>
      </w:r>
      <w:bookmarkEnd w:id="24"/>
    </w:p>
    <w:p w14:paraId="626E124D" w14:textId="77073F23" w:rsidR="00931798" w:rsidRDefault="00A97CC6" w:rsidP="00C505DF">
      <w:r w:rsidRPr="00A97CC6">
        <w:t>GFCR-funded initiatives may sometimes operate in challenging environments, such as areas experiencing natural disasters, conflict, or where human rights violations are prevalent. In these contexts, engage stakeholder engagement specialists with up-to-date knowledge of local contexts</w:t>
      </w:r>
      <w:r w:rsidR="006207EA">
        <w:t xml:space="preserve"> or problem-specific expertise</w:t>
      </w:r>
      <w:r w:rsidRPr="00A97CC6">
        <w:t xml:space="preserve"> to devise and manage appropriate engagement processes. Develop flexible, context-specific strategies that prioriti</w:t>
      </w:r>
      <w:r w:rsidR="000F2323">
        <w:t>s</w:t>
      </w:r>
      <w:r w:rsidRPr="00A97CC6">
        <w:t xml:space="preserve">e stakeholder safety and well-being while still striving for meaningful engagement. </w:t>
      </w:r>
      <w:r w:rsidR="000F2323">
        <w:t>Be</w:t>
      </w:r>
      <w:r w:rsidRPr="00A97CC6">
        <w:t xml:space="preserve"> prepared to adjust engagement strategies rapidly in response to changing conditions. Maintain heightened awareness of potential power imbalances and vulnerabilities among stakeholders, ensuring that engagement processes do not exacerbate existing tensions or put stakeholders at risk</w:t>
      </w:r>
      <w:r w:rsidR="00931798" w:rsidRPr="00931798">
        <w:t>.</w:t>
      </w:r>
    </w:p>
    <w:p w14:paraId="78A0367B" w14:textId="534287F0" w:rsidR="00CD0C7F" w:rsidRDefault="001B70E9" w:rsidP="003C6AAD">
      <w:pPr>
        <w:pStyle w:val="Heading1"/>
      </w:pPr>
      <w:bookmarkStart w:id="25" w:name="_Toc176452112"/>
      <w:r>
        <w:t>11</w:t>
      </w:r>
      <w:r w:rsidR="00CD0C7F">
        <w:t xml:space="preserve">. </w:t>
      </w:r>
      <w:r w:rsidR="003C6AAD" w:rsidRPr="003C6AAD">
        <w:t>Monitoring, Compliance, and Reporting</w:t>
      </w:r>
      <w:bookmarkEnd w:id="25"/>
    </w:p>
    <w:p w14:paraId="44AD6188" w14:textId="77777777" w:rsidR="007325CD" w:rsidRDefault="007325CD" w:rsidP="007325CD">
      <w:r>
        <w:t>Convening Agents are required to report annually to the GFCR on the outcomes of their stakeholder engagement processes. These reports should include:</w:t>
      </w:r>
    </w:p>
    <w:p w14:paraId="4A837E64" w14:textId="7CF709F9" w:rsidR="007325CD" w:rsidRDefault="007325CD" w:rsidP="00AA141A">
      <w:pPr>
        <w:pStyle w:val="ListParagraph"/>
        <w:numPr>
          <w:ilvl w:val="0"/>
          <w:numId w:val="26"/>
        </w:numPr>
      </w:pPr>
      <w:r>
        <w:t>A comprehensive log of engagement activities, detailing dates, locations, and stakeholder notifications</w:t>
      </w:r>
      <w:r w:rsidR="00AA141A">
        <w:t>.</w:t>
      </w:r>
    </w:p>
    <w:p w14:paraId="31948FF4" w14:textId="2C468F4B" w:rsidR="007325CD" w:rsidRDefault="007325CD" w:rsidP="00AA141A">
      <w:pPr>
        <w:pStyle w:val="ListParagraph"/>
        <w:numPr>
          <w:ilvl w:val="0"/>
          <w:numId w:val="26"/>
        </w:numPr>
      </w:pPr>
      <w:r>
        <w:t>The purpose of each engagement event</w:t>
      </w:r>
      <w:r w:rsidR="00AA141A">
        <w:t>.</w:t>
      </w:r>
    </w:p>
    <w:p w14:paraId="2B636460" w14:textId="55C81627" w:rsidR="007325CD" w:rsidRDefault="007325CD" w:rsidP="00AA141A">
      <w:pPr>
        <w:pStyle w:val="ListParagraph"/>
        <w:numPr>
          <w:ilvl w:val="0"/>
          <w:numId w:val="26"/>
        </w:numPr>
      </w:pPr>
      <w:r>
        <w:t>Methods of engagement employed (e.g., workshops, focus groups, online consultations)</w:t>
      </w:r>
      <w:r w:rsidR="00AA141A">
        <w:t>.</w:t>
      </w:r>
    </w:p>
    <w:p w14:paraId="1F0E7D76" w14:textId="29F3F136" w:rsidR="007325CD" w:rsidRDefault="007325CD" w:rsidP="00AA141A">
      <w:pPr>
        <w:pStyle w:val="ListParagraph"/>
        <w:numPr>
          <w:ilvl w:val="0"/>
          <w:numId w:val="26"/>
        </w:numPr>
      </w:pPr>
      <w:r>
        <w:t>Participant demographics and numbers</w:t>
      </w:r>
      <w:r w:rsidR="00AA141A">
        <w:t>.</w:t>
      </w:r>
    </w:p>
    <w:p w14:paraId="09EFCF65" w14:textId="0E796A9B" w:rsidR="007325CD" w:rsidRDefault="007325CD" w:rsidP="00AA141A">
      <w:pPr>
        <w:pStyle w:val="ListParagraph"/>
        <w:numPr>
          <w:ilvl w:val="0"/>
          <w:numId w:val="26"/>
        </w:numPr>
      </w:pPr>
      <w:r>
        <w:t>A list of documents shared with stakeholders</w:t>
      </w:r>
      <w:r w:rsidR="00AA141A">
        <w:t>.</w:t>
      </w:r>
    </w:p>
    <w:p w14:paraId="4FF3F9A8" w14:textId="62FB6272" w:rsidR="007325CD" w:rsidRDefault="007325CD" w:rsidP="00AA141A">
      <w:pPr>
        <w:pStyle w:val="ListParagraph"/>
        <w:numPr>
          <w:ilvl w:val="0"/>
          <w:numId w:val="26"/>
        </w:numPr>
      </w:pPr>
      <w:r>
        <w:t>Key points and concerns raised by stakeholders</w:t>
      </w:r>
      <w:r w:rsidR="00AA141A">
        <w:t>.</w:t>
      </w:r>
    </w:p>
    <w:p w14:paraId="140227FF" w14:textId="77777777" w:rsidR="001B4137" w:rsidRDefault="007325CD" w:rsidP="007325CD">
      <w:pPr>
        <w:pStyle w:val="ListParagraph"/>
        <w:numPr>
          <w:ilvl w:val="0"/>
          <w:numId w:val="26"/>
        </w:numPr>
      </w:pPr>
      <w:r>
        <w:t>How stakeholder input was addressed and incorporated into decision-making</w:t>
      </w:r>
      <w:r w:rsidR="00AA141A">
        <w:t>.</w:t>
      </w:r>
    </w:p>
    <w:p w14:paraId="343C5C6A" w14:textId="31C51437" w:rsidR="007325CD" w:rsidRDefault="007325CD" w:rsidP="007325CD">
      <w:pPr>
        <w:pStyle w:val="ListParagraph"/>
        <w:numPr>
          <w:ilvl w:val="0"/>
          <w:numId w:val="26"/>
        </w:numPr>
      </w:pPr>
      <w:r>
        <w:t>Outstanding issues, follow-up actions, and plans for keeping stakeholders informed</w:t>
      </w:r>
      <w:r w:rsidR="001B4137">
        <w:t>.</w:t>
      </w:r>
    </w:p>
    <w:p w14:paraId="6CC5C095" w14:textId="303E3A7A" w:rsidR="00D619AD" w:rsidRPr="00D619AD" w:rsidRDefault="00AA141A" w:rsidP="00AA141A">
      <w:r>
        <w:t>Stakeholder engagement reporting should be integrated into broader reporting mechanisms</w:t>
      </w:r>
      <w:r w:rsidR="00702B00">
        <w:t xml:space="preserve">, such as </w:t>
      </w:r>
      <w:r w:rsidR="00C10235">
        <w:t xml:space="preserve">programme </w:t>
      </w:r>
      <w:r w:rsidR="00702B00">
        <w:t>annual narrative reports,</w:t>
      </w:r>
      <w:r>
        <w:t xml:space="preserve"> to maintain its priority status throughout implementation</w:t>
      </w:r>
      <w:r w:rsidR="00D619AD">
        <w:t>.</w:t>
      </w:r>
    </w:p>
    <w:p w14:paraId="330473F5" w14:textId="2160167F" w:rsidR="00DB65BF" w:rsidRPr="00CD0C7F" w:rsidRDefault="006B438D" w:rsidP="00DB65BF">
      <w:pPr>
        <w:pStyle w:val="Heading1"/>
      </w:pPr>
      <w:bookmarkStart w:id="26" w:name="_Toc176452113"/>
      <w:r>
        <w:t>12</w:t>
      </w:r>
      <w:r w:rsidR="00DB65BF">
        <w:t>. Organisational Commitment</w:t>
      </w:r>
      <w:r w:rsidR="003C6AAD">
        <w:t xml:space="preserve"> and Capacity</w:t>
      </w:r>
      <w:bookmarkEnd w:id="26"/>
    </w:p>
    <w:p w14:paraId="60D87074" w14:textId="2EB9CB00" w:rsidR="00C505DF" w:rsidRDefault="003A2867" w:rsidP="00C505DF">
      <w:r w:rsidRPr="003A2867">
        <w:t>The GFCR is committed to effective stakeholder engagement, with the Convening Agents responsible for defining clear roles, responsibilities, and authority for these activities. They will designate qualified personnel to implement and monitor stakeholder engagement efforts, ensuring they have the necessary expertise. When appropriate, Convening Agents should supplement their internal capacity with external expertise. Additionally, resources must be allocated in proportion to the project's nature, risks, and anticipated impacts, ensuring that stakeholder engagement is effectively integrated into the GFCR's operational structure.</w:t>
      </w:r>
    </w:p>
    <w:p w14:paraId="686A0132" w14:textId="77777777" w:rsidR="00C505DF" w:rsidRPr="00C505DF" w:rsidRDefault="00C505DF" w:rsidP="00C505DF"/>
    <w:sectPr w:rsidR="00C505DF" w:rsidRPr="00C505D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49816A" w14:textId="77777777" w:rsidR="00086B66" w:rsidRDefault="00086B66" w:rsidP="00B35A46">
      <w:pPr>
        <w:spacing w:after="0" w:line="240" w:lineRule="auto"/>
      </w:pPr>
      <w:r>
        <w:separator/>
      </w:r>
    </w:p>
  </w:endnote>
  <w:endnote w:type="continuationSeparator" w:id="0">
    <w:p w14:paraId="456EB3A3" w14:textId="77777777" w:rsidR="00086B66" w:rsidRDefault="00086B66" w:rsidP="00B35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DDD39" w14:textId="77777777" w:rsidR="00420EA6" w:rsidRDefault="00420E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B93E4" w14:textId="77777777" w:rsidR="00420EA6" w:rsidRDefault="00420E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8BD33" w14:textId="77777777" w:rsidR="00420EA6" w:rsidRDefault="00420E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3753CC" w14:textId="77777777" w:rsidR="00086B66" w:rsidRDefault="00086B66" w:rsidP="00B35A46">
      <w:pPr>
        <w:spacing w:after="0" w:line="240" w:lineRule="auto"/>
      </w:pPr>
      <w:r>
        <w:separator/>
      </w:r>
    </w:p>
  </w:footnote>
  <w:footnote w:type="continuationSeparator" w:id="0">
    <w:p w14:paraId="48F3BFFD" w14:textId="77777777" w:rsidR="00086B66" w:rsidRDefault="00086B66" w:rsidP="00B35A46">
      <w:pPr>
        <w:spacing w:after="0" w:line="240" w:lineRule="auto"/>
      </w:pPr>
      <w:r>
        <w:continuationSeparator/>
      </w:r>
    </w:p>
  </w:footnote>
  <w:footnote w:id="1">
    <w:p w14:paraId="129CF4EE" w14:textId="329128C8" w:rsidR="00B35A46" w:rsidRDefault="00B35A46">
      <w:pPr>
        <w:pStyle w:val="FootnoteText"/>
      </w:pPr>
      <w:r>
        <w:rPr>
          <w:rStyle w:val="FootnoteReference"/>
        </w:rPr>
        <w:footnoteRef/>
      </w:r>
      <w:r>
        <w:t xml:space="preserve"> </w:t>
      </w:r>
      <w:r w:rsidR="009C092F">
        <w:t>For grievance redress, refer to the GFCR Grievance Redress Mechanism Policy</w:t>
      </w:r>
      <w:r w:rsidR="00001834">
        <w:t xml:space="preserve"> (2024)</w:t>
      </w:r>
      <w:r w:rsidR="009C092F">
        <w:t>.</w:t>
      </w:r>
    </w:p>
  </w:footnote>
  <w:footnote w:id="2">
    <w:p w14:paraId="467D5643" w14:textId="77FDD40F" w:rsidR="00984FC2" w:rsidRPr="007C06A2" w:rsidRDefault="00984FC2" w:rsidP="00984FC2">
      <w:pPr>
        <w:pStyle w:val="FootnoteText"/>
        <w:rPr>
          <w:sz w:val="18"/>
          <w:szCs w:val="18"/>
        </w:rPr>
      </w:pPr>
      <w:r w:rsidRPr="007C06A2">
        <w:rPr>
          <w:rStyle w:val="FootnoteReference"/>
          <w:sz w:val="18"/>
          <w:szCs w:val="18"/>
        </w:rPr>
        <w:footnoteRef/>
      </w:r>
      <w:r w:rsidRPr="007C06A2">
        <w:rPr>
          <w:sz w:val="18"/>
          <w:szCs w:val="18"/>
        </w:rPr>
        <w:t xml:space="preserve"> The principles were drafted taking into consideration the policies, strategies and best practices of UN agencies, </w:t>
      </w:r>
      <w:r w:rsidR="007C06A2" w:rsidRPr="007C06A2">
        <w:rPr>
          <w:sz w:val="18"/>
          <w:szCs w:val="18"/>
        </w:rPr>
        <w:t>other donors,</w:t>
      </w:r>
      <w:r w:rsidRPr="007C06A2">
        <w:rPr>
          <w:sz w:val="18"/>
          <w:szCs w:val="18"/>
        </w:rPr>
        <w:t xml:space="preserve"> and private philanthropies, </w:t>
      </w:r>
      <w:r w:rsidR="00975DEA" w:rsidRPr="007C06A2">
        <w:rPr>
          <w:sz w:val="18"/>
          <w:szCs w:val="18"/>
        </w:rPr>
        <w:t xml:space="preserve">in particular the stakeholder engagement </w:t>
      </w:r>
      <w:r w:rsidR="00121DDF" w:rsidRPr="007C06A2">
        <w:rPr>
          <w:sz w:val="18"/>
          <w:szCs w:val="18"/>
        </w:rPr>
        <w:t xml:space="preserve">approaches </w:t>
      </w:r>
      <w:r w:rsidR="00975DEA" w:rsidRPr="007C06A2">
        <w:rPr>
          <w:sz w:val="18"/>
          <w:szCs w:val="18"/>
        </w:rPr>
        <w:t>of GCF, GEF, UNDP</w:t>
      </w:r>
      <w:r w:rsidR="00A95470" w:rsidRPr="007C06A2">
        <w:rPr>
          <w:sz w:val="18"/>
          <w:szCs w:val="18"/>
        </w:rPr>
        <w:t xml:space="preserve">, </w:t>
      </w:r>
      <w:r w:rsidR="007430AA" w:rsidRPr="007C06A2">
        <w:rPr>
          <w:sz w:val="18"/>
          <w:szCs w:val="18"/>
        </w:rPr>
        <w:t>World Bank</w:t>
      </w:r>
      <w:r w:rsidR="00A95470" w:rsidRPr="007C06A2">
        <w:rPr>
          <w:sz w:val="18"/>
          <w:szCs w:val="18"/>
        </w:rPr>
        <w:t xml:space="preserve"> and WWF</w:t>
      </w:r>
      <w:r w:rsidR="00F4799C" w:rsidRPr="007C06A2">
        <w:rPr>
          <w:sz w:val="18"/>
          <w:szCs w:val="18"/>
        </w:rPr>
        <w:t>.</w:t>
      </w:r>
    </w:p>
  </w:footnote>
  <w:footnote w:id="3">
    <w:p w14:paraId="1D8721DA" w14:textId="61D9ED2E" w:rsidR="00C254CD" w:rsidRDefault="00C254CD">
      <w:pPr>
        <w:pStyle w:val="FootnoteText"/>
      </w:pPr>
      <w:r w:rsidRPr="007C06A2">
        <w:rPr>
          <w:rStyle w:val="FootnoteReference"/>
          <w:sz w:val="18"/>
          <w:szCs w:val="18"/>
        </w:rPr>
        <w:footnoteRef/>
      </w:r>
      <w:r w:rsidRPr="007C06A2">
        <w:rPr>
          <w:sz w:val="18"/>
          <w:szCs w:val="18"/>
        </w:rPr>
        <w:t xml:space="preserve"> </w:t>
      </w:r>
      <w:r w:rsidR="004E2AFC" w:rsidRPr="007C06A2">
        <w:rPr>
          <w:sz w:val="18"/>
          <w:szCs w:val="18"/>
        </w:rPr>
        <w:t xml:space="preserve">Human rights norms and standards that apply to the GFCR, its Convening Agents and co-implementers include </w:t>
      </w:r>
      <w:r w:rsidR="00D94092" w:rsidRPr="007C06A2">
        <w:rPr>
          <w:sz w:val="18"/>
          <w:szCs w:val="18"/>
        </w:rPr>
        <w:t>those found in the International Bill of Rights, International Covenant on Economic, Social and Cultural Rights, International Convention on the Elimination of All Forms of Racial Discrimination, International Covenant on Civil and Political Rights, Guiding Principles on Business and Human Rights, United Nations Declaration on Human Rights Defenders, United Nations Declaration on the Rights of Peasants and Other People Working in Rural Areas, United Nations Convention on the Elimination of All Forms of Discrimination against Women, and United Nations Core Human Rights Principles for Private Conservation Organizations and Funders.</w:t>
      </w:r>
    </w:p>
  </w:footnote>
  <w:footnote w:id="4">
    <w:p w14:paraId="3AB07936" w14:textId="583965E9" w:rsidR="00152190" w:rsidRPr="001F6EC4" w:rsidRDefault="00152190">
      <w:pPr>
        <w:pStyle w:val="FootnoteText"/>
        <w:rPr>
          <w:sz w:val="18"/>
          <w:szCs w:val="18"/>
        </w:rPr>
      </w:pPr>
      <w:r w:rsidRPr="001F6EC4">
        <w:rPr>
          <w:rStyle w:val="FootnoteReference"/>
          <w:sz w:val="18"/>
          <w:szCs w:val="18"/>
        </w:rPr>
        <w:footnoteRef/>
      </w:r>
      <w:r w:rsidRPr="001F6EC4">
        <w:rPr>
          <w:sz w:val="18"/>
          <w:szCs w:val="18"/>
        </w:rPr>
        <w:t xml:space="preserve"> </w:t>
      </w:r>
      <w:r w:rsidR="00616926" w:rsidRPr="001F6EC4">
        <w:rPr>
          <w:sz w:val="18"/>
          <w:szCs w:val="18"/>
        </w:rPr>
        <w:t>In line with the GFCR Gender Policy</w:t>
      </w:r>
      <w:r w:rsidR="00DC037D">
        <w:rPr>
          <w:sz w:val="18"/>
          <w:szCs w:val="18"/>
        </w:rPr>
        <w:t xml:space="preserve"> (2022)</w:t>
      </w:r>
      <w:r w:rsidR="00616926" w:rsidRPr="001F6EC4">
        <w:rPr>
          <w:sz w:val="18"/>
          <w:szCs w:val="18"/>
        </w:rPr>
        <w:t xml:space="preserve">, the term </w:t>
      </w:r>
      <w:r w:rsidR="005550E0" w:rsidRPr="001F6EC4">
        <w:rPr>
          <w:sz w:val="18"/>
          <w:szCs w:val="18"/>
        </w:rPr>
        <w:t>“</w:t>
      </w:r>
      <w:r w:rsidR="00616926" w:rsidRPr="001F6EC4">
        <w:rPr>
          <w:sz w:val="18"/>
          <w:szCs w:val="18"/>
        </w:rPr>
        <w:t>women and men</w:t>
      </w:r>
      <w:r w:rsidR="005550E0" w:rsidRPr="001F6EC4">
        <w:rPr>
          <w:sz w:val="18"/>
          <w:szCs w:val="18"/>
        </w:rPr>
        <w:t>”</w:t>
      </w:r>
      <w:r w:rsidR="00616926" w:rsidRPr="001F6EC4">
        <w:rPr>
          <w:sz w:val="18"/>
          <w:szCs w:val="18"/>
        </w:rPr>
        <w:t xml:space="preserve"> in this policy document is a </w:t>
      </w:r>
      <w:r w:rsidR="005550E0" w:rsidRPr="001F6EC4">
        <w:rPr>
          <w:sz w:val="18"/>
          <w:szCs w:val="18"/>
        </w:rPr>
        <w:t>short version of “women and men from different ages and backgrounds including sexual orientation and gender identity, ethnicity, religion, ability, etc.”</w:t>
      </w:r>
    </w:p>
  </w:footnote>
  <w:footnote w:id="5">
    <w:p w14:paraId="1AA3E5D5" w14:textId="77777777" w:rsidR="00710B47" w:rsidRDefault="00710B47" w:rsidP="00710B47">
      <w:pPr>
        <w:pStyle w:val="FootnoteText"/>
      </w:pPr>
      <w:r w:rsidRPr="001F6EC4">
        <w:rPr>
          <w:rStyle w:val="FootnoteReference"/>
          <w:sz w:val="18"/>
          <w:szCs w:val="18"/>
        </w:rPr>
        <w:footnoteRef/>
      </w:r>
      <w:r w:rsidRPr="001F6EC4">
        <w:rPr>
          <w:sz w:val="18"/>
          <w:szCs w:val="18"/>
        </w:rPr>
        <w:t xml:space="preserve"> According to the GFCR Gender Policy (2022).</w:t>
      </w:r>
    </w:p>
  </w:footnote>
  <w:footnote w:id="6">
    <w:p w14:paraId="79BF6157" w14:textId="72D0B9E2" w:rsidR="00050677" w:rsidRPr="003F61DF" w:rsidRDefault="00050677">
      <w:pPr>
        <w:pStyle w:val="FootnoteText"/>
        <w:rPr>
          <w:sz w:val="18"/>
          <w:szCs w:val="18"/>
        </w:rPr>
      </w:pPr>
      <w:r w:rsidRPr="003F61DF">
        <w:rPr>
          <w:rStyle w:val="FootnoteReference"/>
          <w:sz w:val="18"/>
          <w:szCs w:val="18"/>
        </w:rPr>
        <w:footnoteRef/>
      </w:r>
      <w:r w:rsidRPr="003F61DF">
        <w:rPr>
          <w:sz w:val="18"/>
          <w:szCs w:val="18"/>
        </w:rPr>
        <w:t xml:space="preserve"> </w:t>
      </w:r>
      <w:r w:rsidR="003F61DF">
        <w:rPr>
          <w:sz w:val="18"/>
          <w:szCs w:val="18"/>
        </w:rPr>
        <w:t>Re</w:t>
      </w:r>
      <w:r w:rsidR="00EB328C">
        <w:rPr>
          <w:sz w:val="18"/>
          <w:szCs w:val="18"/>
        </w:rPr>
        <w:t xml:space="preserve">ference: </w:t>
      </w:r>
      <w:r w:rsidR="0016092A" w:rsidRPr="003F61DF">
        <w:rPr>
          <w:sz w:val="18"/>
          <w:szCs w:val="18"/>
        </w:rPr>
        <w:t xml:space="preserve"> </w:t>
      </w:r>
      <w:hyperlink r:id="rId1" w:history="1">
        <w:r w:rsidR="0016092A" w:rsidRPr="003F61DF">
          <w:rPr>
            <w:rStyle w:val="Hyperlink"/>
            <w:sz w:val="18"/>
            <w:szCs w:val="18"/>
          </w:rPr>
          <w:t>UNDP Social and Environmental Standards Guidance Note on Stakeholder Engagement</w:t>
        </w:r>
      </w:hyperlink>
      <w:r w:rsidR="00250FA1" w:rsidRPr="003F61DF">
        <w:rPr>
          <w:sz w:val="18"/>
          <w:szCs w:val="18"/>
        </w:rPr>
        <w:t xml:space="preserve"> (2017), p</w:t>
      </w:r>
      <w:r w:rsidR="0016092A" w:rsidRPr="003F61DF">
        <w:rPr>
          <w:sz w:val="18"/>
          <w:szCs w:val="18"/>
        </w:rPr>
        <w:t>. 12</w:t>
      </w:r>
      <w:r w:rsidR="00250FA1" w:rsidRPr="003F61DF">
        <w:rPr>
          <w:sz w:val="18"/>
          <w:szCs w:val="18"/>
        </w:rPr>
        <w:t>.</w:t>
      </w:r>
    </w:p>
  </w:footnote>
  <w:footnote w:id="7">
    <w:p w14:paraId="0A8D96D1" w14:textId="78E28B6A" w:rsidR="008F37A9" w:rsidRPr="003F61DF" w:rsidRDefault="008F37A9">
      <w:pPr>
        <w:pStyle w:val="FootnoteText"/>
        <w:rPr>
          <w:sz w:val="18"/>
          <w:szCs w:val="18"/>
        </w:rPr>
      </w:pPr>
      <w:r w:rsidRPr="003F61DF">
        <w:rPr>
          <w:rStyle w:val="FootnoteReference"/>
          <w:sz w:val="18"/>
          <w:szCs w:val="18"/>
        </w:rPr>
        <w:footnoteRef/>
      </w:r>
      <w:r w:rsidRPr="003F61DF">
        <w:rPr>
          <w:sz w:val="18"/>
          <w:szCs w:val="18"/>
        </w:rPr>
        <w:t xml:space="preserve"> Including the International Bill of Rights, International Covenant on Economic, Social and Cultural Rights, International Convention on the Elimination of All Forms of Racial Discrimination, International Covenant on Civil and Political Rights, Guiding Principles on Business and Human Rights, United Nations Declaration on Human Rights Defenders, United Nations Declaration on the Rights of Peasants and Other People Working in Rural Areas, </w:t>
      </w:r>
      <w:r w:rsidR="00230F87" w:rsidRPr="003F61DF">
        <w:rPr>
          <w:sz w:val="18"/>
          <w:szCs w:val="18"/>
        </w:rPr>
        <w:t xml:space="preserve">United Nations </w:t>
      </w:r>
      <w:r w:rsidR="00D77C2A" w:rsidRPr="003F61DF">
        <w:rPr>
          <w:sz w:val="18"/>
          <w:szCs w:val="18"/>
        </w:rPr>
        <w:t>Convention on the Elimination of All Forms of Discrimination against Women</w:t>
      </w:r>
      <w:r w:rsidR="00230F87" w:rsidRPr="003F61DF">
        <w:rPr>
          <w:sz w:val="18"/>
          <w:szCs w:val="18"/>
        </w:rPr>
        <w:t xml:space="preserve">, </w:t>
      </w:r>
      <w:r w:rsidRPr="003F61DF">
        <w:rPr>
          <w:sz w:val="18"/>
          <w:szCs w:val="18"/>
        </w:rPr>
        <w:t>and United Nations Core Human Rights Principles for Private Conservation Organizations and Funders.</w:t>
      </w:r>
    </w:p>
  </w:footnote>
  <w:footnote w:id="8">
    <w:p w14:paraId="67DA47EB" w14:textId="77777777" w:rsidR="00F97D4F" w:rsidRDefault="00F97D4F" w:rsidP="00F97D4F">
      <w:pPr>
        <w:pStyle w:val="FootnoteText"/>
      </w:pPr>
      <w:r w:rsidRPr="003F61DF">
        <w:rPr>
          <w:rStyle w:val="FootnoteReference"/>
          <w:sz w:val="18"/>
          <w:szCs w:val="18"/>
        </w:rPr>
        <w:footnoteRef/>
      </w:r>
      <w:r w:rsidRPr="003F61DF">
        <w:rPr>
          <w:sz w:val="18"/>
          <w:szCs w:val="18"/>
        </w:rPr>
        <w:t xml:space="preserve"> For details on FPIC, refer to the GFCR Indigenous Peoples Policy (2024).</w:t>
      </w:r>
    </w:p>
  </w:footnote>
  <w:footnote w:id="9">
    <w:p w14:paraId="5172751C" w14:textId="2485374F" w:rsidR="0012236E" w:rsidRPr="009036B8" w:rsidRDefault="0012236E">
      <w:pPr>
        <w:pStyle w:val="FootnoteText"/>
        <w:rPr>
          <w:sz w:val="18"/>
          <w:szCs w:val="18"/>
        </w:rPr>
      </w:pPr>
      <w:r w:rsidRPr="009036B8">
        <w:rPr>
          <w:rStyle w:val="FootnoteReference"/>
          <w:sz w:val="18"/>
          <w:szCs w:val="18"/>
        </w:rPr>
        <w:footnoteRef/>
      </w:r>
      <w:r w:rsidRPr="009036B8">
        <w:rPr>
          <w:sz w:val="18"/>
          <w:szCs w:val="18"/>
        </w:rPr>
        <w:t xml:space="preserve"> For </w:t>
      </w:r>
      <w:r w:rsidR="009233FA" w:rsidRPr="009036B8">
        <w:rPr>
          <w:sz w:val="18"/>
          <w:szCs w:val="18"/>
        </w:rPr>
        <w:t>guidance</w:t>
      </w:r>
      <w:r w:rsidRPr="009036B8">
        <w:rPr>
          <w:sz w:val="18"/>
          <w:szCs w:val="18"/>
        </w:rPr>
        <w:t xml:space="preserve"> </w:t>
      </w:r>
      <w:r w:rsidR="0060295A" w:rsidRPr="009036B8">
        <w:rPr>
          <w:sz w:val="18"/>
          <w:szCs w:val="18"/>
        </w:rPr>
        <w:t xml:space="preserve">on </w:t>
      </w:r>
      <w:r w:rsidR="008024A1" w:rsidRPr="009036B8">
        <w:rPr>
          <w:sz w:val="18"/>
          <w:szCs w:val="18"/>
        </w:rPr>
        <w:t>the process for handling grievances</w:t>
      </w:r>
      <w:r w:rsidR="0060295A" w:rsidRPr="009036B8">
        <w:rPr>
          <w:sz w:val="18"/>
          <w:szCs w:val="18"/>
        </w:rPr>
        <w:t xml:space="preserve"> and </w:t>
      </w:r>
      <w:r w:rsidR="00760F93" w:rsidRPr="009036B8">
        <w:rPr>
          <w:sz w:val="18"/>
          <w:szCs w:val="18"/>
        </w:rPr>
        <w:t>designing an</w:t>
      </w:r>
      <w:r w:rsidR="0060295A" w:rsidRPr="009036B8">
        <w:rPr>
          <w:sz w:val="18"/>
          <w:szCs w:val="18"/>
        </w:rPr>
        <w:t xml:space="preserve"> efficient Grievance Redress Mechanism</w:t>
      </w:r>
      <w:r w:rsidRPr="009036B8">
        <w:rPr>
          <w:sz w:val="18"/>
          <w:szCs w:val="18"/>
        </w:rPr>
        <w:t>, refer to the GFCR Grievance Redress Mechanism Policy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42863" w14:textId="4E100094" w:rsidR="00420EA6" w:rsidRDefault="00086B66">
    <w:pPr>
      <w:pStyle w:val="Header"/>
    </w:pPr>
    <w:r>
      <w:rPr>
        <w:noProof/>
      </w:rPr>
      <w:pict w14:anchorId="56F309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534285" o:spid="_x0000_s1027" type="#_x0000_t136" alt="" style="position:absolute;left:0;text-align:left;margin-left:0;margin-top:0;width:442.55pt;height:193.6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F5663" w14:textId="7BB67E62" w:rsidR="00420EA6" w:rsidRDefault="00086B66">
    <w:pPr>
      <w:pStyle w:val="Header"/>
    </w:pPr>
    <w:r>
      <w:rPr>
        <w:noProof/>
      </w:rPr>
      <w:pict w14:anchorId="231B62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534286" o:spid="_x0000_s1026" type="#_x0000_t136" alt="" style="position:absolute;left:0;text-align:left;margin-left:0;margin-top:0;width:442.55pt;height:193.6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218B3" w14:textId="60645272" w:rsidR="00420EA6" w:rsidRDefault="00086B66">
    <w:pPr>
      <w:pStyle w:val="Header"/>
    </w:pPr>
    <w:r>
      <w:rPr>
        <w:noProof/>
      </w:rPr>
      <w:pict w14:anchorId="03BBC1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534284" o:spid="_x0000_s1025" type="#_x0000_t136" alt="" style="position:absolute;left:0;text-align:left;margin-left:0;margin-top:0;width:442.55pt;height:193.6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05EF0"/>
    <w:multiLevelType w:val="hybridMultilevel"/>
    <w:tmpl w:val="C17C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E603B0"/>
    <w:multiLevelType w:val="hybridMultilevel"/>
    <w:tmpl w:val="722EF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C6E4F"/>
    <w:multiLevelType w:val="hybridMultilevel"/>
    <w:tmpl w:val="5DA6FD96"/>
    <w:lvl w:ilvl="0" w:tplc="502ADCB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1C36C1"/>
    <w:multiLevelType w:val="hybridMultilevel"/>
    <w:tmpl w:val="87786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B170C"/>
    <w:multiLevelType w:val="hybridMultilevel"/>
    <w:tmpl w:val="B0A4FC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9D1140"/>
    <w:multiLevelType w:val="hybridMultilevel"/>
    <w:tmpl w:val="CF76729E"/>
    <w:lvl w:ilvl="0" w:tplc="502ADCB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D97CDA"/>
    <w:multiLevelType w:val="hybridMultilevel"/>
    <w:tmpl w:val="29D89A3E"/>
    <w:lvl w:ilvl="0" w:tplc="502ADCB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E93DB3"/>
    <w:multiLevelType w:val="hybridMultilevel"/>
    <w:tmpl w:val="D58E3CDA"/>
    <w:lvl w:ilvl="0" w:tplc="502ADCBC">
      <w:numFmt w:val="bullet"/>
      <w:lvlText w:val="•"/>
      <w:lvlJc w:val="left"/>
      <w:pPr>
        <w:ind w:left="720" w:hanging="360"/>
      </w:pPr>
      <w:rPr>
        <w:rFonts w:ascii="Aptos" w:eastAsiaTheme="minorHAnsi" w:hAnsi="Aptos"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F5217C"/>
    <w:multiLevelType w:val="hybridMultilevel"/>
    <w:tmpl w:val="8F1C9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D10DEB"/>
    <w:multiLevelType w:val="hybridMultilevel"/>
    <w:tmpl w:val="5874D3AC"/>
    <w:lvl w:ilvl="0" w:tplc="502ADCB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FC6788"/>
    <w:multiLevelType w:val="hybridMultilevel"/>
    <w:tmpl w:val="F5B82C3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60538F8"/>
    <w:multiLevelType w:val="hybridMultilevel"/>
    <w:tmpl w:val="616829E2"/>
    <w:lvl w:ilvl="0" w:tplc="502ADCB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187EEA"/>
    <w:multiLevelType w:val="hybridMultilevel"/>
    <w:tmpl w:val="5F1AF9AA"/>
    <w:lvl w:ilvl="0" w:tplc="0809000F">
      <w:start w:val="1"/>
      <w:numFmt w:val="decimal"/>
      <w:lvlText w:val="%1."/>
      <w:lvlJc w:val="left"/>
      <w:pPr>
        <w:ind w:left="720" w:hanging="360"/>
      </w:pPr>
      <w:rPr>
        <w:rFonts w:hint="default"/>
      </w:rPr>
    </w:lvl>
    <w:lvl w:ilvl="1" w:tplc="8F1ED346">
      <w:start w:val="1"/>
      <w:numFmt w:val="decimal"/>
      <w:lvlText w:val="%2."/>
      <w:lvlJc w:val="left"/>
      <w:pPr>
        <w:ind w:left="1440" w:hanging="360"/>
      </w:pPr>
      <w:rPr>
        <w:rFonts w:asciiTheme="minorHAnsi" w:eastAsiaTheme="minorHAnsi" w:hAnsiTheme="minorHAnsi" w:cstheme="minorBidi"/>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C442AE"/>
    <w:multiLevelType w:val="hybridMultilevel"/>
    <w:tmpl w:val="9FFAE6AA"/>
    <w:lvl w:ilvl="0" w:tplc="502ADCB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D04A4A"/>
    <w:multiLevelType w:val="hybridMultilevel"/>
    <w:tmpl w:val="8B4C6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497A11"/>
    <w:multiLevelType w:val="hybridMultilevel"/>
    <w:tmpl w:val="51E05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4933E1"/>
    <w:multiLevelType w:val="hybridMultilevel"/>
    <w:tmpl w:val="32820910"/>
    <w:lvl w:ilvl="0" w:tplc="5D0297B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580F12"/>
    <w:multiLevelType w:val="hybridMultilevel"/>
    <w:tmpl w:val="A7ACF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8B2055"/>
    <w:multiLevelType w:val="hybridMultilevel"/>
    <w:tmpl w:val="03FC3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015319"/>
    <w:multiLevelType w:val="hybridMultilevel"/>
    <w:tmpl w:val="5776E64A"/>
    <w:lvl w:ilvl="0" w:tplc="502ADCB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0F0304"/>
    <w:multiLevelType w:val="hybridMultilevel"/>
    <w:tmpl w:val="CEBCA8C0"/>
    <w:lvl w:ilvl="0" w:tplc="502ADCB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4447E5"/>
    <w:multiLevelType w:val="hybridMultilevel"/>
    <w:tmpl w:val="A7168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BF6C71"/>
    <w:multiLevelType w:val="hybridMultilevel"/>
    <w:tmpl w:val="19AAE154"/>
    <w:lvl w:ilvl="0" w:tplc="502ADCB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3B0B87"/>
    <w:multiLevelType w:val="hybridMultilevel"/>
    <w:tmpl w:val="D5BC07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E54CC8"/>
    <w:multiLevelType w:val="hybridMultilevel"/>
    <w:tmpl w:val="98D6BA84"/>
    <w:lvl w:ilvl="0" w:tplc="502ADCB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8D1C71"/>
    <w:multiLevelType w:val="hybridMultilevel"/>
    <w:tmpl w:val="B5F86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BD75E0"/>
    <w:multiLevelType w:val="hybridMultilevel"/>
    <w:tmpl w:val="D36C9810"/>
    <w:lvl w:ilvl="0" w:tplc="502ADCB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D93D17"/>
    <w:multiLevelType w:val="hybridMultilevel"/>
    <w:tmpl w:val="D08038DE"/>
    <w:lvl w:ilvl="0" w:tplc="502ADCB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226D9A"/>
    <w:multiLevelType w:val="hybridMultilevel"/>
    <w:tmpl w:val="F5962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23C4290"/>
    <w:multiLevelType w:val="hybridMultilevel"/>
    <w:tmpl w:val="7F14B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3068EC"/>
    <w:multiLevelType w:val="hybridMultilevel"/>
    <w:tmpl w:val="EF285272"/>
    <w:lvl w:ilvl="0" w:tplc="502ADCB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461C39"/>
    <w:multiLevelType w:val="hybridMultilevel"/>
    <w:tmpl w:val="C8144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3160954">
    <w:abstractNumId w:val="12"/>
  </w:num>
  <w:num w:numId="2" w16cid:durableId="1988242160">
    <w:abstractNumId w:val="29"/>
  </w:num>
  <w:num w:numId="3" w16cid:durableId="1529290637">
    <w:abstractNumId w:val="16"/>
  </w:num>
  <w:num w:numId="4" w16cid:durableId="1933052436">
    <w:abstractNumId w:val="10"/>
  </w:num>
  <w:num w:numId="5" w16cid:durableId="1251506616">
    <w:abstractNumId w:val="25"/>
  </w:num>
  <w:num w:numId="6" w16cid:durableId="520434769">
    <w:abstractNumId w:val="15"/>
  </w:num>
  <w:num w:numId="7" w16cid:durableId="269511343">
    <w:abstractNumId w:val="1"/>
  </w:num>
  <w:num w:numId="8" w16cid:durableId="2136368536">
    <w:abstractNumId w:val="14"/>
  </w:num>
  <w:num w:numId="9" w16cid:durableId="1352609704">
    <w:abstractNumId w:val="28"/>
  </w:num>
  <w:num w:numId="10" w16cid:durableId="1991982243">
    <w:abstractNumId w:val="0"/>
  </w:num>
  <w:num w:numId="11" w16cid:durableId="1410611283">
    <w:abstractNumId w:val="3"/>
  </w:num>
  <w:num w:numId="12" w16cid:durableId="1496531371">
    <w:abstractNumId w:val="31"/>
  </w:num>
  <w:num w:numId="13" w16cid:durableId="1831827828">
    <w:abstractNumId w:val="17"/>
  </w:num>
  <w:num w:numId="14" w16cid:durableId="2053922262">
    <w:abstractNumId w:val="8"/>
  </w:num>
  <w:num w:numId="15" w16cid:durableId="851383241">
    <w:abstractNumId w:val="18"/>
  </w:num>
  <w:num w:numId="16" w16cid:durableId="530458487">
    <w:abstractNumId w:val="21"/>
  </w:num>
  <w:num w:numId="17" w16cid:durableId="1196506323">
    <w:abstractNumId w:val="5"/>
  </w:num>
  <w:num w:numId="18" w16cid:durableId="1739553943">
    <w:abstractNumId w:val="2"/>
  </w:num>
  <w:num w:numId="19" w16cid:durableId="736782316">
    <w:abstractNumId w:val="6"/>
  </w:num>
  <w:num w:numId="20" w16cid:durableId="1420561093">
    <w:abstractNumId w:val="27"/>
  </w:num>
  <w:num w:numId="21" w16cid:durableId="242036610">
    <w:abstractNumId w:val="19"/>
  </w:num>
  <w:num w:numId="22" w16cid:durableId="675183468">
    <w:abstractNumId w:val="13"/>
  </w:num>
  <w:num w:numId="23" w16cid:durableId="1977638995">
    <w:abstractNumId w:val="9"/>
  </w:num>
  <w:num w:numId="24" w16cid:durableId="481586402">
    <w:abstractNumId w:val="30"/>
  </w:num>
  <w:num w:numId="25" w16cid:durableId="1376150883">
    <w:abstractNumId w:val="26"/>
  </w:num>
  <w:num w:numId="26" w16cid:durableId="151340250">
    <w:abstractNumId w:val="11"/>
  </w:num>
  <w:num w:numId="27" w16cid:durableId="149713692">
    <w:abstractNumId w:val="24"/>
  </w:num>
  <w:num w:numId="28" w16cid:durableId="1978559613">
    <w:abstractNumId w:val="20"/>
  </w:num>
  <w:num w:numId="29" w16cid:durableId="695888968">
    <w:abstractNumId w:val="23"/>
  </w:num>
  <w:num w:numId="30" w16cid:durableId="1624576443">
    <w:abstractNumId w:val="4"/>
  </w:num>
  <w:num w:numId="31" w16cid:durableId="957879019">
    <w:abstractNumId w:val="7"/>
  </w:num>
  <w:num w:numId="32" w16cid:durableId="23436698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5DF"/>
    <w:rsid w:val="0000129D"/>
    <w:rsid w:val="000015F5"/>
    <w:rsid w:val="00001834"/>
    <w:rsid w:val="00015B83"/>
    <w:rsid w:val="000161EE"/>
    <w:rsid w:val="0003104E"/>
    <w:rsid w:val="000314BD"/>
    <w:rsid w:val="00031D25"/>
    <w:rsid w:val="00037F2D"/>
    <w:rsid w:val="00044601"/>
    <w:rsid w:val="000448FA"/>
    <w:rsid w:val="00045950"/>
    <w:rsid w:val="00050677"/>
    <w:rsid w:val="000533DF"/>
    <w:rsid w:val="00054D2E"/>
    <w:rsid w:val="00060C7F"/>
    <w:rsid w:val="00076DCD"/>
    <w:rsid w:val="000853A3"/>
    <w:rsid w:val="00086B66"/>
    <w:rsid w:val="00086F4C"/>
    <w:rsid w:val="00091E84"/>
    <w:rsid w:val="000A2191"/>
    <w:rsid w:val="000B0BD8"/>
    <w:rsid w:val="000B4F56"/>
    <w:rsid w:val="000C7103"/>
    <w:rsid w:val="000E2190"/>
    <w:rsid w:val="000E3220"/>
    <w:rsid w:val="000E5B4A"/>
    <w:rsid w:val="000E6B67"/>
    <w:rsid w:val="000F1B4B"/>
    <w:rsid w:val="000F2323"/>
    <w:rsid w:val="000F72EB"/>
    <w:rsid w:val="00114BF9"/>
    <w:rsid w:val="00115897"/>
    <w:rsid w:val="00121DDF"/>
    <w:rsid w:val="0012236E"/>
    <w:rsid w:val="00127AD7"/>
    <w:rsid w:val="00132146"/>
    <w:rsid w:val="0013790B"/>
    <w:rsid w:val="00137FD1"/>
    <w:rsid w:val="0014175E"/>
    <w:rsid w:val="00147082"/>
    <w:rsid w:val="00152190"/>
    <w:rsid w:val="00152663"/>
    <w:rsid w:val="001546F4"/>
    <w:rsid w:val="00154815"/>
    <w:rsid w:val="00154AF0"/>
    <w:rsid w:val="0016092A"/>
    <w:rsid w:val="00162547"/>
    <w:rsid w:val="001634C0"/>
    <w:rsid w:val="001718A7"/>
    <w:rsid w:val="001774CD"/>
    <w:rsid w:val="00185377"/>
    <w:rsid w:val="00187F04"/>
    <w:rsid w:val="0019082B"/>
    <w:rsid w:val="00190A4B"/>
    <w:rsid w:val="00194B2A"/>
    <w:rsid w:val="00195574"/>
    <w:rsid w:val="00197A8A"/>
    <w:rsid w:val="001A0FAF"/>
    <w:rsid w:val="001A1AF8"/>
    <w:rsid w:val="001B11A2"/>
    <w:rsid w:val="001B39A4"/>
    <w:rsid w:val="001B4137"/>
    <w:rsid w:val="001B5056"/>
    <w:rsid w:val="001B70E9"/>
    <w:rsid w:val="001C1090"/>
    <w:rsid w:val="001C3893"/>
    <w:rsid w:val="001E397E"/>
    <w:rsid w:val="001E46CD"/>
    <w:rsid w:val="001F2970"/>
    <w:rsid w:val="001F2B3B"/>
    <w:rsid w:val="001F6EC4"/>
    <w:rsid w:val="00205E56"/>
    <w:rsid w:val="00211BAF"/>
    <w:rsid w:val="00215030"/>
    <w:rsid w:val="0022296A"/>
    <w:rsid w:val="002250A6"/>
    <w:rsid w:val="002257F6"/>
    <w:rsid w:val="0022665B"/>
    <w:rsid w:val="00230F87"/>
    <w:rsid w:val="0023586F"/>
    <w:rsid w:val="00240F62"/>
    <w:rsid w:val="002466AE"/>
    <w:rsid w:val="00247A2B"/>
    <w:rsid w:val="00250747"/>
    <w:rsid w:val="00250FA1"/>
    <w:rsid w:val="00251A0E"/>
    <w:rsid w:val="00271DD1"/>
    <w:rsid w:val="002723C2"/>
    <w:rsid w:val="00272A3C"/>
    <w:rsid w:val="00281528"/>
    <w:rsid w:val="0028312A"/>
    <w:rsid w:val="00285CEA"/>
    <w:rsid w:val="002A184E"/>
    <w:rsid w:val="002B4D91"/>
    <w:rsid w:val="002B7E1B"/>
    <w:rsid w:val="002C0527"/>
    <w:rsid w:val="002C5D39"/>
    <w:rsid w:val="002D2A3C"/>
    <w:rsid w:val="002E19CD"/>
    <w:rsid w:val="002F1533"/>
    <w:rsid w:val="002F3D89"/>
    <w:rsid w:val="002F5304"/>
    <w:rsid w:val="0032489B"/>
    <w:rsid w:val="00332432"/>
    <w:rsid w:val="00334783"/>
    <w:rsid w:val="003501AF"/>
    <w:rsid w:val="00350CC3"/>
    <w:rsid w:val="00351972"/>
    <w:rsid w:val="00353B51"/>
    <w:rsid w:val="00357F5F"/>
    <w:rsid w:val="00375EEC"/>
    <w:rsid w:val="003829D1"/>
    <w:rsid w:val="00392173"/>
    <w:rsid w:val="003A2867"/>
    <w:rsid w:val="003A2BD1"/>
    <w:rsid w:val="003C05F7"/>
    <w:rsid w:val="003C636D"/>
    <w:rsid w:val="003C6AAD"/>
    <w:rsid w:val="003C7DDC"/>
    <w:rsid w:val="003D7401"/>
    <w:rsid w:val="003E2268"/>
    <w:rsid w:val="003E5110"/>
    <w:rsid w:val="003E57BD"/>
    <w:rsid w:val="003F2EA2"/>
    <w:rsid w:val="003F61DF"/>
    <w:rsid w:val="003F7A2D"/>
    <w:rsid w:val="0040103B"/>
    <w:rsid w:val="0041739E"/>
    <w:rsid w:val="00420EA6"/>
    <w:rsid w:val="004334C1"/>
    <w:rsid w:val="004348F6"/>
    <w:rsid w:val="00436398"/>
    <w:rsid w:val="004375AE"/>
    <w:rsid w:val="00440179"/>
    <w:rsid w:val="004414C1"/>
    <w:rsid w:val="00443734"/>
    <w:rsid w:val="00446DD8"/>
    <w:rsid w:val="0045045A"/>
    <w:rsid w:val="00452CE7"/>
    <w:rsid w:val="00456491"/>
    <w:rsid w:val="0048077D"/>
    <w:rsid w:val="004952FC"/>
    <w:rsid w:val="00496ED5"/>
    <w:rsid w:val="004A0B46"/>
    <w:rsid w:val="004A451D"/>
    <w:rsid w:val="004B26F6"/>
    <w:rsid w:val="004B68BA"/>
    <w:rsid w:val="004C146E"/>
    <w:rsid w:val="004C2B58"/>
    <w:rsid w:val="004D5821"/>
    <w:rsid w:val="004E1DE4"/>
    <w:rsid w:val="004E2AFC"/>
    <w:rsid w:val="005074FA"/>
    <w:rsid w:val="00511597"/>
    <w:rsid w:val="00513F9B"/>
    <w:rsid w:val="005161E3"/>
    <w:rsid w:val="00524B1E"/>
    <w:rsid w:val="005272D7"/>
    <w:rsid w:val="00531FC1"/>
    <w:rsid w:val="00542E5E"/>
    <w:rsid w:val="005455FC"/>
    <w:rsid w:val="00551B96"/>
    <w:rsid w:val="005550E0"/>
    <w:rsid w:val="0056340C"/>
    <w:rsid w:val="00567DCB"/>
    <w:rsid w:val="005746A7"/>
    <w:rsid w:val="005805B2"/>
    <w:rsid w:val="00587591"/>
    <w:rsid w:val="00595339"/>
    <w:rsid w:val="0059645E"/>
    <w:rsid w:val="005A1A31"/>
    <w:rsid w:val="005B0B89"/>
    <w:rsid w:val="005B58C0"/>
    <w:rsid w:val="005B6F07"/>
    <w:rsid w:val="005C0A8B"/>
    <w:rsid w:val="005C586E"/>
    <w:rsid w:val="005C6D84"/>
    <w:rsid w:val="005D20A2"/>
    <w:rsid w:val="005F6B93"/>
    <w:rsid w:val="0060295A"/>
    <w:rsid w:val="006079FF"/>
    <w:rsid w:val="0061267C"/>
    <w:rsid w:val="00616926"/>
    <w:rsid w:val="006207EA"/>
    <w:rsid w:val="00621D47"/>
    <w:rsid w:val="006370BD"/>
    <w:rsid w:val="00646D12"/>
    <w:rsid w:val="00662308"/>
    <w:rsid w:val="006653A5"/>
    <w:rsid w:val="00674400"/>
    <w:rsid w:val="006776B4"/>
    <w:rsid w:val="0069166A"/>
    <w:rsid w:val="006A2307"/>
    <w:rsid w:val="006A4AB9"/>
    <w:rsid w:val="006A5BC9"/>
    <w:rsid w:val="006A7566"/>
    <w:rsid w:val="006B0BE0"/>
    <w:rsid w:val="006B438D"/>
    <w:rsid w:val="006B4E44"/>
    <w:rsid w:val="006C1DAD"/>
    <w:rsid w:val="006C4360"/>
    <w:rsid w:val="006C6BF0"/>
    <w:rsid w:val="006C6E16"/>
    <w:rsid w:val="006C7811"/>
    <w:rsid w:val="006D5F47"/>
    <w:rsid w:val="006E1DEB"/>
    <w:rsid w:val="006E5877"/>
    <w:rsid w:val="006E5BC9"/>
    <w:rsid w:val="006F2793"/>
    <w:rsid w:val="00702B00"/>
    <w:rsid w:val="00710B47"/>
    <w:rsid w:val="00712B87"/>
    <w:rsid w:val="00714DFC"/>
    <w:rsid w:val="00723FD2"/>
    <w:rsid w:val="007257DE"/>
    <w:rsid w:val="007325CD"/>
    <w:rsid w:val="00733477"/>
    <w:rsid w:val="007430AA"/>
    <w:rsid w:val="00743FA3"/>
    <w:rsid w:val="00744CE3"/>
    <w:rsid w:val="00754053"/>
    <w:rsid w:val="00755D47"/>
    <w:rsid w:val="00760F93"/>
    <w:rsid w:val="0077055C"/>
    <w:rsid w:val="00771001"/>
    <w:rsid w:val="00771A95"/>
    <w:rsid w:val="007838E0"/>
    <w:rsid w:val="00787153"/>
    <w:rsid w:val="0078755B"/>
    <w:rsid w:val="0079417D"/>
    <w:rsid w:val="007A5460"/>
    <w:rsid w:val="007B2FB9"/>
    <w:rsid w:val="007B4B0E"/>
    <w:rsid w:val="007C06A2"/>
    <w:rsid w:val="007C34A6"/>
    <w:rsid w:val="007C68C7"/>
    <w:rsid w:val="007D30F3"/>
    <w:rsid w:val="007E2384"/>
    <w:rsid w:val="007E3189"/>
    <w:rsid w:val="007E4C80"/>
    <w:rsid w:val="007E5FBB"/>
    <w:rsid w:val="007F275F"/>
    <w:rsid w:val="007F7E8F"/>
    <w:rsid w:val="008024A1"/>
    <w:rsid w:val="00810E0F"/>
    <w:rsid w:val="00815EC1"/>
    <w:rsid w:val="008169F1"/>
    <w:rsid w:val="0084282B"/>
    <w:rsid w:val="00845101"/>
    <w:rsid w:val="00850223"/>
    <w:rsid w:val="008502BB"/>
    <w:rsid w:val="008512CF"/>
    <w:rsid w:val="00854638"/>
    <w:rsid w:val="00854D0C"/>
    <w:rsid w:val="00855A1F"/>
    <w:rsid w:val="0086233D"/>
    <w:rsid w:val="008660DD"/>
    <w:rsid w:val="008704C5"/>
    <w:rsid w:val="00873146"/>
    <w:rsid w:val="00873609"/>
    <w:rsid w:val="00874E72"/>
    <w:rsid w:val="0087554B"/>
    <w:rsid w:val="00877022"/>
    <w:rsid w:val="008A0159"/>
    <w:rsid w:val="008A0381"/>
    <w:rsid w:val="008A4502"/>
    <w:rsid w:val="008A69D8"/>
    <w:rsid w:val="008A7D9C"/>
    <w:rsid w:val="008B3619"/>
    <w:rsid w:val="008C3380"/>
    <w:rsid w:val="008D038A"/>
    <w:rsid w:val="008D05BF"/>
    <w:rsid w:val="008E0301"/>
    <w:rsid w:val="008E33CD"/>
    <w:rsid w:val="008F37A9"/>
    <w:rsid w:val="008F4E73"/>
    <w:rsid w:val="00900970"/>
    <w:rsid w:val="00901468"/>
    <w:rsid w:val="009036B8"/>
    <w:rsid w:val="009126FE"/>
    <w:rsid w:val="00914164"/>
    <w:rsid w:val="00915777"/>
    <w:rsid w:val="009233FA"/>
    <w:rsid w:val="00931798"/>
    <w:rsid w:val="0093790A"/>
    <w:rsid w:val="00941627"/>
    <w:rsid w:val="00944FB2"/>
    <w:rsid w:val="00956776"/>
    <w:rsid w:val="00965ED0"/>
    <w:rsid w:val="00972390"/>
    <w:rsid w:val="00975DEA"/>
    <w:rsid w:val="00977DFA"/>
    <w:rsid w:val="00982065"/>
    <w:rsid w:val="009820F0"/>
    <w:rsid w:val="009831B2"/>
    <w:rsid w:val="00984FC2"/>
    <w:rsid w:val="00990053"/>
    <w:rsid w:val="00992155"/>
    <w:rsid w:val="0099340C"/>
    <w:rsid w:val="0099674A"/>
    <w:rsid w:val="009A6873"/>
    <w:rsid w:val="009B2CD8"/>
    <w:rsid w:val="009B51CC"/>
    <w:rsid w:val="009B614C"/>
    <w:rsid w:val="009C092F"/>
    <w:rsid w:val="009C0E77"/>
    <w:rsid w:val="009C2D12"/>
    <w:rsid w:val="009C3B33"/>
    <w:rsid w:val="009C56F4"/>
    <w:rsid w:val="009E2228"/>
    <w:rsid w:val="009E2454"/>
    <w:rsid w:val="009E5E1D"/>
    <w:rsid w:val="009F0409"/>
    <w:rsid w:val="009F470C"/>
    <w:rsid w:val="009F4AEB"/>
    <w:rsid w:val="00A0753B"/>
    <w:rsid w:val="00A10E7B"/>
    <w:rsid w:val="00A13B7E"/>
    <w:rsid w:val="00A143E6"/>
    <w:rsid w:val="00A204DC"/>
    <w:rsid w:val="00A2124A"/>
    <w:rsid w:val="00A31B41"/>
    <w:rsid w:val="00A515A6"/>
    <w:rsid w:val="00A549AD"/>
    <w:rsid w:val="00A8029F"/>
    <w:rsid w:val="00A80B31"/>
    <w:rsid w:val="00A86EF8"/>
    <w:rsid w:val="00A95470"/>
    <w:rsid w:val="00A97CC6"/>
    <w:rsid w:val="00AA141A"/>
    <w:rsid w:val="00AA1B74"/>
    <w:rsid w:val="00AB5944"/>
    <w:rsid w:val="00AD0282"/>
    <w:rsid w:val="00AE1FA0"/>
    <w:rsid w:val="00AF2698"/>
    <w:rsid w:val="00B01DA8"/>
    <w:rsid w:val="00B064EF"/>
    <w:rsid w:val="00B14E63"/>
    <w:rsid w:val="00B238D2"/>
    <w:rsid w:val="00B24C30"/>
    <w:rsid w:val="00B2604A"/>
    <w:rsid w:val="00B35A46"/>
    <w:rsid w:val="00B4090F"/>
    <w:rsid w:val="00B4163B"/>
    <w:rsid w:val="00B441BC"/>
    <w:rsid w:val="00B45433"/>
    <w:rsid w:val="00B4588E"/>
    <w:rsid w:val="00B47673"/>
    <w:rsid w:val="00B56014"/>
    <w:rsid w:val="00B67C59"/>
    <w:rsid w:val="00B73728"/>
    <w:rsid w:val="00B83118"/>
    <w:rsid w:val="00B9468C"/>
    <w:rsid w:val="00BA0C1F"/>
    <w:rsid w:val="00BA1AE8"/>
    <w:rsid w:val="00BA2174"/>
    <w:rsid w:val="00BA25FD"/>
    <w:rsid w:val="00BA7BF9"/>
    <w:rsid w:val="00BB4CF0"/>
    <w:rsid w:val="00BC1211"/>
    <w:rsid w:val="00BC3CDB"/>
    <w:rsid w:val="00BD616F"/>
    <w:rsid w:val="00BD7688"/>
    <w:rsid w:val="00BE16E4"/>
    <w:rsid w:val="00BE1A48"/>
    <w:rsid w:val="00BE5F90"/>
    <w:rsid w:val="00BF1913"/>
    <w:rsid w:val="00C03094"/>
    <w:rsid w:val="00C06B66"/>
    <w:rsid w:val="00C10235"/>
    <w:rsid w:val="00C11909"/>
    <w:rsid w:val="00C11AFF"/>
    <w:rsid w:val="00C13C3B"/>
    <w:rsid w:val="00C16ECC"/>
    <w:rsid w:val="00C22C1D"/>
    <w:rsid w:val="00C254CD"/>
    <w:rsid w:val="00C3713D"/>
    <w:rsid w:val="00C4299B"/>
    <w:rsid w:val="00C4703D"/>
    <w:rsid w:val="00C505DF"/>
    <w:rsid w:val="00C50702"/>
    <w:rsid w:val="00C543E9"/>
    <w:rsid w:val="00C6149C"/>
    <w:rsid w:val="00C75B82"/>
    <w:rsid w:val="00C80F71"/>
    <w:rsid w:val="00C810E4"/>
    <w:rsid w:val="00C8425B"/>
    <w:rsid w:val="00C87A22"/>
    <w:rsid w:val="00C87FC6"/>
    <w:rsid w:val="00C930E6"/>
    <w:rsid w:val="00C94912"/>
    <w:rsid w:val="00CA1074"/>
    <w:rsid w:val="00CA1A13"/>
    <w:rsid w:val="00CA5093"/>
    <w:rsid w:val="00CA51FE"/>
    <w:rsid w:val="00CB00A5"/>
    <w:rsid w:val="00CC0B55"/>
    <w:rsid w:val="00CC0E7A"/>
    <w:rsid w:val="00CC3ED8"/>
    <w:rsid w:val="00CD0C7F"/>
    <w:rsid w:val="00CD3DC4"/>
    <w:rsid w:val="00CD590B"/>
    <w:rsid w:val="00CD60DF"/>
    <w:rsid w:val="00CD6B5F"/>
    <w:rsid w:val="00CE4B7D"/>
    <w:rsid w:val="00CF4A2C"/>
    <w:rsid w:val="00CF4EBC"/>
    <w:rsid w:val="00D0045C"/>
    <w:rsid w:val="00D00CAB"/>
    <w:rsid w:val="00D04F86"/>
    <w:rsid w:val="00D16A5E"/>
    <w:rsid w:val="00D2045D"/>
    <w:rsid w:val="00D3116C"/>
    <w:rsid w:val="00D31398"/>
    <w:rsid w:val="00D43E36"/>
    <w:rsid w:val="00D447F9"/>
    <w:rsid w:val="00D45DC1"/>
    <w:rsid w:val="00D473B1"/>
    <w:rsid w:val="00D5094F"/>
    <w:rsid w:val="00D519DB"/>
    <w:rsid w:val="00D619AD"/>
    <w:rsid w:val="00D62BA3"/>
    <w:rsid w:val="00D64064"/>
    <w:rsid w:val="00D6670E"/>
    <w:rsid w:val="00D6782F"/>
    <w:rsid w:val="00D67A71"/>
    <w:rsid w:val="00D77C2A"/>
    <w:rsid w:val="00D83ED4"/>
    <w:rsid w:val="00D851E1"/>
    <w:rsid w:val="00D93802"/>
    <w:rsid w:val="00D94092"/>
    <w:rsid w:val="00D95E2A"/>
    <w:rsid w:val="00D96AC9"/>
    <w:rsid w:val="00DB65BF"/>
    <w:rsid w:val="00DC037D"/>
    <w:rsid w:val="00DC0ACC"/>
    <w:rsid w:val="00DC3793"/>
    <w:rsid w:val="00DC4E9C"/>
    <w:rsid w:val="00DD0A6F"/>
    <w:rsid w:val="00DD1922"/>
    <w:rsid w:val="00DD2278"/>
    <w:rsid w:val="00DD2A21"/>
    <w:rsid w:val="00DE518C"/>
    <w:rsid w:val="00DE6BDC"/>
    <w:rsid w:val="00DE74C6"/>
    <w:rsid w:val="00DE7E32"/>
    <w:rsid w:val="00DF269C"/>
    <w:rsid w:val="00DF4095"/>
    <w:rsid w:val="00DF4D57"/>
    <w:rsid w:val="00DF5261"/>
    <w:rsid w:val="00E031CE"/>
    <w:rsid w:val="00E25222"/>
    <w:rsid w:val="00E30661"/>
    <w:rsid w:val="00E35D63"/>
    <w:rsid w:val="00E35DF1"/>
    <w:rsid w:val="00E3780D"/>
    <w:rsid w:val="00E44825"/>
    <w:rsid w:val="00E673BB"/>
    <w:rsid w:val="00E821A5"/>
    <w:rsid w:val="00E839F8"/>
    <w:rsid w:val="00E860EF"/>
    <w:rsid w:val="00E91D2C"/>
    <w:rsid w:val="00E9730C"/>
    <w:rsid w:val="00EA5C01"/>
    <w:rsid w:val="00EA5F87"/>
    <w:rsid w:val="00EA7F1A"/>
    <w:rsid w:val="00EB0445"/>
    <w:rsid w:val="00EB328C"/>
    <w:rsid w:val="00EB7646"/>
    <w:rsid w:val="00EC056C"/>
    <w:rsid w:val="00EC12C4"/>
    <w:rsid w:val="00EC2183"/>
    <w:rsid w:val="00ED0A6B"/>
    <w:rsid w:val="00ED1DD1"/>
    <w:rsid w:val="00ED2F84"/>
    <w:rsid w:val="00EE23C8"/>
    <w:rsid w:val="00EE7C14"/>
    <w:rsid w:val="00F1087A"/>
    <w:rsid w:val="00F31019"/>
    <w:rsid w:val="00F33C5D"/>
    <w:rsid w:val="00F440B1"/>
    <w:rsid w:val="00F4581E"/>
    <w:rsid w:val="00F45E9F"/>
    <w:rsid w:val="00F45F34"/>
    <w:rsid w:val="00F4799C"/>
    <w:rsid w:val="00F52058"/>
    <w:rsid w:val="00F547D4"/>
    <w:rsid w:val="00F54F08"/>
    <w:rsid w:val="00F6002E"/>
    <w:rsid w:val="00F61D60"/>
    <w:rsid w:val="00F67C2A"/>
    <w:rsid w:val="00F84DF0"/>
    <w:rsid w:val="00F8511C"/>
    <w:rsid w:val="00F86229"/>
    <w:rsid w:val="00F9379B"/>
    <w:rsid w:val="00F938F6"/>
    <w:rsid w:val="00F96702"/>
    <w:rsid w:val="00F96797"/>
    <w:rsid w:val="00F970DE"/>
    <w:rsid w:val="00F97102"/>
    <w:rsid w:val="00F9727D"/>
    <w:rsid w:val="00F97D4F"/>
    <w:rsid w:val="00FC2169"/>
    <w:rsid w:val="00FC37F4"/>
    <w:rsid w:val="00FC6DB3"/>
    <w:rsid w:val="00FC7CD4"/>
    <w:rsid w:val="00FD0123"/>
    <w:rsid w:val="00FD4FD5"/>
    <w:rsid w:val="00FE04BB"/>
    <w:rsid w:val="00FE15AA"/>
    <w:rsid w:val="00FE2DEE"/>
    <w:rsid w:val="00FF25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7D66A"/>
  <w15:chartTrackingRefBased/>
  <w15:docId w15:val="{ED010C48-7AE7-4DD0-A32C-E6ED63E94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5DF"/>
    <w:pPr>
      <w:jc w:val="both"/>
    </w:pPr>
  </w:style>
  <w:style w:type="paragraph" w:styleId="Heading1">
    <w:name w:val="heading 1"/>
    <w:basedOn w:val="Normal"/>
    <w:next w:val="Normal"/>
    <w:link w:val="Heading1Char"/>
    <w:uiPriority w:val="9"/>
    <w:qFormat/>
    <w:rsid w:val="00C505DF"/>
    <w:pPr>
      <w:keepNext/>
      <w:keepLines/>
      <w:spacing w:before="360" w:after="80" w:line="360" w:lineRule="auto"/>
      <w:outlineLvl w:val="0"/>
    </w:pPr>
    <w:rPr>
      <w:rFonts w:asciiTheme="majorHAnsi" w:eastAsiaTheme="majorEastAsia" w:hAnsiTheme="majorHAnsi" w:cstheme="majorBidi"/>
      <w:b/>
      <w:bCs/>
      <w:color w:val="156082" w:themeColor="accent1"/>
      <w:sz w:val="28"/>
      <w:szCs w:val="28"/>
    </w:rPr>
  </w:style>
  <w:style w:type="paragraph" w:styleId="Heading2">
    <w:name w:val="heading 2"/>
    <w:basedOn w:val="Normal"/>
    <w:next w:val="Normal"/>
    <w:link w:val="Heading2Char"/>
    <w:uiPriority w:val="9"/>
    <w:unhideWhenUsed/>
    <w:qFormat/>
    <w:rsid w:val="00C505DF"/>
    <w:pPr>
      <w:keepNext/>
      <w:keepLines/>
      <w:spacing w:before="160" w:after="80" w:line="360" w:lineRule="auto"/>
      <w:outlineLvl w:val="1"/>
    </w:pPr>
    <w:rPr>
      <w:rFonts w:asciiTheme="majorHAnsi" w:eastAsiaTheme="majorEastAsia" w:hAnsiTheme="majorHAnsi" w:cstheme="majorBidi"/>
      <w:b/>
      <w:bCs/>
      <w:sz w:val="24"/>
      <w:szCs w:val="24"/>
    </w:rPr>
  </w:style>
  <w:style w:type="paragraph" w:styleId="Heading3">
    <w:name w:val="heading 3"/>
    <w:basedOn w:val="Normal"/>
    <w:next w:val="Normal"/>
    <w:link w:val="Heading3Char"/>
    <w:uiPriority w:val="9"/>
    <w:semiHidden/>
    <w:unhideWhenUsed/>
    <w:qFormat/>
    <w:rsid w:val="00C505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05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05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05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05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05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05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5DF"/>
    <w:rPr>
      <w:rFonts w:asciiTheme="majorHAnsi" w:eastAsiaTheme="majorEastAsia" w:hAnsiTheme="majorHAnsi" w:cstheme="majorBidi"/>
      <w:b/>
      <w:bCs/>
      <w:color w:val="156082" w:themeColor="accent1"/>
      <w:sz w:val="28"/>
      <w:szCs w:val="28"/>
    </w:rPr>
  </w:style>
  <w:style w:type="character" w:customStyle="1" w:styleId="Heading2Char">
    <w:name w:val="Heading 2 Char"/>
    <w:basedOn w:val="DefaultParagraphFont"/>
    <w:link w:val="Heading2"/>
    <w:uiPriority w:val="9"/>
    <w:rsid w:val="00C505DF"/>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semiHidden/>
    <w:rsid w:val="00C505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05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05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05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5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5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5DF"/>
    <w:rPr>
      <w:rFonts w:eastAsiaTheme="majorEastAsia" w:cstheme="majorBidi"/>
      <w:color w:val="272727" w:themeColor="text1" w:themeTint="D8"/>
    </w:rPr>
  </w:style>
  <w:style w:type="paragraph" w:styleId="Title">
    <w:name w:val="Title"/>
    <w:basedOn w:val="Normal"/>
    <w:next w:val="Normal"/>
    <w:link w:val="TitleChar"/>
    <w:uiPriority w:val="10"/>
    <w:qFormat/>
    <w:rsid w:val="00C505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5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5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5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5DF"/>
    <w:pPr>
      <w:spacing w:before="160"/>
      <w:jc w:val="center"/>
    </w:pPr>
    <w:rPr>
      <w:i/>
      <w:iCs/>
      <w:color w:val="404040" w:themeColor="text1" w:themeTint="BF"/>
    </w:rPr>
  </w:style>
  <w:style w:type="character" w:customStyle="1" w:styleId="QuoteChar">
    <w:name w:val="Quote Char"/>
    <w:basedOn w:val="DefaultParagraphFont"/>
    <w:link w:val="Quote"/>
    <w:uiPriority w:val="29"/>
    <w:rsid w:val="00C505DF"/>
    <w:rPr>
      <w:i/>
      <w:iCs/>
      <w:color w:val="404040" w:themeColor="text1" w:themeTint="BF"/>
    </w:rPr>
  </w:style>
  <w:style w:type="paragraph" w:styleId="ListParagraph">
    <w:name w:val="List Paragraph"/>
    <w:basedOn w:val="Normal"/>
    <w:uiPriority w:val="34"/>
    <w:qFormat/>
    <w:rsid w:val="00C505DF"/>
    <w:pPr>
      <w:ind w:left="720"/>
      <w:contextualSpacing/>
    </w:pPr>
  </w:style>
  <w:style w:type="character" w:styleId="IntenseEmphasis">
    <w:name w:val="Intense Emphasis"/>
    <w:basedOn w:val="DefaultParagraphFont"/>
    <w:uiPriority w:val="21"/>
    <w:qFormat/>
    <w:rsid w:val="00C505DF"/>
    <w:rPr>
      <w:i/>
      <w:iCs/>
      <w:color w:val="0F4761" w:themeColor="accent1" w:themeShade="BF"/>
    </w:rPr>
  </w:style>
  <w:style w:type="paragraph" w:styleId="IntenseQuote">
    <w:name w:val="Intense Quote"/>
    <w:basedOn w:val="Normal"/>
    <w:next w:val="Normal"/>
    <w:link w:val="IntenseQuoteChar"/>
    <w:uiPriority w:val="30"/>
    <w:qFormat/>
    <w:rsid w:val="00C505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05DF"/>
    <w:rPr>
      <w:i/>
      <w:iCs/>
      <w:color w:val="0F4761" w:themeColor="accent1" w:themeShade="BF"/>
    </w:rPr>
  </w:style>
  <w:style w:type="character" w:styleId="IntenseReference">
    <w:name w:val="Intense Reference"/>
    <w:basedOn w:val="DefaultParagraphFont"/>
    <w:uiPriority w:val="32"/>
    <w:qFormat/>
    <w:rsid w:val="00C505DF"/>
    <w:rPr>
      <w:b/>
      <w:bCs/>
      <w:smallCaps/>
      <w:color w:val="0F4761" w:themeColor="accent1" w:themeShade="BF"/>
      <w:spacing w:val="5"/>
    </w:rPr>
  </w:style>
  <w:style w:type="paragraph" w:styleId="FootnoteText">
    <w:name w:val="footnote text"/>
    <w:basedOn w:val="Normal"/>
    <w:link w:val="FootnoteTextChar"/>
    <w:uiPriority w:val="99"/>
    <w:semiHidden/>
    <w:unhideWhenUsed/>
    <w:rsid w:val="00B35A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5A46"/>
    <w:rPr>
      <w:sz w:val="20"/>
      <w:szCs w:val="20"/>
    </w:rPr>
  </w:style>
  <w:style w:type="character" w:styleId="FootnoteReference">
    <w:name w:val="footnote reference"/>
    <w:basedOn w:val="DefaultParagraphFont"/>
    <w:uiPriority w:val="99"/>
    <w:semiHidden/>
    <w:unhideWhenUsed/>
    <w:rsid w:val="00B35A46"/>
    <w:rPr>
      <w:vertAlign w:val="superscript"/>
    </w:rPr>
  </w:style>
  <w:style w:type="table" w:styleId="TableGrid">
    <w:name w:val="Table Grid"/>
    <w:basedOn w:val="TableNormal"/>
    <w:uiPriority w:val="39"/>
    <w:rsid w:val="00A14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0FA1"/>
    <w:rPr>
      <w:color w:val="467886" w:themeColor="hyperlink"/>
      <w:u w:val="single"/>
    </w:rPr>
  </w:style>
  <w:style w:type="character" w:styleId="UnresolvedMention">
    <w:name w:val="Unresolved Mention"/>
    <w:basedOn w:val="DefaultParagraphFont"/>
    <w:uiPriority w:val="99"/>
    <w:semiHidden/>
    <w:unhideWhenUsed/>
    <w:rsid w:val="00250FA1"/>
    <w:rPr>
      <w:color w:val="605E5C"/>
      <w:shd w:val="clear" w:color="auto" w:fill="E1DFDD"/>
    </w:rPr>
  </w:style>
  <w:style w:type="paragraph" w:styleId="TOCHeading">
    <w:name w:val="TOC Heading"/>
    <w:basedOn w:val="Heading1"/>
    <w:next w:val="Normal"/>
    <w:uiPriority w:val="39"/>
    <w:unhideWhenUsed/>
    <w:qFormat/>
    <w:rsid w:val="00944FB2"/>
    <w:pPr>
      <w:spacing w:before="480" w:after="0" w:line="276" w:lineRule="auto"/>
      <w:jc w:val="left"/>
      <w:outlineLvl w:val="9"/>
    </w:pPr>
    <w:rPr>
      <w:color w:val="0F4761" w:themeColor="accent1" w:themeShade="BF"/>
      <w:kern w:val="0"/>
      <w:lang w:val="en-US"/>
      <w14:ligatures w14:val="none"/>
    </w:rPr>
  </w:style>
  <w:style w:type="paragraph" w:styleId="TOC1">
    <w:name w:val="toc 1"/>
    <w:basedOn w:val="Normal"/>
    <w:next w:val="Normal"/>
    <w:autoRedefine/>
    <w:uiPriority w:val="39"/>
    <w:unhideWhenUsed/>
    <w:rsid w:val="00944FB2"/>
    <w:pPr>
      <w:spacing w:before="120" w:after="120"/>
      <w:jc w:val="left"/>
    </w:pPr>
    <w:rPr>
      <w:b/>
      <w:bCs/>
      <w:caps/>
      <w:sz w:val="20"/>
      <w:szCs w:val="20"/>
    </w:rPr>
  </w:style>
  <w:style w:type="paragraph" w:styleId="TOC2">
    <w:name w:val="toc 2"/>
    <w:basedOn w:val="Normal"/>
    <w:next w:val="Normal"/>
    <w:autoRedefine/>
    <w:uiPriority w:val="39"/>
    <w:unhideWhenUsed/>
    <w:rsid w:val="00944FB2"/>
    <w:pPr>
      <w:spacing w:after="0"/>
      <w:ind w:left="220"/>
      <w:jc w:val="left"/>
    </w:pPr>
    <w:rPr>
      <w:smallCaps/>
      <w:sz w:val="20"/>
      <w:szCs w:val="20"/>
    </w:rPr>
  </w:style>
  <w:style w:type="paragraph" w:styleId="Header">
    <w:name w:val="header"/>
    <w:basedOn w:val="Normal"/>
    <w:link w:val="HeaderChar"/>
    <w:uiPriority w:val="99"/>
    <w:unhideWhenUsed/>
    <w:rsid w:val="00420E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EA6"/>
  </w:style>
  <w:style w:type="paragraph" w:styleId="Footer">
    <w:name w:val="footer"/>
    <w:basedOn w:val="Normal"/>
    <w:link w:val="FooterChar"/>
    <w:uiPriority w:val="99"/>
    <w:unhideWhenUsed/>
    <w:rsid w:val="00420E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58765">
      <w:bodyDiv w:val="1"/>
      <w:marLeft w:val="0"/>
      <w:marRight w:val="0"/>
      <w:marTop w:val="0"/>
      <w:marBottom w:val="0"/>
      <w:divBdr>
        <w:top w:val="none" w:sz="0" w:space="0" w:color="auto"/>
        <w:left w:val="none" w:sz="0" w:space="0" w:color="auto"/>
        <w:bottom w:val="none" w:sz="0" w:space="0" w:color="auto"/>
        <w:right w:val="none" w:sz="0" w:space="0" w:color="auto"/>
      </w:divBdr>
    </w:div>
    <w:div w:id="70661247">
      <w:bodyDiv w:val="1"/>
      <w:marLeft w:val="0"/>
      <w:marRight w:val="0"/>
      <w:marTop w:val="0"/>
      <w:marBottom w:val="0"/>
      <w:divBdr>
        <w:top w:val="none" w:sz="0" w:space="0" w:color="auto"/>
        <w:left w:val="none" w:sz="0" w:space="0" w:color="auto"/>
        <w:bottom w:val="none" w:sz="0" w:space="0" w:color="auto"/>
        <w:right w:val="none" w:sz="0" w:space="0" w:color="auto"/>
      </w:divBdr>
    </w:div>
    <w:div w:id="218977685">
      <w:bodyDiv w:val="1"/>
      <w:marLeft w:val="0"/>
      <w:marRight w:val="0"/>
      <w:marTop w:val="0"/>
      <w:marBottom w:val="0"/>
      <w:divBdr>
        <w:top w:val="none" w:sz="0" w:space="0" w:color="auto"/>
        <w:left w:val="none" w:sz="0" w:space="0" w:color="auto"/>
        <w:bottom w:val="none" w:sz="0" w:space="0" w:color="auto"/>
        <w:right w:val="none" w:sz="0" w:space="0" w:color="auto"/>
      </w:divBdr>
    </w:div>
    <w:div w:id="259068283">
      <w:bodyDiv w:val="1"/>
      <w:marLeft w:val="0"/>
      <w:marRight w:val="0"/>
      <w:marTop w:val="0"/>
      <w:marBottom w:val="0"/>
      <w:divBdr>
        <w:top w:val="none" w:sz="0" w:space="0" w:color="auto"/>
        <w:left w:val="none" w:sz="0" w:space="0" w:color="auto"/>
        <w:bottom w:val="none" w:sz="0" w:space="0" w:color="auto"/>
        <w:right w:val="none" w:sz="0" w:space="0" w:color="auto"/>
      </w:divBdr>
    </w:div>
    <w:div w:id="447436995">
      <w:bodyDiv w:val="1"/>
      <w:marLeft w:val="0"/>
      <w:marRight w:val="0"/>
      <w:marTop w:val="0"/>
      <w:marBottom w:val="0"/>
      <w:divBdr>
        <w:top w:val="none" w:sz="0" w:space="0" w:color="auto"/>
        <w:left w:val="none" w:sz="0" w:space="0" w:color="auto"/>
        <w:bottom w:val="none" w:sz="0" w:space="0" w:color="auto"/>
        <w:right w:val="none" w:sz="0" w:space="0" w:color="auto"/>
      </w:divBdr>
    </w:div>
    <w:div w:id="526137733">
      <w:bodyDiv w:val="1"/>
      <w:marLeft w:val="0"/>
      <w:marRight w:val="0"/>
      <w:marTop w:val="0"/>
      <w:marBottom w:val="0"/>
      <w:divBdr>
        <w:top w:val="none" w:sz="0" w:space="0" w:color="auto"/>
        <w:left w:val="none" w:sz="0" w:space="0" w:color="auto"/>
        <w:bottom w:val="none" w:sz="0" w:space="0" w:color="auto"/>
        <w:right w:val="none" w:sz="0" w:space="0" w:color="auto"/>
      </w:divBdr>
    </w:div>
    <w:div w:id="676083523">
      <w:bodyDiv w:val="1"/>
      <w:marLeft w:val="0"/>
      <w:marRight w:val="0"/>
      <w:marTop w:val="0"/>
      <w:marBottom w:val="0"/>
      <w:divBdr>
        <w:top w:val="none" w:sz="0" w:space="0" w:color="auto"/>
        <w:left w:val="none" w:sz="0" w:space="0" w:color="auto"/>
        <w:bottom w:val="none" w:sz="0" w:space="0" w:color="auto"/>
        <w:right w:val="none" w:sz="0" w:space="0" w:color="auto"/>
      </w:divBdr>
    </w:div>
    <w:div w:id="769549082">
      <w:bodyDiv w:val="1"/>
      <w:marLeft w:val="0"/>
      <w:marRight w:val="0"/>
      <w:marTop w:val="0"/>
      <w:marBottom w:val="0"/>
      <w:divBdr>
        <w:top w:val="none" w:sz="0" w:space="0" w:color="auto"/>
        <w:left w:val="none" w:sz="0" w:space="0" w:color="auto"/>
        <w:bottom w:val="none" w:sz="0" w:space="0" w:color="auto"/>
        <w:right w:val="none" w:sz="0" w:space="0" w:color="auto"/>
      </w:divBdr>
    </w:div>
    <w:div w:id="1108157855">
      <w:bodyDiv w:val="1"/>
      <w:marLeft w:val="0"/>
      <w:marRight w:val="0"/>
      <w:marTop w:val="0"/>
      <w:marBottom w:val="0"/>
      <w:divBdr>
        <w:top w:val="none" w:sz="0" w:space="0" w:color="auto"/>
        <w:left w:val="none" w:sz="0" w:space="0" w:color="auto"/>
        <w:bottom w:val="none" w:sz="0" w:space="0" w:color="auto"/>
        <w:right w:val="none" w:sz="0" w:space="0" w:color="auto"/>
      </w:divBdr>
    </w:div>
    <w:div w:id="1537112264">
      <w:bodyDiv w:val="1"/>
      <w:marLeft w:val="0"/>
      <w:marRight w:val="0"/>
      <w:marTop w:val="0"/>
      <w:marBottom w:val="0"/>
      <w:divBdr>
        <w:top w:val="none" w:sz="0" w:space="0" w:color="auto"/>
        <w:left w:val="none" w:sz="0" w:space="0" w:color="auto"/>
        <w:bottom w:val="none" w:sz="0" w:space="0" w:color="auto"/>
        <w:right w:val="none" w:sz="0" w:space="0" w:color="auto"/>
      </w:divBdr>
    </w:div>
    <w:div w:id="1559048575">
      <w:bodyDiv w:val="1"/>
      <w:marLeft w:val="0"/>
      <w:marRight w:val="0"/>
      <w:marTop w:val="0"/>
      <w:marBottom w:val="0"/>
      <w:divBdr>
        <w:top w:val="none" w:sz="0" w:space="0" w:color="auto"/>
        <w:left w:val="none" w:sz="0" w:space="0" w:color="auto"/>
        <w:bottom w:val="none" w:sz="0" w:space="0" w:color="auto"/>
        <w:right w:val="none" w:sz="0" w:space="0" w:color="auto"/>
      </w:divBdr>
    </w:div>
    <w:div w:id="1607998901">
      <w:bodyDiv w:val="1"/>
      <w:marLeft w:val="0"/>
      <w:marRight w:val="0"/>
      <w:marTop w:val="0"/>
      <w:marBottom w:val="0"/>
      <w:divBdr>
        <w:top w:val="none" w:sz="0" w:space="0" w:color="auto"/>
        <w:left w:val="none" w:sz="0" w:space="0" w:color="auto"/>
        <w:bottom w:val="none" w:sz="0" w:space="0" w:color="auto"/>
        <w:right w:val="none" w:sz="0" w:space="0" w:color="auto"/>
      </w:divBdr>
    </w:div>
    <w:div w:id="164142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es-toolkit.info.undp.org/sites/g/files/zskgke446/files/SES%20Document%20Library/Social%20and%20Environmental%20Standards/UNDP%20SES%20Stakeholder%20Engagement%20GN_Oct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89e427-211e-46d3-8bd4-8da494dc1f01" xsi:nil="true"/>
    <lcf76f155ced4ddcb4097134ff3c332f xmlns="23a29819-272f-427e-8043-4ac47f343e3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20C32195C5BB4EA6809AE16C01284F" ma:contentTypeVersion="15" ma:contentTypeDescription="Create a new document." ma:contentTypeScope="" ma:versionID="0cd752097d6f97dc8f6536fe4a908e00">
  <xsd:schema xmlns:xsd="http://www.w3.org/2001/XMLSchema" xmlns:xs="http://www.w3.org/2001/XMLSchema" xmlns:p="http://schemas.microsoft.com/office/2006/metadata/properties" xmlns:ns2="23a29819-272f-427e-8043-4ac47f343e31" xmlns:ns3="9089e427-211e-46d3-8bd4-8da494dc1f01" targetNamespace="http://schemas.microsoft.com/office/2006/metadata/properties" ma:root="true" ma:fieldsID="0d3b26211c5d45f02b21e4585ffd8768" ns2:_="" ns3:_="">
    <xsd:import namespace="23a29819-272f-427e-8043-4ac47f343e31"/>
    <xsd:import namespace="9089e427-211e-46d3-8bd4-8da494dc1f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29819-272f-427e-8043-4ac47f343e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b01118a-a63c-4fce-bb4e-c310eccc168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89e427-211e-46d3-8bd4-8da494dc1f0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c9e0b9b-46fa-4e00-a309-18af0ee1d1ac}" ma:internalName="TaxCatchAll" ma:showField="CatchAllData" ma:web="9089e427-211e-46d3-8bd4-8da494dc1f0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04969-2AB9-4A44-883D-3F03FDA70974}">
  <ds:schemaRefs>
    <ds:schemaRef ds:uri="http://schemas.microsoft.com/office/2006/metadata/properties"/>
    <ds:schemaRef ds:uri="http://schemas.microsoft.com/office/infopath/2007/PartnerControls"/>
    <ds:schemaRef ds:uri="9089e427-211e-46d3-8bd4-8da494dc1f01"/>
    <ds:schemaRef ds:uri="23a29819-272f-427e-8043-4ac47f343e31"/>
  </ds:schemaRefs>
</ds:datastoreItem>
</file>

<file path=customXml/itemProps2.xml><?xml version="1.0" encoding="utf-8"?>
<ds:datastoreItem xmlns:ds="http://schemas.openxmlformats.org/officeDocument/2006/customXml" ds:itemID="{8CFAD827-942E-442C-ACE4-CD733A91C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29819-272f-427e-8043-4ac47f343e31"/>
    <ds:schemaRef ds:uri="9089e427-211e-46d3-8bd4-8da494dc1f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ACB0C4-EF7E-40DD-89B5-74692DF37674}">
  <ds:schemaRefs>
    <ds:schemaRef ds:uri="http://schemas.microsoft.com/sharepoint/v3/contenttype/forms"/>
  </ds:schemaRefs>
</ds:datastoreItem>
</file>

<file path=customXml/itemProps4.xml><?xml version="1.0" encoding="utf-8"?>
<ds:datastoreItem xmlns:ds="http://schemas.openxmlformats.org/officeDocument/2006/customXml" ds:itemID="{94253EE9-1A4E-4054-A46F-DD46E2F22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3697</Words>
  <Characters>21075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Steel Pascual</dc:creator>
  <cp:keywords/>
  <dc:description/>
  <cp:lastModifiedBy>david annandale</cp:lastModifiedBy>
  <cp:revision>2</cp:revision>
  <dcterms:created xsi:type="dcterms:W3CDTF">2024-11-19T14:23:00Z</dcterms:created>
  <dcterms:modified xsi:type="dcterms:W3CDTF">2024-11-19T14:23:00Z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0x0101004C20C32195C5BB4EA6809AE16C01284F</vt:lpwstr>
  </property>
  <property fmtid="{D5CDD505-2E9C-101B-9397-08002B2CF9AE}" pid="3" name="MediaServiceImageTags">
    <vt:lpwstr/>
  </property>
</Properties>
</file>