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56EF2" w14:textId="77777777" w:rsidR="001204D8" w:rsidRPr="001204D8" w:rsidRDefault="001204D8" w:rsidP="001204D8">
      <w:pPr>
        <w:jc w:val="center"/>
        <w:rPr>
          <w:b/>
          <w:bCs/>
          <w:sz w:val="28"/>
          <w:szCs w:val="28"/>
        </w:rPr>
      </w:pPr>
      <w:r w:rsidRPr="001204D8">
        <w:rPr>
          <w:b/>
          <w:bCs/>
          <w:sz w:val="28"/>
          <w:szCs w:val="28"/>
        </w:rPr>
        <w:t>Global Fund for Coral Reefs (GFCR)</w:t>
      </w:r>
    </w:p>
    <w:p w14:paraId="5F9E0571" w14:textId="4F9DA8B3" w:rsidR="001204D8" w:rsidRPr="001204D8" w:rsidRDefault="00E13ED6" w:rsidP="001204D8">
      <w:pPr>
        <w:jc w:val="center"/>
        <w:rPr>
          <w:sz w:val="40"/>
          <w:szCs w:val="40"/>
        </w:rPr>
      </w:pPr>
      <w:r>
        <w:rPr>
          <w:sz w:val="40"/>
          <w:szCs w:val="40"/>
        </w:rPr>
        <w:t>Private Sector</w:t>
      </w:r>
      <w:r w:rsidR="001204D8" w:rsidRPr="001204D8">
        <w:rPr>
          <w:sz w:val="40"/>
          <w:szCs w:val="40"/>
        </w:rPr>
        <w:t xml:space="preserve"> </w:t>
      </w:r>
      <w:r w:rsidR="004E473A">
        <w:rPr>
          <w:sz w:val="40"/>
          <w:szCs w:val="40"/>
        </w:rPr>
        <w:t xml:space="preserve">Partnerships Due Diligence </w:t>
      </w:r>
      <w:r w:rsidR="001204D8" w:rsidRPr="001204D8">
        <w:rPr>
          <w:sz w:val="40"/>
          <w:szCs w:val="40"/>
        </w:rPr>
        <w:t>Policy</w:t>
      </w:r>
    </w:p>
    <w:p w14:paraId="4C439D7C" w14:textId="6E654DF4" w:rsidR="001204D8" w:rsidRPr="001204D8" w:rsidRDefault="001204D8" w:rsidP="001204D8">
      <w:pPr>
        <w:jc w:val="center"/>
      </w:pPr>
      <w:r w:rsidRPr="001204D8">
        <w:t xml:space="preserve">(Draft – </w:t>
      </w:r>
      <w:r w:rsidR="00E13ED6">
        <w:t>1</w:t>
      </w:r>
      <w:r w:rsidR="005E5CF0">
        <w:t>4</w:t>
      </w:r>
      <w:r w:rsidR="00E13ED6">
        <w:t xml:space="preserve"> </w:t>
      </w:r>
      <w:r>
        <w:t>October</w:t>
      </w:r>
      <w:r w:rsidRPr="001204D8">
        <w:t xml:space="preserve"> 2024)</w:t>
      </w:r>
    </w:p>
    <w:bookmarkStart w:id="0" w:name="_Toc179455718" w:displacedByCustomXml="next"/>
    <w:sdt>
      <w:sdtPr>
        <w:id w:val="-792440877"/>
        <w:docPartObj>
          <w:docPartGallery w:val="Table of Contents"/>
          <w:docPartUnique/>
        </w:docPartObj>
      </w:sdtPr>
      <w:sdtEndPr>
        <w:rPr>
          <w:noProof/>
        </w:rPr>
      </w:sdtEndPr>
      <w:sdtContent>
        <w:p w14:paraId="0826677C" w14:textId="77777777" w:rsidR="0083018E" w:rsidRPr="0083018E" w:rsidRDefault="0083018E" w:rsidP="0083018E">
          <w:pPr>
            <w:keepNext/>
            <w:keepLines/>
            <w:spacing w:before="480" w:after="0" w:line="276" w:lineRule="auto"/>
            <w:jc w:val="center"/>
            <w:rPr>
              <w:rFonts w:ascii="Aptos Display" w:eastAsia="Times New Roman" w:hAnsi="Aptos Display"/>
              <w:b/>
              <w:bCs/>
              <w:color w:val="0F4761"/>
              <w:kern w:val="0"/>
              <w:sz w:val="28"/>
              <w:szCs w:val="28"/>
              <w:lang w:val="en-US"/>
              <w14:ligatures w14:val="none"/>
            </w:rPr>
          </w:pPr>
          <w:r w:rsidRPr="0083018E">
            <w:rPr>
              <w:rFonts w:ascii="Aptos Display" w:eastAsia="Times New Roman" w:hAnsi="Aptos Display"/>
              <w:b/>
              <w:bCs/>
              <w:color w:val="0F4761"/>
              <w:kern w:val="0"/>
              <w:sz w:val="28"/>
              <w:szCs w:val="28"/>
              <w:lang w:val="en-US"/>
              <w14:ligatures w14:val="none"/>
            </w:rPr>
            <w:t>Table of Contents</w:t>
          </w:r>
        </w:p>
        <w:p w14:paraId="75785099" w14:textId="7AFDD68C" w:rsidR="004C1148" w:rsidRDefault="0083018E">
          <w:pPr>
            <w:pStyle w:val="TOC1"/>
            <w:tabs>
              <w:tab w:val="right" w:leader="dot" w:pos="9350"/>
            </w:tabs>
            <w:rPr>
              <w:rFonts w:eastAsiaTheme="minorEastAsia"/>
              <w:b w:val="0"/>
              <w:bCs w:val="0"/>
              <w:caps w:val="0"/>
              <w:noProof/>
              <w:sz w:val="24"/>
              <w:szCs w:val="24"/>
              <w:lang w:eastAsia="en-GB"/>
            </w:rPr>
          </w:pPr>
          <w:r w:rsidRPr="0083018E">
            <w:fldChar w:fldCharType="begin"/>
          </w:r>
          <w:r w:rsidRPr="0083018E">
            <w:instrText xml:space="preserve"> TOC \o "1-3" \h \z \u </w:instrText>
          </w:r>
          <w:r w:rsidRPr="0083018E">
            <w:fldChar w:fldCharType="separate"/>
          </w:r>
          <w:hyperlink w:anchor="_Toc179996472" w:history="1">
            <w:r w:rsidR="004C1148" w:rsidRPr="00761B76">
              <w:rPr>
                <w:rStyle w:val="Hyperlink"/>
                <w:noProof/>
              </w:rPr>
              <w:t>1. Introduction</w:t>
            </w:r>
            <w:r w:rsidR="004C1148">
              <w:rPr>
                <w:noProof/>
                <w:webHidden/>
              </w:rPr>
              <w:tab/>
            </w:r>
            <w:r w:rsidR="004C1148">
              <w:rPr>
                <w:noProof/>
                <w:webHidden/>
              </w:rPr>
              <w:fldChar w:fldCharType="begin"/>
            </w:r>
            <w:r w:rsidR="004C1148">
              <w:rPr>
                <w:noProof/>
                <w:webHidden/>
              </w:rPr>
              <w:instrText xml:space="preserve"> PAGEREF _Toc179996472 \h </w:instrText>
            </w:r>
            <w:r w:rsidR="004C1148">
              <w:rPr>
                <w:noProof/>
                <w:webHidden/>
              </w:rPr>
            </w:r>
            <w:r w:rsidR="004C1148">
              <w:rPr>
                <w:noProof/>
                <w:webHidden/>
              </w:rPr>
              <w:fldChar w:fldCharType="separate"/>
            </w:r>
            <w:r w:rsidR="004C1148">
              <w:rPr>
                <w:noProof/>
                <w:webHidden/>
              </w:rPr>
              <w:t>2</w:t>
            </w:r>
            <w:r w:rsidR="004C1148">
              <w:rPr>
                <w:noProof/>
                <w:webHidden/>
              </w:rPr>
              <w:fldChar w:fldCharType="end"/>
            </w:r>
          </w:hyperlink>
        </w:p>
        <w:p w14:paraId="23B8F552" w14:textId="6B7BF71A" w:rsidR="004C1148" w:rsidRDefault="004C1148">
          <w:pPr>
            <w:pStyle w:val="TOC1"/>
            <w:tabs>
              <w:tab w:val="right" w:leader="dot" w:pos="9350"/>
            </w:tabs>
            <w:rPr>
              <w:rFonts w:eastAsiaTheme="minorEastAsia"/>
              <w:b w:val="0"/>
              <w:bCs w:val="0"/>
              <w:caps w:val="0"/>
              <w:noProof/>
              <w:sz w:val="24"/>
              <w:szCs w:val="24"/>
              <w:lang w:eastAsia="en-GB"/>
            </w:rPr>
          </w:pPr>
          <w:hyperlink w:anchor="_Toc179996473" w:history="1">
            <w:r w:rsidRPr="00761B76">
              <w:rPr>
                <w:rStyle w:val="Hyperlink"/>
                <w:noProof/>
              </w:rPr>
              <w:t>2. Purpose and scope</w:t>
            </w:r>
            <w:r>
              <w:rPr>
                <w:noProof/>
                <w:webHidden/>
              </w:rPr>
              <w:tab/>
            </w:r>
            <w:r>
              <w:rPr>
                <w:noProof/>
                <w:webHidden/>
              </w:rPr>
              <w:fldChar w:fldCharType="begin"/>
            </w:r>
            <w:r>
              <w:rPr>
                <w:noProof/>
                <w:webHidden/>
              </w:rPr>
              <w:instrText xml:space="preserve"> PAGEREF _Toc179996473 \h </w:instrText>
            </w:r>
            <w:r>
              <w:rPr>
                <w:noProof/>
                <w:webHidden/>
              </w:rPr>
            </w:r>
            <w:r>
              <w:rPr>
                <w:noProof/>
                <w:webHidden/>
              </w:rPr>
              <w:fldChar w:fldCharType="separate"/>
            </w:r>
            <w:r>
              <w:rPr>
                <w:noProof/>
                <w:webHidden/>
              </w:rPr>
              <w:t>2</w:t>
            </w:r>
            <w:r>
              <w:rPr>
                <w:noProof/>
                <w:webHidden/>
              </w:rPr>
              <w:fldChar w:fldCharType="end"/>
            </w:r>
          </w:hyperlink>
        </w:p>
        <w:p w14:paraId="09A80875" w14:textId="08D2280F" w:rsidR="004C1148" w:rsidRDefault="004C1148">
          <w:pPr>
            <w:pStyle w:val="TOC2"/>
            <w:tabs>
              <w:tab w:val="right" w:leader="dot" w:pos="9350"/>
            </w:tabs>
            <w:rPr>
              <w:rFonts w:eastAsiaTheme="minorEastAsia"/>
              <w:smallCaps w:val="0"/>
              <w:noProof/>
              <w:sz w:val="24"/>
              <w:szCs w:val="24"/>
              <w:lang w:eastAsia="en-GB"/>
            </w:rPr>
          </w:pPr>
          <w:hyperlink w:anchor="_Toc179996474" w:history="1">
            <w:r w:rsidRPr="00761B76">
              <w:rPr>
                <w:rStyle w:val="Hyperlink"/>
                <w:noProof/>
              </w:rPr>
              <w:t>Why engage with the private sector?</w:t>
            </w:r>
            <w:r>
              <w:rPr>
                <w:noProof/>
                <w:webHidden/>
              </w:rPr>
              <w:tab/>
            </w:r>
            <w:r>
              <w:rPr>
                <w:noProof/>
                <w:webHidden/>
              </w:rPr>
              <w:fldChar w:fldCharType="begin"/>
            </w:r>
            <w:r>
              <w:rPr>
                <w:noProof/>
                <w:webHidden/>
              </w:rPr>
              <w:instrText xml:space="preserve"> PAGEREF _Toc179996474 \h </w:instrText>
            </w:r>
            <w:r>
              <w:rPr>
                <w:noProof/>
                <w:webHidden/>
              </w:rPr>
            </w:r>
            <w:r>
              <w:rPr>
                <w:noProof/>
                <w:webHidden/>
              </w:rPr>
              <w:fldChar w:fldCharType="separate"/>
            </w:r>
            <w:r>
              <w:rPr>
                <w:noProof/>
                <w:webHidden/>
              </w:rPr>
              <w:t>2</w:t>
            </w:r>
            <w:r>
              <w:rPr>
                <w:noProof/>
                <w:webHidden/>
              </w:rPr>
              <w:fldChar w:fldCharType="end"/>
            </w:r>
          </w:hyperlink>
        </w:p>
        <w:p w14:paraId="0E5936CA" w14:textId="146ED47C" w:rsidR="004C1148" w:rsidRDefault="004C1148">
          <w:pPr>
            <w:pStyle w:val="TOC2"/>
            <w:tabs>
              <w:tab w:val="right" w:leader="dot" w:pos="9350"/>
            </w:tabs>
            <w:rPr>
              <w:rFonts w:eastAsiaTheme="minorEastAsia"/>
              <w:smallCaps w:val="0"/>
              <w:noProof/>
              <w:sz w:val="24"/>
              <w:szCs w:val="24"/>
              <w:lang w:eastAsia="en-GB"/>
            </w:rPr>
          </w:pPr>
          <w:hyperlink w:anchor="_Toc179996475" w:history="1">
            <w:r w:rsidRPr="00761B76">
              <w:rPr>
                <w:rStyle w:val="Hyperlink"/>
                <w:noProof/>
              </w:rPr>
              <w:t>What is a private sector partnership?</w:t>
            </w:r>
            <w:r>
              <w:rPr>
                <w:noProof/>
                <w:webHidden/>
              </w:rPr>
              <w:tab/>
            </w:r>
            <w:r>
              <w:rPr>
                <w:noProof/>
                <w:webHidden/>
              </w:rPr>
              <w:fldChar w:fldCharType="begin"/>
            </w:r>
            <w:r>
              <w:rPr>
                <w:noProof/>
                <w:webHidden/>
              </w:rPr>
              <w:instrText xml:space="preserve"> PAGEREF _Toc179996475 \h </w:instrText>
            </w:r>
            <w:r>
              <w:rPr>
                <w:noProof/>
                <w:webHidden/>
              </w:rPr>
            </w:r>
            <w:r>
              <w:rPr>
                <w:noProof/>
                <w:webHidden/>
              </w:rPr>
              <w:fldChar w:fldCharType="separate"/>
            </w:r>
            <w:r>
              <w:rPr>
                <w:noProof/>
                <w:webHidden/>
              </w:rPr>
              <w:t>3</w:t>
            </w:r>
            <w:r>
              <w:rPr>
                <w:noProof/>
                <w:webHidden/>
              </w:rPr>
              <w:fldChar w:fldCharType="end"/>
            </w:r>
          </w:hyperlink>
        </w:p>
        <w:p w14:paraId="0F97A566" w14:textId="70A37604" w:rsidR="004C1148" w:rsidRDefault="004C1148">
          <w:pPr>
            <w:pStyle w:val="TOC2"/>
            <w:tabs>
              <w:tab w:val="right" w:leader="dot" w:pos="9350"/>
            </w:tabs>
            <w:rPr>
              <w:rFonts w:eastAsiaTheme="minorEastAsia"/>
              <w:smallCaps w:val="0"/>
              <w:noProof/>
              <w:sz w:val="24"/>
              <w:szCs w:val="24"/>
              <w:lang w:eastAsia="en-GB"/>
            </w:rPr>
          </w:pPr>
          <w:hyperlink w:anchor="_Toc179996476" w:history="1">
            <w:r w:rsidRPr="00761B76">
              <w:rPr>
                <w:rStyle w:val="Hyperlink"/>
                <w:noProof/>
              </w:rPr>
              <w:t>Types of partnerships</w:t>
            </w:r>
            <w:r>
              <w:rPr>
                <w:noProof/>
                <w:webHidden/>
              </w:rPr>
              <w:tab/>
            </w:r>
            <w:r>
              <w:rPr>
                <w:noProof/>
                <w:webHidden/>
              </w:rPr>
              <w:fldChar w:fldCharType="begin"/>
            </w:r>
            <w:r>
              <w:rPr>
                <w:noProof/>
                <w:webHidden/>
              </w:rPr>
              <w:instrText xml:space="preserve"> PAGEREF _Toc179996476 \h </w:instrText>
            </w:r>
            <w:r>
              <w:rPr>
                <w:noProof/>
                <w:webHidden/>
              </w:rPr>
            </w:r>
            <w:r>
              <w:rPr>
                <w:noProof/>
                <w:webHidden/>
              </w:rPr>
              <w:fldChar w:fldCharType="separate"/>
            </w:r>
            <w:r>
              <w:rPr>
                <w:noProof/>
                <w:webHidden/>
              </w:rPr>
              <w:t>3</w:t>
            </w:r>
            <w:r>
              <w:rPr>
                <w:noProof/>
                <w:webHidden/>
              </w:rPr>
              <w:fldChar w:fldCharType="end"/>
            </w:r>
          </w:hyperlink>
        </w:p>
        <w:p w14:paraId="47B0EE81" w14:textId="18B4774F" w:rsidR="004C1148" w:rsidRDefault="004C1148">
          <w:pPr>
            <w:pStyle w:val="TOC2"/>
            <w:tabs>
              <w:tab w:val="right" w:leader="dot" w:pos="9350"/>
            </w:tabs>
            <w:rPr>
              <w:rFonts w:eastAsiaTheme="minorEastAsia"/>
              <w:smallCaps w:val="0"/>
              <w:noProof/>
              <w:sz w:val="24"/>
              <w:szCs w:val="24"/>
              <w:lang w:eastAsia="en-GB"/>
            </w:rPr>
          </w:pPr>
          <w:hyperlink w:anchor="_Toc179996477" w:history="1">
            <w:r w:rsidRPr="00761B76">
              <w:rPr>
                <w:rStyle w:val="Hyperlink"/>
                <w:noProof/>
              </w:rPr>
              <w:t>Risk-Aware Approach</w:t>
            </w:r>
            <w:r>
              <w:rPr>
                <w:noProof/>
                <w:webHidden/>
              </w:rPr>
              <w:tab/>
            </w:r>
            <w:r>
              <w:rPr>
                <w:noProof/>
                <w:webHidden/>
              </w:rPr>
              <w:fldChar w:fldCharType="begin"/>
            </w:r>
            <w:r>
              <w:rPr>
                <w:noProof/>
                <w:webHidden/>
              </w:rPr>
              <w:instrText xml:space="preserve"> PAGEREF _Toc179996477 \h </w:instrText>
            </w:r>
            <w:r>
              <w:rPr>
                <w:noProof/>
                <w:webHidden/>
              </w:rPr>
            </w:r>
            <w:r>
              <w:rPr>
                <w:noProof/>
                <w:webHidden/>
              </w:rPr>
              <w:fldChar w:fldCharType="separate"/>
            </w:r>
            <w:r>
              <w:rPr>
                <w:noProof/>
                <w:webHidden/>
              </w:rPr>
              <w:t>4</w:t>
            </w:r>
            <w:r>
              <w:rPr>
                <w:noProof/>
                <w:webHidden/>
              </w:rPr>
              <w:fldChar w:fldCharType="end"/>
            </w:r>
          </w:hyperlink>
        </w:p>
        <w:p w14:paraId="69BAAA65" w14:textId="45A4082F" w:rsidR="004C1148" w:rsidRDefault="004C1148">
          <w:pPr>
            <w:pStyle w:val="TOC2"/>
            <w:tabs>
              <w:tab w:val="right" w:leader="dot" w:pos="9350"/>
            </w:tabs>
            <w:rPr>
              <w:rFonts w:eastAsiaTheme="minorEastAsia"/>
              <w:smallCaps w:val="0"/>
              <w:noProof/>
              <w:sz w:val="24"/>
              <w:szCs w:val="24"/>
              <w:lang w:eastAsia="en-GB"/>
            </w:rPr>
          </w:pPr>
          <w:hyperlink w:anchor="_Toc179996478" w:history="1">
            <w:r w:rsidRPr="00761B76">
              <w:rPr>
                <w:rStyle w:val="Hyperlink"/>
                <w:noProof/>
              </w:rPr>
              <w:t>Applicability of the Policy</w:t>
            </w:r>
            <w:r>
              <w:rPr>
                <w:noProof/>
                <w:webHidden/>
              </w:rPr>
              <w:tab/>
            </w:r>
            <w:r>
              <w:rPr>
                <w:noProof/>
                <w:webHidden/>
              </w:rPr>
              <w:fldChar w:fldCharType="begin"/>
            </w:r>
            <w:r>
              <w:rPr>
                <w:noProof/>
                <w:webHidden/>
              </w:rPr>
              <w:instrText xml:space="preserve"> PAGEREF _Toc179996478 \h </w:instrText>
            </w:r>
            <w:r>
              <w:rPr>
                <w:noProof/>
                <w:webHidden/>
              </w:rPr>
            </w:r>
            <w:r>
              <w:rPr>
                <w:noProof/>
                <w:webHidden/>
              </w:rPr>
              <w:fldChar w:fldCharType="separate"/>
            </w:r>
            <w:r>
              <w:rPr>
                <w:noProof/>
                <w:webHidden/>
              </w:rPr>
              <w:t>4</w:t>
            </w:r>
            <w:r>
              <w:rPr>
                <w:noProof/>
                <w:webHidden/>
              </w:rPr>
              <w:fldChar w:fldCharType="end"/>
            </w:r>
          </w:hyperlink>
        </w:p>
        <w:p w14:paraId="3927D53C" w14:textId="7C84BF65" w:rsidR="004C1148" w:rsidRDefault="004C1148">
          <w:pPr>
            <w:pStyle w:val="TOC1"/>
            <w:tabs>
              <w:tab w:val="right" w:leader="dot" w:pos="9350"/>
            </w:tabs>
            <w:rPr>
              <w:rFonts w:eastAsiaTheme="minorEastAsia"/>
              <w:b w:val="0"/>
              <w:bCs w:val="0"/>
              <w:caps w:val="0"/>
              <w:noProof/>
              <w:sz w:val="24"/>
              <w:szCs w:val="24"/>
              <w:lang w:eastAsia="en-GB"/>
            </w:rPr>
          </w:pPr>
          <w:hyperlink w:anchor="_Toc179996479" w:history="1">
            <w:r w:rsidRPr="00761B76">
              <w:rPr>
                <w:rStyle w:val="Hyperlink"/>
                <w:noProof/>
              </w:rPr>
              <w:t>3. Principles</w:t>
            </w:r>
            <w:r>
              <w:rPr>
                <w:noProof/>
                <w:webHidden/>
              </w:rPr>
              <w:tab/>
            </w:r>
            <w:r>
              <w:rPr>
                <w:noProof/>
                <w:webHidden/>
              </w:rPr>
              <w:fldChar w:fldCharType="begin"/>
            </w:r>
            <w:r>
              <w:rPr>
                <w:noProof/>
                <w:webHidden/>
              </w:rPr>
              <w:instrText xml:space="preserve"> PAGEREF _Toc179996479 \h </w:instrText>
            </w:r>
            <w:r>
              <w:rPr>
                <w:noProof/>
                <w:webHidden/>
              </w:rPr>
            </w:r>
            <w:r>
              <w:rPr>
                <w:noProof/>
                <w:webHidden/>
              </w:rPr>
              <w:fldChar w:fldCharType="separate"/>
            </w:r>
            <w:r>
              <w:rPr>
                <w:noProof/>
                <w:webHidden/>
              </w:rPr>
              <w:t>4</w:t>
            </w:r>
            <w:r>
              <w:rPr>
                <w:noProof/>
                <w:webHidden/>
              </w:rPr>
              <w:fldChar w:fldCharType="end"/>
            </w:r>
          </w:hyperlink>
        </w:p>
        <w:p w14:paraId="482C31E4" w14:textId="63DB417A" w:rsidR="004C1148" w:rsidRDefault="004C1148">
          <w:pPr>
            <w:pStyle w:val="TOC1"/>
            <w:tabs>
              <w:tab w:val="right" w:leader="dot" w:pos="9350"/>
            </w:tabs>
            <w:rPr>
              <w:rFonts w:eastAsiaTheme="minorEastAsia"/>
              <w:b w:val="0"/>
              <w:bCs w:val="0"/>
              <w:caps w:val="0"/>
              <w:noProof/>
              <w:sz w:val="24"/>
              <w:szCs w:val="24"/>
              <w:lang w:eastAsia="en-GB"/>
            </w:rPr>
          </w:pPr>
          <w:hyperlink w:anchor="_Toc179996480" w:history="1">
            <w:r w:rsidRPr="00761B76">
              <w:rPr>
                <w:rStyle w:val="Hyperlink"/>
                <w:noProof/>
              </w:rPr>
              <w:t>4. Risk Management</w:t>
            </w:r>
            <w:r>
              <w:rPr>
                <w:noProof/>
                <w:webHidden/>
              </w:rPr>
              <w:tab/>
            </w:r>
            <w:r>
              <w:rPr>
                <w:noProof/>
                <w:webHidden/>
              </w:rPr>
              <w:fldChar w:fldCharType="begin"/>
            </w:r>
            <w:r>
              <w:rPr>
                <w:noProof/>
                <w:webHidden/>
              </w:rPr>
              <w:instrText xml:space="preserve"> PAGEREF _Toc179996480 \h </w:instrText>
            </w:r>
            <w:r>
              <w:rPr>
                <w:noProof/>
                <w:webHidden/>
              </w:rPr>
            </w:r>
            <w:r>
              <w:rPr>
                <w:noProof/>
                <w:webHidden/>
              </w:rPr>
              <w:fldChar w:fldCharType="separate"/>
            </w:r>
            <w:r>
              <w:rPr>
                <w:noProof/>
                <w:webHidden/>
              </w:rPr>
              <w:t>5</w:t>
            </w:r>
            <w:r>
              <w:rPr>
                <w:noProof/>
                <w:webHidden/>
              </w:rPr>
              <w:fldChar w:fldCharType="end"/>
            </w:r>
          </w:hyperlink>
        </w:p>
        <w:p w14:paraId="6282E286" w14:textId="7A83CABB" w:rsidR="004C1148" w:rsidRDefault="004C1148">
          <w:pPr>
            <w:pStyle w:val="TOC2"/>
            <w:tabs>
              <w:tab w:val="right" w:leader="dot" w:pos="9350"/>
            </w:tabs>
            <w:rPr>
              <w:rFonts w:eastAsiaTheme="minorEastAsia"/>
              <w:smallCaps w:val="0"/>
              <w:noProof/>
              <w:sz w:val="24"/>
              <w:szCs w:val="24"/>
              <w:lang w:eastAsia="en-GB"/>
            </w:rPr>
          </w:pPr>
          <w:hyperlink w:anchor="_Toc179996481" w:history="1">
            <w:r w:rsidRPr="00761B76">
              <w:rPr>
                <w:rStyle w:val="Hyperlink"/>
                <w:noProof/>
              </w:rPr>
              <w:t>Suitability criteria</w:t>
            </w:r>
            <w:r>
              <w:rPr>
                <w:noProof/>
                <w:webHidden/>
              </w:rPr>
              <w:tab/>
            </w:r>
            <w:r>
              <w:rPr>
                <w:noProof/>
                <w:webHidden/>
              </w:rPr>
              <w:fldChar w:fldCharType="begin"/>
            </w:r>
            <w:r>
              <w:rPr>
                <w:noProof/>
                <w:webHidden/>
              </w:rPr>
              <w:instrText xml:space="preserve"> PAGEREF _Toc179996481 \h </w:instrText>
            </w:r>
            <w:r>
              <w:rPr>
                <w:noProof/>
                <w:webHidden/>
              </w:rPr>
            </w:r>
            <w:r>
              <w:rPr>
                <w:noProof/>
                <w:webHidden/>
              </w:rPr>
              <w:fldChar w:fldCharType="separate"/>
            </w:r>
            <w:r>
              <w:rPr>
                <w:noProof/>
                <w:webHidden/>
              </w:rPr>
              <w:t>5</w:t>
            </w:r>
            <w:r>
              <w:rPr>
                <w:noProof/>
                <w:webHidden/>
              </w:rPr>
              <w:fldChar w:fldCharType="end"/>
            </w:r>
          </w:hyperlink>
        </w:p>
        <w:p w14:paraId="523921B2" w14:textId="6ECFDA53" w:rsidR="004C1148" w:rsidRDefault="004C1148">
          <w:pPr>
            <w:pStyle w:val="TOC2"/>
            <w:tabs>
              <w:tab w:val="right" w:leader="dot" w:pos="9350"/>
            </w:tabs>
            <w:rPr>
              <w:rFonts w:eastAsiaTheme="minorEastAsia"/>
              <w:smallCaps w:val="0"/>
              <w:noProof/>
              <w:sz w:val="24"/>
              <w:szCs w:val="24"/>
              <w:lang w:eastAsia="en-GB"/>
            </w:rPr>
          </w:pPr>
          <w:hyperlink w:anchor="_Toc179996482" w:history="1">
            <w:r w:rsidRPr="00761B76">
              <w:rPr>
                <w:rStyle w:val="Hyperlink"/>
                <w:noProof/>
              </w:rPr>
              <w:t>Exclusionary criteria</w:t>
            </w:r>
            <w:r>
              <w:rPr>
                <w:noProof/>
                <w:webHidden/>
              </w:rPr>
              <w:tab/>
            </w:r>
            <w:r>
              <w:rPr>
                <w:noProof/>
                <w:webHidden/>
              </w:rPr>
              <w:fldChar w:fldCharType="begin"/>
            </w:r>
            <w:r>
              <w:rPr>
                <w:noProof/>
                <w:webHidden/>
              </w:rPr>
              <w:instrText xml:space="preserve"> PAGEREF _Toc179996482 \h </w:instrText>
            </w:r>
            <w:r>
              <w:rPr>
                <w:noProof/>
                <w:webHidden/>
              </w:rPr>
            </w:r>
            <w:r>
              <w:rPr>
                <w:noProof/>
                <w:webHidden/>
              </w:rPr>
              <w:fldChar w:fldCharType="separate"/>
            </w:r>
            <w:r>
              <w:rPr>
                <w:noProof/>
                <w:webHidden/>
              </w:rPr>
              <w:t>6</w:t>
            </w:r>
            <w:r>
              <w:rPr>
                <w:noProof/>
                <w:webHidden/>
              </w:rPr>
              <w:fldChar w:fldCharType="end"/>
            </w:r>
          </w:hyperlink>
        </w:p>
        <w:p w14:paraId="74CE7C88" w14:textId="03900057" w:rsidR="004C1148" w:rsidRDefault="004C1148">
          <w:pPr>
            <w:pStyle w:val="TOC2"/>
            <w:tabs>
              <w:tab w:val="right" w:leader="dot" w:pos="9350"/>
            </w:tabs>
            <w:rPr>
              <w:rFonts w:eastAsiaTheme="minorEastAsia"/>
              <w:smallCaps w:val="0"/>
              <w:noProof/>
              <w:sz w:val="24"/>
              <w:szCs w:val="24"/>
              <w:lang w:eastAsia="en-GB"/>
            </w:rPr>
          </w:pPr>
          <w:hyperlink w:anchor="_Toc179996483" w:history="1">
            <w:r w:rsidRPr="00761B76">
              <w:rPr>
                <w:rStyle w:val="Hyperlink"/>
                <w:noProof/>
              </w:rPr>
              <w:t>Exceptions to exclusionary criteria</w:t>
            </w:r>
            <w:r>
              <w:rPr>
                <w:noProof/>
                <w:webHidden/>
              </w:rPr>
              <w:tab/>
            </w:r>
            <w:r>
              <w:rPr>
                <w:noProof/>
                <w:webHidden/>
              </w:rPr>
              <w:fldChar w:fldCharType="begin"/>
            </w:r>
            <w:r>
              <w:rPr>
                <w:noProof/>
                <w:webHidden/>
              </w:rPr>
              <w:instrText xml:space="preserve"> PAGEREF _Toc179996483 \h </w:instrText>
            </w:r>
            <w:r>
              <w:rPr>
                <w:noProof/>
                <w:webHidden/>
              </w:rPr>
            </w:r>
            <w:r>
              <w:rPr>
                <w:noProof/>
                <w:webHidden/>
              </w:rPr>
              <w:fldChar w:fldCharType="separate"/>
            </w:r>
            <w:r>
              <w:rPr>
                <w:noProof/>
                <w:webHidden/>
              </w:rPr>
              <w:t>7</w:t>
            </w:r>
            <w:r>
              <w:rPr>
                <w:noProof/>
                <w:webHidden/>
              </w:rPr>
              <w:fldChar w:fldCharType="end"/>
            </w:r>
          </w:hyperlink>
        </w:p>
        <w:p w14:paraId="308C6990" w14:textId="58515E1D" w:rsidR="004C1148" w:rsidRDefault="004C1148">
          <w:pPr>
            <w:pStyle w:val="TOC2"/>
            <w:tabs>
              <w:tab w:val="right" w:leader="dot" w:pos="9350"/>
            </w:tabs>
            <w:rPr>
              <w:rFonts w:eastAsiaTheme="minorEastAsia"/>
              <w:smallCaps w:val="0"/>
              <w:noProof/>
              <w:sz w:val="24"/>
              <w:szCs w:val="24"/>
              <w:lang w:eastAsia="en-GB"/>
            </w:rPr>
          </w:pPr>
          <w:hyperlink w:anchor="_Toc179996484" w:history="1">
            <w:r w:rsidRPr="00761B76">
              <w:rPr>
                <w:rStyle w:val="Hyperlink"/>
                <w:noProof/>
              </w:rPr>
              <w:t>Indirect involvement</w:t>
            </w:r>
            <w:r>
              <w:rPr>
                <w:noProof/>
                <w:webHidden/>
              </w:rPr>
              <w:tab/>
            </w:r>
            <w:r>
              <w:rPr>
                <w:noProof/>
                <w:webHidden/>
              </w:rPr>
              <w:fldChar w:fldCharType="begin"/>
            </w:r>
            <w:r>
              <w:rPr>
                <w:noProof/>
                <w:webHidden/>
              </w:rPr>
              <w:instrText xml:space="preserve"> PAGEREF _Toc179996484 \h </w:instrText>
            </w:r>
            <w:r>
              <w:rPr>
                <w:noProof/>
                <w:webHidden/>
              </w:rPr>
            </w:r>
            <w:r>
              <w:rPr>
                <w:noProof/>
                <w:webHidden/>
              </w:rPr>
              <w:fldChar w:fldCharType="separate"/>
            </w:r>
            <w:r>
              <w:rPr>
                <w:noProof/>
                <w:webHidden/>
              </w:rPr>
              <w:t>7</w:t>
            </w:r>
            <w:r>
              <w:rPr>
                <w:noProof/>
                <w:webHidden/>
              </w:rPr>
              <w:fldChar w:fldCharType="end"/>
            </w:r>
          </w:hyperlink>
        </w:p>
        <w:p w14:paraId="15BA9268" w14:textId="208DF8F5" w:rsidR="004C1148" w:rsidRDefault="004C1148">
          <w:pPr>
            <w:pStyle w:val="TOC2"/>
            <w:tabs>
              <w:tab w:val="right" w:leader="dot" w:pos="9350"/>
            </w:tabs>
            <w:rPr>
              <w:rFonts w:eastAsiaTheme="minorEastAsia"/>
              <w:smallCaps w:val="0"/>
              <w:noProof/>
              <w:sz w:val="24"/>
              <w:szCs w:val="24"/>
              <w:lang w:eastAsia="en-GB"/>
            </w:rPr>
          </w:pPr>
          <w:hyperlink w:anchor="_Toc179996485" w:history="1">
            <w:r w:rsidRPr="00761B76">
              <w:rPr>
                <w:rStyle w:val="Hyperlink"/>
                <w:noProof/>
              </w:rPr>
              <w:t>High-risk sectors</w:t>
            </w:r>
            <w:r>
              <w:rPr>
                <w:noProof/>
                <w:webHidden/>
              </w:rPr>
              <w:tab/>
            </w:r>
            <w:r>
              <w:rPr>
                <w:noProof/>
                <w:webHidden/>
              </w:rPr>
              <w:fldChar w:fldCharType="begin"/>
            </w:r>
            <w:r>
              <w:rPr>
                <w:noProof/>
                <w:webHidden/>
              </w:rPr>
              <w:instrText xml:space="preserve"> PAGEREF _Toc179996485 \h </w:instrText>
            </w:r>
            <w:r>
              <w:rPr>
                <w:noProof/>
                <w:webHidden/>
              </w:rPr>
            </w:r>
            <w:r>
              <w:rPr>
                <w:noProof/>
                <w:webHidden/>
              </w:rPr>
              <w:fldChar w:fldCharType="separate"/>
            </w:r>
            <w:r>
              <w:rPr>
                <w:noProof/>
                <w:webHidden/>
              </w:rPr>
              <w:t>8</w:t>
            </w:r>
            <w:r>
              <w:rPr>
                <w:noProof/>
                <w:webHidden/>
              </w:rPr>
              <w:fldChar w:fldCharType="end"/>
            </w:r>
          </w:hyperlink>
        </w:p>
        <w:p w14:paraId="318F5222" w14:textId="46CC7CEE" w:rsidR="004C1148" w:rsidRDefault="004C1148">
          <w:pPr>
            <w:pStyle w:val="TOC1"/>
            <w:tabs>
              <w:tab w:val="right" w:leader="dot" w:pos="9350"/>
            </w:tabs>
            <w:rPr>
              <w:rFonts w:eastAsiaTheme="minorEastAsia"/>
              <w:b w:val="0"/>
              <w:bCs w:val="0"/>
              <w:caps w:val="0"/>
              <w:noProof/>
              <w:sz w:val="24"/>
              <w:szCs w:val="24"/>
              <w:lang w:eastAsia="en-GB"/>
            </w:rPr>
          </w:pPr>
          <w:hyperlink w:anchor="_Toc179996486" w:history="1">
            <w:r w:rsidRPr="00761B76">
              <w:rPr>
                <w:rStyle w:val="Hyperlink"/>
                <w:noProof/>
              </w:rPr>
              <w:t>5. Due Diligence Procedure</w:t>
            </w:r>
            <w:r>
              <w:rPr>
                <w:noProof/>
                <w:webHidden/>
              </w:rPr>
              <w:tab/>
            </w:r>
            <w:r>
              <w:rPr>
                <w:noProof/>
                <w:webHidden/>
              </w:rPr>
              <w:fldChar w:fldCharType="begin"/>
            </w:r>
            <w:r>
              <w:rPr>
                <w:noProof/>
                <w:webHidden/>
              </w:rPr>
              <w:instrText xml:space="preserve"> PAGEREF _Toc179996486 \h </w:instrText>
            </w:r>
            <w:r>
              <w:rPr>
                <w:noProof/>
                <w:webHidden/>
              </w:rPr>
            </w:r>
            <w:r>
              <w:rPr>
                <w:noProof/>
                <w:webHidden/>
              </w:rPr>
              <w:fldChar w:fldCharType="separate"/>
            </w:r>
            <w:r>
              <w:rPr>
                <w:noProof/>
                <w:webHidden/>
              </w:rPr>
              <w:t>9</w:t>
            </w:r>
            <w:r>
              <w:rPr>
                <w:noProof/>
                <w:webHidden/>
              </w:rPr>
              <w:fldChar w:fldCharType="end"/>
            </w:r>
          </w:hyperlink>
        </w:p>
        <w:p w14:paraId="624EBE96" w14:textId="1234EEE4" w:rsidR="004C1148" w:rsidRDefault="004C1148">
          <w:pPr>
            <w:pStyle w:val="TOC2"/>
            <w:tabs>
              <w:tab w:val="right" w:leader="dot" w:pos="9350"/>
            </w:tabs>
            <w:rPr>
              <w:rFonts w:eastAsiaTheme="minorEastAsia"/>
              <w:smallCaps w:val="0"/>
              <w:noProof/>
              <w:sz w:val="24"/>
              <w:szCs w:val="24"/>
              <w:lang w:eastAsia="en-GB"/>
            </w:rPr>
          </w:pPr>
          <w:hyperlink w:anchor="_Toc179996487" w:history="1">
            <w:r w:rsidRPr="00761B76">
              <w:rPr>
                <w:rStyle w:val="Hyperlink"/>
                <w:noProof/>
              </w:rPr>
              <w:t>Step 1: Profile research and initial screening</w:t>
            </w:r>
            <w:r>
              <w:rPr>
                <w:noProof/>
                <w:webHidden/>
              </w:rPr>
              <w:tab/>
            </w:r>
            <w:r>
              <w:rPr>
                <w:noProof/>
                <w:webHidden/>
              </w:rPr>
              <w:fldChar w:fldCharType="begin"/>
            </w:r>
            <w:r>
              <w:rPr>
                <w:noProof/>
                <w:webHidden/>
              </w:rPr>
              <w:instrText xml:space="preserve"> PAGEREF _Toc179996487 \h </w:instrText>
            </w:r>
            <w:r>
              <w:rPr>
                <w:noProof/>
                <w:webHidden/>
              </w:rPr>
            </w:r>
            <w:r>
              <w:rPr>
                <w:noProof/>
                <w:webHidden/>
              </w:rPr>
              <w:fldChar w:fldCharType="separate"/>
            </w:r>
            <w:r>
              <w:rPr>
                <w:noProof/>
                <w:webHidden/>
              </w:rPr>
              <w:t>10</w:t>
            </w:r>
            <w:r>
              <w:rPr>
                <w:noProof/>
                <w:webHidden/>
              </w:rPr>
              <w:fldChar w:fldCharType="end"/>
            </w:r>
          </w:hyperlink>
        </w:p>
        <w:p w14:paraId="01F27157" w14:textId="7363F5E0" w:rsidR="004C1148" w:rsidRDefault="004C1148">
          <w:pPr>
            <w:pStyle w:val="TOC2"/>
            <w:tabs>
              <w:tab w:val="right" w:leader="dot" w:pos="9350"/>
            </w:tabs>
            <w:rPr>
              <w:rFonts w:eastAsiaTheme="minorEastAsia"/>
              <w:smallCaps w:val="0"/>
              <w:noProof/>
              <w:sz w:val="24"/>
              <w:szCs w:val="24"/>
              <w:lang w:eastAsia="en-GB"/>
            </w:rPr>
          </w:pPr>
          <w:hyperlink w:anchor="_Toc179996488" w:history="1">
            <w:r w:rsidRPr="00761B76">
              <w:rPr>
                <w:rStyle w:val="Hyperlink"/>
                <w:noProof/>
              </w:rPr>
              <w:t>Step 2: Risk classification</w:t>
            </w:r>
            <w:r>
              <w:rPr>
                <w:noProof/>
                <w:webHidden/>
              </w:rPr>
              <w:tab/>
            </w:r>
            <w:r>
              <w:rPr>
                <w:noProof/>
                <w:webHidden/>
              </w:rPr>
              <w:fldChar w:fldCharType="begin"/>
            </w:r>
            <w:r>
              <w:rPr>
                <w:noProof/>
                <w:webHidden/>
              </w:rPr>
              <w:instrText xml:space="preserve"> PAGEREF _Toc179996488 \h </w:instrText>
            </w:r>
            <w:r>
              <w:rPr>
                <w:noProof/>
                <w:webHidden/>
              </w:rPr>
            </w:r>
            <w:r>
              <w:rPr>
                <w:noProof/>
                <w:webHidden/>
              </w:rPr>
              <w:fldChar w:fldCharType="separate"/>
            </w:r>
            <w:r>
              <w:rPr>
                <w:noProof/>
                <w:webHidden/>
              </w:rPr>
              <w:t>11</w:t>
            </w:r>
            <w:r>
              <w:rPr>
                <w:noProof/>
                <w:webHidden/>
              </w:rPr>
              <w:fldChar w:fldCharType="end"/>
            </w:r>
          </w:hyperlink>
        </w:p>
        <w:p w14:paraId="4CF2B8D9" w14:textId="34369ABB" w:rsidR="004C1148" w:rsidRDefault="004C1148">
          <w:pPr>
            <w:pStyle w:val="TOC2"/>
            <w:tabs>
              <w:tab w:val="right" w:leader="dot" w:pos="9350"/>
            </w:tabs>
            <w:rPr>
              <w:rFonts w:eastAsiaTheme="minorEastAsia"/>
              <w:smallCaps w:val="0"/>
              <w:noProof/>
              <w:sz w:val="24"/>
              <w:szCs w:val="24"/>
              <w:lang w:eastAsia="en-GB"/>
            </w:rPr>
          </w:pPr>
          <w:hyperlink w:anchor="_Toc179996489" w:history="1">
            <w:r w:rsidRPr="00761B76">
              <w:rPr>
                <w:rStyle w:val="Hyperlink"/>
                <w:noProof/>
              </w:rPr>
              <w:t>Step 3: Pathways</w:t>
            </w:r>
            <w:r>
              <w:rPr>
                <w:noProof/>
                <w:webHidden/>
              </w:rPr>
              <w:tab/>
            </w:r>
            <w:r>
              <w:rPr>
                <w:noProof/>
                <w:webHidden/>
              </w:rPr>
              <w:fldChar w:fldCharType="begin"/>
            </w:r>
            <w:r>
              <w:rPr>
                <w:noProof/>
                <w:webHidden/>
              </w:rPr>
              <w:instrText xml:space="preserve"> PAGEREF _Toc179996489 \h </w:instrText>
            </w:r>
            <w:r>
              <w:rPr>
                <w:noProof/>
                <w:webHidden/>
              </w:rPr>
            </w:r>
            <w:r>
              <w:rPr>
                <w:noProof/>
                <w:webHidden/>
              </w:rPr>
              <w:fldChar w:fldCharType="separate"/>
            </w:r>
            <w:r>
              <w:rPr>
                <w:noProof/>
                <w:webHidden/>
              </w:rPr>
              <w:t>12</w:t>
            </w:r>
            <w:r>
              <w:rPr>
                <w:noProof/>
                <w:webHidden/>
              </w:rPr>
              <w:fldChar w:fldCharType="end"/>
            </w:r>
          </w:hyperlink>
        </w:p>
        <w:p w14:paraId="16AA370D" w14:textId="1D39B534" w:rsidR="004C1148" w:rsidRDefault="004C1148">
          <w:pPr>
            <w:pStyle w:val="TOC2"/>
            <w:tabs>
              <w:tab w:val="right" w:leader="dot" w:pos="9350"/>
            </w:tabs>
            <w:rPr>
              <w:rFonts w:eastAsiaTheme="minorEastAsia"/>
              <w:smallCaps w:val="0"/>
              <w:noProof/>
              <w:sz w:val="24"/>
              <w:szCs w:val="24"/>
              <w:lang w:eastAsia="en-GB"/>
            </w:rPr>
          </w:pPr>
          <w:hyperlink w:anchor="_Toc179996490" w:history="1">
            <w:r w:rsidRPr="00761B76">
              <w:rPr>
                <w:rStyle w:val="Hyperlink"/>
                <w:noProof/>
              </w:rPr>
              <w:t>Step 4: Risk-benefit analysis</w:t>
            </w:r>
            <w:r>
              <w:rPr>
                <w:noProof/>
                <w:webHidden/>
              </w:rPr>
              <w:tab/>
            </w:r>
            <w:r>
              <w:rPr>
                <w:noProof/>
                <w:webHidden/>
              </w:rPr>
              <w:fldChar w:fldCharType="begin"/>
            </w:r>
            <w:r>
              <w:rPr>
                <w:noProof/>
                <w:webHidden/>
              </w:rPr>
              <w:instrText xml:space="preserve"> PAGEREF _Toc179996490 \h </w:instrText>
            </w:r>
            <w:r>
              <w:rPr>
                <w:noProof/>
                <w:webHidden/>
              </w:rPr>
            </w:r>
            <w:r>
              <w:rPr>
                <w:noProof/>
                <w:webHidden/>
              </w:rPr>
              <w:fldChar w:fldCharType="separate"/>
            </w:r>
            <w:r>
              <w:rPr>
                <w:noProof/>
                <w:webHidden/>
              </w:rPr>
              <w:t>12</w:t>
            </w:r>
            <w:r>
              <w:rPr>
                <w:noProof/>
                <w:webHidden/>
              </w:rPr>
              <w:fldChar w:fldCharType="end"/>
            </w:r>
          </w:hyperlink>
        </w:p>
        <w:p w14:paraId="1B0EAC84" w14:textId="4DAD4C05" w:rsidR="004C1148" w:rsidRDefault="004C1148">
          <w:pPr>
            <w:pStyle w:val="TOC2"/>
            <w:tabs>
              <w:tab w:val="right" w:leader="dot" w:pos="9350"/>
            </w:tabs>
            <w:rPr>
              <w:rFonts w:eastAsiaTheme="minorEastAsia"/>
              <w:smallCaps w:val="0"/>
              <w:noProof/>
              <w:sz w:val="24"/>
              <w:szCs w:val="24"/>
              <w:lang w:eastAsia="en-GB"/>
            </w:rPr>
          </w:pPr>
          <w:hyperlink w:anchor="_Toc179996491" w:history="1">
            <w:r w:rsidRPr="00761B76">
              <w:rPr>
                <w:rStyle w:val="Hyperlink"/>
                <w:noProof/>
              </w:rPr>
              <w:t>Step 5: Risk management and mitigation</w:t>
            </w:r>
            <w:r>
              <w:rPr>
                <w:noProof/>
                <w:webHidden/>
              </w:rPr>
              <w:tab/>
            </w:r>
            <w:r>
              <w:rPr>
                <w:noProof/>
                <w:webHidden/>
              </w:rPr>
              <w:fldChar w:fldCharType="begin"/>
            </w:r>
            <w:r>
              <w:rPr>
                <w:noProof/>
                <w:webHidden/>
              </w:rPr>
              <w:instrText xml:space="preserve"> PAGEREF _Toc179996491 \h </w:instrText>
            </w:r>
            <w:r>
              <w:rPr>
                <w:noProof/>
                <w:webHidden/>
              </w:rPr>
            </w:r>
            <w:r>
              <w:rPr>
                <w:noProof/>
                <w:webHidden/>
              </w:rPr>
              <w:fldChar w:fldCharType="separate"/>
            </w:r>
            <w:r>
              <w:rPr>
                <w:noProof/>
                <w:webHidden/>
              </w:rPr>
              <w:t>13</w:t>
            </w:r>
            <w:r>
              <w:rPr>
                <w:noProof/>
                <w:webHidden/>
              </w:rPr>
              <w:fldChar w:fldCharType="end"/>
            </w:r>
          </w:hyperlink>
        </w:p>
        <w:p w14:paraId="1CFCFFAC" w14:textId="44EA3A62" w:rsidR="004C1148" w:rsidRDefault="004C1148">
          <w:pPr>
            <w:pStyle w:val="TOC2"/>
            <w:tabs>
              <w:tab w:val="right" w:leader="dot" w:pos="9350"/>
            </w:tabs>
            <w:rPr>
              <w:rFonts w:eastAsiaTheme="minorEastAsia"/>
              <w:smallCaps w:val="0"/>
              <w:noProof/>
              <w:sz w:val="24"/>
              <w:szCs w:val="24"/>
              <w:lang w:eastAsia="en-GB"/>
            </w:rPr>
          </w:pPr>
          <w:hyperlink w:anchor="_Toc179996492" w:history="1">
            <w:r w:rsidRPr="00761B76">
              <w:rPr>
                <w:rStyle w:val="Hyperlink"/>
                <w:noProof/>
              </w:rPr>
              <w:t>Step 6: Final decision-making</w:t>
            </w:r>
            <w:r>
              <w:rPr>
                <w:noProof/>
                <w:webHidden/>
              </w:rPr>
              <w:tab/>
            </w:r>
            <w:r>
              <w:rPr>
                <w:noProof/>
                <w:webHidden/>
              </w:rPr>
              <w:fldChar w:fldCharType="begin"/>
            </w:r>
            <w:r>
              <w:rPr>
                <w:noProof/>
                <w:webHidden/>
              </w:rPr>
              <w:instrText xml:space="preserve"> PAGEREF _Toc179996492 \h </w:instrText>
            </w:r>
            <w:r>
              <w:rPr>
                <w:noProof/>
                <w:webHidden/>
              </w:rPr>
            </w:r>
            <w:r>
              <w:rPr>
                <w:noProof/>
                <w:webHidden/>
              </w:rPr>
              <w:fldChar w:fldCharType="separate"/>
            </w:r>
            <w:r>
              <w:rPr>
                <w:noProof/>
                <w:webHidden/>
              </w:rPr>
              <w:t>13</w:t>
            </w:r>
            <w:r>
              <w:rPr>
                <w:noProof/>
                <w:webHidden/>
              </w:rPr>
              <w:fldChar w:fldCharType="end"/>
            </w:r>
          </w:hyperlink>
        </w:p>
        <w:p w14:paraId="30E93A68" w14:textId="6322EF83" w:rsidR="004C1148" w:rsidRDefault="004C1148">
          <w:pPr>
            <w:pStyle w:val="TOC1"/>
            <w:tabs>
              <w:tab w:val="right" w:leader="dot" w:pos="9350"/>
            </w:tabs>
            <w:rPr>
              <w:rFonts w:eastAsiaTheme="minorEastAsia"/>
              <w:b w:val="0"/>
              <w:bCs w:val="0"/>
              <w:caps w:val="0"/>
              <w:noProof/>
              <w:sz w:val="24"/>
              <w:szCs w:val="24"/>
              <w:lang w:eastAsia="en-GB"/>
            </w:rPr>
          </w:pPr>
          <w:hyperlink w:anchor="_Toc179996493" w:history="1">
            <w:r w:rsidRPr="00761B76">
              <w:rPr>
                <w:rStyle w:val="Hyperlink"/>
                <w:noProof/>
              </w:rPr>
              <w:t>6. Roles and Responsibilities</w:t>
            </w:r>
            <w:r>
              <w:rPr>
                <w:noProof/>
                <w:webHidden/>
              </w:rPr>
              <w:tab/>
            </w:r>
            <w:r>
              <w:rPr>
                <w:noProof/>
                <w:webHidden/>
              </w:rPr>
              <w:fldChar w:fldCharType="begin"/>
            </w:r>
            <w:r>
              <w:rPr>
                <w:noProof/>
                <w:webHidden/>
              </w:rPr>
              <w:instrText xml:space="preserve"> PAGEREF _Toc179996493 \h </w:instrText>
            </w:r>
            <w:r>
              <w:rPr>
                <w:noProof/>
                <w:webHidden/>
              </w:rPr>
            </w:r>
            <w:r>
              <w:rPr>
                <w:noProof/>
                <w:webHidden/>
              </w:rPr>
              <w:fldChar w:fldCharType="separate"/>
            </w:r>
            <w:r>
              <w:rPr>
                <w:noProof/>
                <w:webHidden/>
              </w:rPr>
              <w:t>14</w:t>
            </w:r>
            <w:r>
              <w:rPr>
                <w:noProof/>
                <w:webHidden/>
              </w:rPr>
              <w:fldChar w:fldCharType="end"/>
            </w:r>
          </w:hyperlink>
        </w:p>
        <w:p w14:paraId="7E728836" w14:textId="230C5BD1" w:rsidR="004C1148" w:rsidRDefault="004C1148">
          <w:pPr>
            <w:pStyle w:val="TOC1"/>
            <w:tabs>
              <w:tab w:val="right" w:leader="dot" w:pos="9350"/>
            </w:tabs>
            <w:rPr>
              <w:rFonts w:eastAsiaTheme="minorEastAsia"/>
              <w:b w:val="0"/>
              <w:bCs w:val="0"/>
              <w:caps w:val="0"/>
              <w:noProof/>
              <w:sz w:val="24"/>
              <w:szCs w:val="24"/>
              <w:lang w:eastAsia="en-GB"/>
            </w:rPr>
          </w:pPr>
          <w:hyperlink w:anchor="_Toc179996494" w:history="1">
            <w:r w:rsidRPr="00761B76">
              <w:rPr>
                <w:rStyle w:val="Hyperlink"/>
                <w:noProof/>
              </w:rPr>
              <w:t>7. Communication</w:t>
            </w:r>
            <w:r>
              <w:rPr>
                <w:noProof/>
                <w:webHidden/>
              </w:rPr>
              <w:tab/>
            </w:r>
            <w:r>
              <w:rPr>
                <w:noProof/>
                <w:webHidden/>
              </w:rPr>
              <w:fldChar w:fldCharType="begin"/>
            </w:r>
            <w:r>
              <w:rPr>
                <w:noProof/>
                <w:webHidden/>
              </w:rPr>
              <w:instrText xml:space="preserve"> PAGEREF _Toc179996494 \h </w:instrText>
            </w:r>
            <w:r>
              <w:rPr>
                <w:noProof/>
                <w:webHidden/>
              </w:rPr>
            </w:r>
            <w:r>
              <w:rPr>
                <w:noProof/>
                <w:webHidden/>
              </w:rPr>
              <w:fldChar w:fldCharType="separate"/>
            </w:r>
            <w:r>
              <w:rPr>
                <w:noProof/>
                <w:webHidden/>
              </w:rPr>
              <w:t>14</w:t>
            </w:r>
            <w:r>
              <w:rPr>
                <w:noProof/>
                <w:webHidden/>
              </w:rPr>
              <w:fldChar w:fldCharType="end"/>
            </w:r>
          </w:hyperlink>
        </w:p>
        <w:p w14:paraId="0AE0770E" w14:textId="04DD0688" w:rsidR="004C1148" w:rsidRDefault="004C1148">
          <w:pPr>
            <w:pStyle w:val="TOC1"/>
            <w:tabs>
              <w:tab w:val="right" w:leader="dot" w:pos="9350"/>
            </w:tabs>
            <w:rPr>
              <w:rFonts w:eastAsiaTheme="minorEastAsia"/>
              <w:b w:val="0"/>
              <w:bCs w:val="0"/>
              <w:caps w:val="0"/>
              <w:noProof/>
              <w:sz w:val="24"/>
              <w:szCs w:val="24"/>
              <w:lang w:eastAsia="en-GB"/>
            </w:rPr>
          </w:pPr>
          <w:hyperlink w:anchor="_Toc179996495" w:history="1">
            <w:r w:rsidRPr="00761B76">
              <w:rPr>
                <w:rStyle w:val="Hyperlink"/>
                <w:noProof/>
              </w:rPr>
              <w:t>8. Monitoring and reporting</w:t>
            </w:r>
            <w:r>
              <w:rPr>
                <w:noProof/>
                <w:webHidden/>
              </w:rPr>
              <w:tab/>
            </w:r>
            <w:r>
              <w:rPr>
                <w:noProof/>
                <w:webHidden/>
              </w:rPr>
              <w:fldChar w:fldCharType="begin"/>
            </w:r>
            <w:r>
              <w:rPr>
                <w:noProof/>
                <w:webHidden/>
              </w:rPr>
              <w:instrText xml:space="preserve"> PAGEREF _Toc179996495 \h </w:instrText>
            </w:r>
            <w:r>
              <w:rPr>
                <w:noProof/>
                <w:webHidden/>
              </w:rPr>
            </w:r>
            <w:r>
              <w:rPr>
                <w:noProof/>
                <w:webHidden/>
              </w:rPr>
              <w:fldChar w:fldCharType="separate"/>
            </w:r>
            <w:r>
              <w:rPr>
                <w:noProof/>
                <w:webHidden/>
              </w:rPr>
              <w:t>15</w:t>
            </w:r>
            <w:r>
              <w:rPr>
                <w:noProof/>
                <w:webHidden/>
              </w:rPr>
              <w:fldChar w:fldCharType="end"/>
            </w:r>
          </w:hyperlink>
        </w:p>
        <w:p w14:paraId="341A3172" w14:textId="60441C3E" w:rsidR="0083018E" w:rsidRPr="0083018E" w:rsidRDefault="0083018E" w:rsidP="0083018E">
          <w:pPr>
            <w:rPr>
              <w:noProof/>
            </w:rPr>
          </w:pPr>
          <w:r w:rsidRPr="0083018E">
            <w:rPr>
              <w:b/>
              <w:bCs/>
              <w:noProof/>
            </w:rPr>
            <w:fldChar w:fldCharType="end"/>
          </w:r>
        </w:p>
      </w:sdtContent>
    </w:sdt>
    <w:p w14:paraId="385EF7DA" w14:textId="77777777" w:rsidR="007327E9" w:rsidRDefault="007327E9">
      <w:pPr>
        <w:spacing w:line="279" w:lineRule="auto"/>
        <w:jc w:val="left"/>
        <w:rPr>
          <w:b/>
          <w:bCs/>
          <w:color w:val="156082"/>
          <w:sz w:val="28"/>
          <w:szCs w:val="28"/>
        </w:rPr>
      </w:pPr>
      <w:r>
        <w:br w:type="page"/>
      </w:r>
    </w:p>
    <w:p w14:paraId="7A3EEC82" w14:textId="34017E81" w:rsidR="00E13ED6" w:rsidRDefault="00E13ED6" w:rsidP="007327E9">
      <w:pPr>
        <w:pStyle w:val="Heading1"/>
      </w:pPr>
      <w:bookmarkStart w:id="1" w:name="_Toc179996472"/>
      <w:r>
        <w:lastRenderedPageBreak/>
        <w:t xml:space="preserve">1. </w:t>
      </w:r>
      <w:r w:rsidRPr="008861F7">
        <w:t>Introduction</w:t>
      </w:r>
      <w:bookmarkEnd w:id="0"/>
      <w:bookmarkEnd w:id="1"/>
    </w:p>
    <w:p w14:paraId="1B174BB0" w14:textId="1C64406B" w:rsidR="00BB1355" w:rsidRDefault="00BB1355" w:rsidP="00BB1355">
      <w:bookmarkStart w:id="2" w:name="_Toc179455719"/>
      <w:r>
        <w:t xml:space="preserve">The </w:t>
      </w:r>
      <w:r w:rsidRPr="00E2649F">
        <w:rPr>
          <w:b/>
          <w:bCs/>
        </w:rPr>
        <w:t>Global Fund for Coral Reefs (GFCR)</w:t>
      </w:r>
      <w:r>
        <w:t xml:space="preserve"> recognises the private sector as a vital partner in its mission to preserve and restore coral reef ecosystems. </w:t>
      </w:r>
      <w:r w:rsidRPr="00942F83">
        <w:t xml:space="preserve">This </w:t>
      </w:r>
      <w:r w:rsidRPr="001917DE">
        <w:rPr>
          <w:b/>
          <w:bCs/>
        </w:rPr>
        <w:t>Private Sector Partnership</w:t>
      </w:r>
      <w:r w:rsidR="007C4EF8">
        <w:rPr>
          <w:b/>
          <w:bCs/>
        </w:rPr>
        <w:t xml:space="preserve"> Due Diligence</w:t>
      </w:r>
      <w:r w:rsidRPr="001917DE">
        <w:rPr>
          <w:b/>
          <w:bCs/>
        </w:rPr>
        <w:t xml:space="preserve"> Policy</w:t>
      </w:r>
      <w:r w:rsidRPr="00942F83">
        <w:t xml:space="preserve"> establishes a framework for engaging private sector entities across various scales, from local businesses to multinational corporations, in alignment with GFCR's overall strategy and values.</w:t>
      </w:r>
    </w:p>
    <w:p w14:paraId="67BF7062" w14:textId="0CEBFA44" w:rsidR="00BB1355" w:rsidRDefault="00BB1355" w:rsidP="00BB1355">
      <w:r w:rsidRPr="00C46AAF">
        <w:t xml:space="preserve">The </w:t>
      </w:r>
      <w:r w:rsidR="00BD0B65">
        <w:t>P</w:t>
      </w:r>
      <w:r w:rsidRPr="00C46AAF">
        <w:t xml:space="preserve">olicy ensures a systematic approach to developing, assessing, establishing, and managing private sector partnerships and associated risks. It aligns with the United Nations </w:t>
      </w:r>
      <w:r w:rsidR="00816403">
        <w:t xml:space="preserve">(UN) </w:t>
      </w:r>
      <w:r w:rsidRPr="00C46AAF">
        <w:t>Sustainable Development Group (UNSDG) Common Approach to Prospect Research and Due Diligence for Business Sector Partnerships</w:t>
      </w:r>
      <w:r>
        <w:rPr>
          <w:rStyle w:val="FootnoteReference"/>
        </w:rPr>
        <w:footnoteReference w:id="2"/>
      </w:r>
      <w:r w:rsidRPr="00C46AAF">
        <w:t xml:space="preserve">, as well as </w:t>
      </w:r>
      <w:r>
        <w:t xml:space="preserve">relevant </w:t>
      </w:r>
      <w:r w:rsidRPr="00C46AAF">
        <w:t>international integrity and sustainability principles</w:t>
      </w:r>
      <w:r>
        <w:t>, including</w:t>
      </w:r>
      <w:r w:rsidRPr="001917DE">
        <w:t xml:space="preserve"> the UN Global Compact Ten Principles and UN Guiding Principles on Business and Human Rights</w:t>
      </w:r>
      <w:r>
        <w:rPr>
          <w:rStyle w:val="FootnoteReference"/>
        </w:rPr>
        <w:footnoteReference w:id="3"/>
      </w:r>
      <w:r w:rsidRPr="001917DE">
        <w:t>.</w:t>
      </w:r>
    </w:p>
    <w:p w14:paraId="36474A73" w14:textId="5E9CA3D7" w:rsidR="00BB1355" w:rsidRDefault="00BB1355" w:rsidP="00BB1355">
      <w:r>
        <w:t>By establishing clear guidelines and expectations, this policy aims to maximi</w:t>
      </w:r>
      <w:r w:rsidR="00252EF5">
        <w:t>s</w:t>
      </w:r>
      <w:r>
        <w:t>e the positive impact of private sector collaboration while maintaining the integrity and effectiveness of GFCR's coral reef conservation efforts</w:t>
      </w:r>
      <w:r w:rsidR="000C5ED5">
        <w:t>.</w:t>
      </w:r>
    </w:p>
    <w:p w14:paraId="5077D807" w14:textId="7B5981C7" w:rsidR="00317F15" w:rsidRDefault="00BB1355" w:rsidP="00E92DA7">
      <w:r w:rsidRPr="00D60E44">
        <w:t>Th</w:t>
      </w:r>
      <w:r w:rsidR="00E73B91">
        <w:t>e</w:t>
      </w:r>
      <w:r w:rsidRPr="00D60E44">
        <w:t xml:space="preserve"> Policy outlines the GFCR's </w:t>
      </w:r>
      <w:r>
        <w:t>expectations for Convening Agents in engaging responsibly with the private sector.</w:t>
      </w:r>
      <w:r w:rsidRPr="00D60E44">
        <w:t xml:space="preserve"> </w:t>
      </w:r>
      <w:r>
        <w:t xml:space="preserve">It provides guidance on the purpose and scope of private sector engagement, including types of private sector partners and engagement modalities; the principles governing private sector partnerships; the requirements for partner selection; the necessary </w:t>
      </w:r>
      <w:r w:rsidRPr="00605B3A">
        <w:t xml:space="preserve">steps for </w:t>
      </w:r>
      <w:r>
        <w:t>responsible</w:t>
      </w:r>
      <w:r w:rsidRPr="00605B3A">
        <w:t xml:space="preserve"> engagement</w:t>
      </w:r>
      <w:r>
        <w:t>, risk assessment and due diligence; and mechanisms for communicating, monitoring, and reporting on private sector engagements.</w:t>
      </w:r>
    </w:p>
    <w:p w14:paraId="4A1D3C29" w14:textId="11E19DDC" w:rsidR="00E13ED6" w:rsidRDefault="00E13ED6" w:rsidP="007327E9">
      <w:pPr>
        <w:pStyle w:val="Heading1"/>
      </w:pPr>
      <w:bookmarkStart w:id="4" w:name="_Toc179996473"/>
      <w:r>
        <w:t>2. Purpose and scope</w:t>
      </w:r>
      <w:bookmarkEnd w:id="2"/>
      <w:bookmarkEnd w:id="4"/>
    </w:p>
    <w:p w14:paraId="3BB92DDA" w14:textId="77777777" w:rsidR="0046753D" w:rsidRDefault="0046753D" w:rsidP="0046753D">
      <w:pPr>
        <w:pStyle w:val="Heading2"/>
      </w:pPr>
      <w:bookmarkStart w:id="5" w:name="_Toc179996474"/>
      <w:bookmarkStart w:id="6" w:name="_Toc179455720"/>
      <w:r>
        <w:t>Why engage with the private sector?</w:t>
      </w:r>
      <w:bookmarkEnd w:id="5"/>
    </w:p>
    <w:p w14:paraId="4A20E17B" w14:textId="77777777" w:rsidR="0046753D" w:rsidRPr="009D6F38" w:rsidRDefault="0046753D" w:rsidP="0046753D">
      <w:pPr>
        <w:rPr>
          <w:lang w:val="en-US"/>
        </w:rPr>
      </w:pPr>
      <w:r w:rsidRPr="00E86A31">
        <w:rPr>
          <w:lang w:val="en-US"/>
        </w:rPr>
        <w:t xml:space="preserve">In recent years, there has been significantly increased recognition of the private sector's role in advancing sustainable development. </w:t>
      </w:r>
      <w:r w:rsidRPr="001621FB">
        <w:rPr>
          <w:lang w:val="en-US"/>
        </w:rPr>
        <w:t>This growing awareness has prompted GFCR to begin developing a more systematic and collaborative approach to private sector partnerships.</w:t>
      </w:r>
    </w:p>
    <w:p w14:paraId="6A770AFD" w14:textId="77777777" w:rsidR="0046753D" w:rsidRPr="00E86A31" w:rsidRDefault="0046753D" w:rsidP="0046753D">
      <w:pPr>
        <w:rPr>
          <w:lang w:val="en-US"/>
        </w:rPr>
      </w:pPr>
      <w:r w:rsidRPr="009D6F38">
        <w:rPr>
          <w:lang w:val="en-US"/>
        </w:rPr>
        <w:t xml:space="preserve">Engaging the private sector allows GFCR to leverage valuable resources, expertise, and innovative capacities that can significantly enhance coral reef conservation efforts. This collaboration facilitates the development of </w:t>
      </w:r>
      <w:r>
        <w:rPr>
          <w:lang w:val="en-US"/>
        </w:rPr>
        <w:t>“</w:t>
      </w:r>
      <w:r w:rsidRPr="009D6F38">
        <w:rPr>
          <w:lang w:val="en-US"/>
        </w:rPr>
        <w:t>reef-positive</w:t>
      </w:r>
      <w:r>
        <w:rPr>
          <w:lang w:val="en-US"/>
        </w:rPr>
        <w:t>”</w:t>
      </w:r>
      <w:r w:rsidRPr="009D6F38">
        <w:rPr>
          <w:lang w:val="en-US"/>
        </w:rPr>
        <w:t xml:space="preserve"> business models</w:t>
      </w:r>
      <w:r>
        <w:rPr>
          <w:lang w:val="en-US"/>
        </w:rPr>
        <w:t xml:space="preserve"> – </w:t>
      </w:r>
      <w:r w:rsidRPr="009D6F38">
        <w:rPr>
          <w:lang w:val="en-US"/>
        </w:rPr>
        <w:t xml:space="preserve">solutions designed to positively impact coral health while delivering sustainable benefits to local communities. By fostering these partnerships, GFCR can attract investments in sustainable ocean production, coastal development, ecotourism, and circular economy initiatives. Ultimately, this engagement positions GFCR to create </w:t>
      </w:r>
      <w:r w:rsidRPr="009D6F38">
        <w:rPr>
          <w:lang w:val="en-US"/>
        </w:rPr>
        <w:lastRenderedPageBreak/>
        <w:t>scalable and replicable models that benefit not only coral ecosystems but also climate resilience and community welfare.</w:t>
      </w:r>
    </w:p>
    <w:p w14:paraId="24934FEA" w14:textId="7FA6FDD3" w:rsidR="00E461EF" w:rsidRDefault="00E461EF" w:rsidP="006363B6">
      <w:pPr>
        <w:pStyle w:val="Heading2"/>
      </w:pPr>
      <w:bookmarkStart w:id="7" w:name="_Toc179996475"/>
      <w:r>
        <w:t>What is a private sector partnership?</w:t>
      </w:r>
      <w:bookmarkEnd w:id="7"/>
    </w:p>
    <w:p w14:paraId="32BEA027" w14:textId="4E314BA6" w:rsidR="00C83517" w:rsidRDefault="00C83517" w:rsidP="00C83517">
      <w:r>
        <w:t xml:space="preserve">For the purposes of this </w:t>
      </w:r>
      <w:r w:rsidR="008E5317">
        <w:t>P</w:t>
      </w:r>
      <w:r>
        <w:t>olicy</w:t>
      </w:r>
      <w:r w:rsidR="000020CD">
        <w:rPr>
          <w:rStyle w:val="FootnoteReference"/>
        </w:rPr>
        <w:footnoteReference w:id="4"/>
      </w:r>
      <w:r w:rsidR="00C17F00">
        <w:t xml:space="preserve">, a </w:t>
      </w:r>
      <w:r w:rsidR="00C17F00" w:rsidRPr="00C17F00">
        <w:rPr>
          <w:b/>
          <w:bCs/>
        </w:rPr>
        <w:t>private sector partnership</w:t>
      </w:r>
      <w:r w:rsidR="00C17F00" w:rsidRPr="00C17F00">
        <w:t xml:space="preserve"> refers to a voluntary, collaborative</w:t>
      </w:r>
      <w:r w:rsidR="001903F9">
        <w:t xml:space="preserve">, </w:t>
      </w:r>
      <w:r w:rsidR="001903F9" w:rsidRPr="002C2DF1">
        <w:t>formal</w:t>
      </w:r>
      <w:r w:rsidR="00C17F00" w:rsidRPr="00C17F00">
        <w:t xml:space="preserve"> agreement between the GFCR and a private sector entity, where participants work towards a common purpose, invest their respective resources, acknowledge mutual benefits, and share risks</w:t>
      </w:r>
      <w:r w:rsidR="00B6418E">
        <w:t xml:space="preserve"> and responsibilities</w:t>
      </w:r>
      <w:r w:rsidR="00C17F00" w:rsidRPr="00C17F00">
        <w:t>.</w:t>
      </w:r>
    </w:p>
    <w:p w14:paraId="426BE181" w14:textId="5C49604F" w:rsidR="00C96F1C" w:rsidRDefault="00C83517" w:rsidP="00BD03CE">
      <w:r>
        <w:t xml:space="preserve">The </w:t>
      </w:r>
      <w:r w:rsidRPr="00BD03CE">
        <w:rPr>
          <w:b/>
          <w:bCs/>
        </w:rPr>
        <w:t>private sector</w:t>
      </w:r>
      <w:r w:rsidR="00822E6F">
        <w:t xml:space="preserve"> refers</w:t>
      </w:r>
      <w:r>
        <w:t xml:space="preserve"> to the part of the economy run by individuals and companies, not controlled by the state. This includes for-profit businesses, privately-owned organi</w:t>
      </w:r>
      <w:r w:rsidR="004D7F4B">
        <w:t>s</w:t>
      </w:r>
      <w:r>
        <w:t>ations, and in some cases, influential individuals.</w:t>
      </w:r>
      <w:r w:rsidR="00BD03CE">
        <w:t xml:space="preserve"> </w:t>
      </w:r>
      <w:r w:rsidR="00C96F1C" w:rsidRPr="00BD03CE">
        <w:rPr>
          <w:b/>
          <w:bCs/>
        </w:rPr>
        <w:t>Private sector entities</w:t>
      </w:r>
      <w:r w:rsidR="000E5A48">
        <w:t xml:space="preserve"> </w:t>
      </w:r>
      <w:r w:rsidR="005C4B50">
        <w:t>refer</w:t>
      </w:r>
      <w:r w:rsidR="002A231E">
        <w:t xml:space="preserve"> to f</w:t>
      </w:r>
      <w:r>
        <w:t>or-profit and commercial enterprises of any size</w:t>
      </w:r>
      <w:r w:rsidR="002A231E">
        <w:t>, c</w:t>
      </w:r>
      <w:r>
        <w:t>orporate foundations and those directly funded/governed by businesses</w:t>
      </w:r>
      <w:r w:rsidR="002A231E">
        <w:t>, and/or b</w:t>
      </w:r>
      <w:r>
        <w:t>usiness associations, coalitions, and alliances</w:t>
      </w:r>
      <w:r w:rsidR="002A231E">
        <w:t>.</w:t>
      </w:r>
    </w:p>
    <w:p w14:paraId="4E36F221" w14:textId="459C55C6" w:rsidR="00E13ED6" w:rsidRDefault="00E13ED6" w:rsidP="00E13ED6">
      <w:pPr>
        <w:pStyle w:val="Heading2"/>
      </w:pPr>
      <w:bookmarkStart w:id="8" w:name="_Toc179455721"/>
      <w:bookmarkStart w:id="9" w:name="_Toc179996476"/>
      <w:bookmarkEnd w:id="6"/>
      <w:r>
        <w:t xml:space="preserve">Types of </w:t>
      </w:r>
      <w:bookmarkEnd w:id="8"/>
      <w:r w:rsidR="00BC0F2F">
        <w:t>partnerships</w:t>
      </w:r>
      <w:bookmarkEnd w:id="9"/>
    </w:p>
    <w:p w14:paraId="57E85176" w14:textId="640649E3" w:rsidR="00834BC1" w:rsidRPr="00454F42" w:rsidRDefault="009D6C06" w:rsidP="00834BC1">
      <w:r>
        <w:t>T</w:t>
      </w:r>
      <w:r w:rsidR="00FC75FE">
        <w:t>he</w:t>
      </w:r>
      <w:r w:rsidR="004B539E">
        <w:t xml:space="preserve"> GFCR recogni</w:t>
      </w:r>
      <w:r w:rsidR="00653F69">
        <w:t>s</w:t>
      </w:r>
      <w:r w:rsidR="004B539E">
        <w:t xml:space="preserve">es </w:t>
      </w:r>
      <w:r w:rsidR="005709FA">
        <w:t>a</w:t>
      </w:r>
      <w:r w:rsidR="004B539E">
        <w:t xml:space="preserve"> broad spectrum of engagement types </w:t>
      </w:r>
      <w:r w:rsidR="0083627B">
        <w:t xml:space="preserve">as </w:t>
      </w:r>
      <w:r w:rsidR="004B539E">
        <w:t xml:space="preserve">outlined by the </w:t>
      </w:r>
      <w:r w:rsidR="00B657A6">
        <w:t>UNSDG</w:t>
      </w:r>
      <w:r>
        <w:t>. I</w:t>
      </w:r>
      <w:r w:rsidR="00B657A6">
        <w:t>nteractions</w:t>
      </w:r>
      <w:r w:rsidR="00834BC1">
        <w:t xml:space="preserve"> with </w:t>
      </w:r>
      <w:r w:rsidR="009E3EC2">
        <w:t>private sector entities</w:t>
      </w:r>
      <w:r w:rsidR="00834BC1">
        <w:t xml:space="preserve"> are considered partnerships when their scope and implementation are structured </w:t>
      </w:r>
      <w:r w:rsidR="0071308B">
        <w:t xml:space="preserve">to </w:t>
      </w:r>
      <w:r w:rsidR="009E3EC2">
        <w:t>f</w:t>
      </w:r>
      <w:r w:rsidR="009E3EC2" w:rsidRPr="009E3EC2">
        <w:t>all into one or more of the following three categories</w:t>
      </w:r>
      <w:r w:rsidR="00834BC1">
        <w:t>:</w:t>
      </w:r>
    </w:p>
    <w:p w14:paraId="211C0DE3" w14:textId="2B41F6EC" w:rsidR="007302C3" w:rsidRDefault="001D300B" w:rsidP="00E44C79">
      <w:pPr>
        <w:pStyle w:val="ListParagraph"/>
        <w:numPr>
          <w:ilvl w:val="0"/>
          <w:numId w:val="5"/>
        </w:numPr>
      </w:pPr>
      <w:r w:rsidRPr="007558B3">
        <w:rPr>
          <w:b/>
          <w:bCs/>
        </w:rPr>
        <w:t>Resource mobilisation</w:t>
      </w:r>
      <w:r>
        <w:t xml:space="preserve">: </w:t>
      </w:r>
      <w:r w:rsidR="007302C3">
        <w:t>E</w:t>
      </w:r>
      <w:r w:rsidR="007302C3" w:rsidRPr="007302C3">
        <w:t>ncompasses financial contributions to specific program</w:t>
      </w:r>
      <w:r w:rsidR="007302C3">
        <w:t>me</w:t>
      </w:r>
      <w:r w:rsidR="007302C3" w:rsidRPr="007302C3">
        <w:t>s or projects, as well as pro bono goods and services that support coral reef conservation efforts</w:t>
      </w:r>
      <w:r w:rsidR="00B85DB9">
        <w:t>.</w:t>
      </w:r>
      <w:r w:rsidR="00086C18">
        <w:t xml:space="preserve"> </w:t>
      </w:r>
      <w:r w:rsidR="00730E4B" w:rsidRPr="00730E4B">
        <w:t>The private sector</w:t>
      </w:r>
      <w:r w:rsidR="00730E4B">
        <w:t xml:space="preserve"> entity</w:t>
      </w:r>
      <w:r w:rsidR="00730E4B" w:rsidRPr="00730E4B">
        <w:t xml:space="preserve"> typically views these contributions as social investments, made without the expectation of direct financial returns.</w:t>
      </w:r>
      <w:r w:rsidR="007558B3">
        <w:t xml:space="preserve"> Example</w:t>
      </w:r>
      <w:r w:rsidR="005A01D7">
        <w:t xml:space="preserve">s </w:t>
      </w:r>
      <w:r w:rsidR="007558B3">
        <w:t>include</w:t>
      </w:r>
      <w:r w:rsidR="00CF7341">
        <w:t xml:space="preserve"> </w:t>
      </w:r>
      <w:r w:rsidR="007558B3">
        <w:t>sponsorship, grant donations, marketing and campaign</w:t>
      </w:r>
      <w:r w:rsidR="005A01D7">
        <w:t xml:space="preserve"> collaborations</w:t>
      </w:r>
      <w:r w:rsidR="00EA732C">
        <w:t>, or contributions in kind (CIK).</w:t>
      </w:r>
    </w:p>
    <w:p w14:paraId="127E6EDA" w14:textId="0D50936C" w:rsidR="007D7F59" w:rsidRDefault="004B539E" w:rsidP="00C233A2">
      <w:pPr>
        <w:pStyle w:val="ListParagraph"/>
        <w:numPr>
          <w:ilvl w:val="0"/>
          <w:numId w:val="5"/>
        </w:numPr>
      </w:pPr>
      <w:r w:rsidRPr="005845FF">
        <w:rPr>
          <w:b/>
          <w:bCs/>
        </w:rPr>
        <w:t>Advocacy engagements</w:t>
      </w:r>
      <w:r w:rsidR="00653F69" w:rsidRPr="005845FF">
        <w:rPr>
          <w:b/>
          <w:bCs/>
        </w:rPr>
        <w:t>:</w:t>
      </w:r>
      <w:r w:rsidR="00653F69">
        <w:t xml:space="preserve"> </w:t>
      </w:r>
      <w:r w:rsidR="007D7F59">
        <w:t xml:space="preserve">Involve </w:t>
      </w:r>
      <w:r w:rsidR="007D7F59" w:rsidRPr="007D7F59">
        <w:t xml:space="preserve">GFCR's collaboration with </w:t>
      </w:r>
      <w:r w:rsidR="007D7F59">
        <w:t>private sector entities</w:t>
      </w:r>
      <w:r w:rsidR="007D7F59" w:rsidRPr="007D7F59">
        <w:t xml:space="preserve"> or networks to convene platforms for joint advocacy. These partnerships aim to promote coral reef conservation and influence sustainable, reef-friendly practices within the private sector.</w:t>
      </w:r>
      <w:r w:rsidR="005845FF">
        <w:t xml:space="preserve"> Example</w:t>
      </w:r>
      <w:r w:rsidR="00FE5D18">
        <w:t xml:space="preserve">s </w:t>
      </w:r>
      <w:r w:rsidR="005845FF">
        <w:t>include media campaigns, community-level communication for development programmes or projects, and public events.</w:t>
      </w:r>
    </w:p>
    <w:p w14:paraId="55BDE6FA" w14:textId="11F8F8CB" w:rsidR="00AA7EF0" w:rsidRDefault="00AA7EF0" w:rsidP="00196D96">
      <w:pPr>
        <w:pStyle w:val="ListParagraph"/>
        <w:numPr>
          <w:ilvl w:val="0"/>
          <w:numId w:val="5"/>
        </w:numPr>
      </w:pPr>
      <w:r w:rsidRPr="00DA6A78">
        <w:rPr>
          <w:b/>
          <w:bCs/>
        </w:rPr>
        <w:t xml:space="preserve">Technical </w:t>
      </w:r>
      <w:r w:rsidR="005A5088" w:rsidRPr="00DA6A78">
        <w:rPr>
          <w:b/>
          <w:bCs/>
        </w:rPr>
        <w:t>c</w:t>
      </w:r>
      <w:r w:rsidRPr="00DA6A78">
        <w:rPr>
          <w:b/>
          <w:bCs/>
        </w:rPr>
        <w:t>ollaboration</w:t>
      </w:r>
      <w:r w:rsidR="005A5088" w:rsidRPr="00DA6A78">
        <w:rPr>
          <w:b/>
          <w:bCs/>
        </w:rPr>
        <w:t>, shared value</w:t>
      </w:r>
      <w:r w:rsidRPr="00DA6A78">
        <w:rPr>
          <w:b/>
          <w:bCs/>
        </w:rPr>
        <w:t xml:space="preserve"> and innovation</w:t>
      </w:r>
      <w:r>
        <w:t xml:space="preserve">: </w:t>
      </w:r>
      <w:r w:rsidR="00C839CB">
        <w:t>A</w:t>
      </w:r>
      <w:r w:rsidR="00C839CB" w:rsidRPr="00C839CB">
        <w:t>ddress specific programmatic needs and challenges with defined technical specifications</w:t>
      </w:r>
      <w:r w:rsidR="00FF175C" w:rsidRPr="00FF175C">
        <w:t xml:space="preserve">. </w:t>
      </w:r>
      <w:r w:rsidR="00C839CB">
        <w:t>They</w:t>
      </w:r>
      <w:r w:rsidR="00FF175C" w:rsidRPr="00FF175C">
        <w:t xml:space="preserve"> may include capacity-building activities where companies provide expertise and knowledge to help GFCR entities improve their practices and develop forward-looking solutions. They may also involve shared value and innovation partnerships where GFCR works with partners to design and deliver solutions to problems where existing approaches are insufficient.</w:t>
      </w:r>
      <w:r w:rsidR="00DA6A78">
        <w:t xml:space="preserve"> Exampl</w:t>
      </w:r>
      <w:r w:rsidR="00196D96">
        <w:t>es include</w:t>
      </w:r>
      <w:r w:rsidR="00DA6A78">
        <w:t xml:space="preserve"> </w:t>
      </w:r>
      <w:r w:rsidR="00371035" w:rsidRPr="00371035">
        <w:t>co-creation of product innovations or innovative solutions, business advisory services, corporate staff secondment</w:t>
      </w:r>
      <w:r w:rsidR="00DA6A78">
        <w:t>, feasibility studies, implementation and evaluation activities, innovative finance, and core business for market development.</w:t>
      </w:r>
    </w:p>
    <w:p w14:paraId="78A9FD42" w14:textId="11111315" w:rsidR="001848EB" w:rsidRDefault="001848EB" w:rsidP="004B539E">
      <w:r w:rsidRPr="001848EB">
        <w:lastRenderedPageBreak/>
        <w:t>GFCR also recogni</w:t>
      </w:r>
      <w:r>
        <w:t>s</w:t>
      </w:r>
      <w:r w:rsidRPr="001848EB">
        <w:t xml:space="preserve">es and may engage in other modalities as defined by the UNSDG. These include policy dialogues and </w:t>
      </w:r>
      <w:r w:rsidR="00266837">
        <w:t xml:space="preserve">engagement in </w:t>
      </w:r>
      <w:r w:rsidRPr="001848EB">
        <w:t>normative setting</w:t>
      </w:r>
      <w:r w:rsidR="00266837">
        <w:t>s</w:t>
      </w:r>
      <w:r w:rsidRPr="001848EB">
        <w:t>, knowledge and information exchange, and capacity development. These additional modalities may be employed as needed to support GFCR's primary objectives and enhance its impact on coral reef conservation and sustainable development.</w:t>
      </w:r>
    </w:p>
    <w:p w14:paraId="1D8F71C5" w14:textId="301533DE" w:rsidR="00266245" w:rsidRDefault="004B539E" w:rsidP="004B539E">
      <w:r>
        <w:t xml:space="preserve">All partnerships, regardless of type, are subject to GFCR's due diligence process to ensure alignment with its mission, values, and risk management framework. </w:t>
      </w:r>
    </w:p>
    <w:p w14:paraId="1F6A96F8" w14:textId="63D0A828" w:rsidR="00E13ED6" w:rsidRDefault="00E13ED6" w:rsidP="00E13ED6">
      <w:pPr>
        <w:pStyle w:val="Heading2"/>
      </w:pPr>
      <w:bookmarkStart w:id="10" w:name="_Toc179455722"/>
      <w:bookmarkStart w:id="11" w:name="_Toc179996477"/>
      <w:r>
        <w:t>Risk</w:t>
      </w:r>
      <w:r w:rsidR="00A34295">
        <w:t>-Aware</w:t>
      </w:r>
      <w:r>
        <w:t xml:space="preserve"> </w:t>
      </w:r>
      <w:r w:rsidR="002A268F">
        <w:t>A</w:t>
      </w:r>
      <w:r>
        <w:t>pproach</w:t>
      </w:r>
      <w:bookmarkEnd w:id="10"/>
      <w:bookmarkEnd w:id="11"/>
    </w:p>
    <w:p w14:paraId="4AECD9FC" w14:textId="08D0746B" w:rsidR="00CC67AF" w:rsidRDefault="00CC67AF" w:rsidP="00D81E92">
      <w:r>
        <w:t xml:space="preserve">The GFCR recognises that risks are inherent in any </w:t>
      </w:r>
      <w:r w:rsidR="00A02DF9">
        <w:t>partnership</w:t>
      </w:r>
      <w:r>
        <w:t xml:space="preserve"> with the private sector.</w:t>
      </w:r>
      <w:r w:rsidR="00A02DF9">
        <w:t xml:space="preserve"> </w:t>
      </w:r>
      <w:r w:rsidR="00A02DF9" w:rsidRPr="00A02DF9">
        <w:t>As such, the GFCR adopts a risk-awareness approach in its Private Sector Partnership</w:t>
      </w:r>
      <w:r w:rsidR="00345047">
        <w:t xml:space="preserve"> Due </w:t>
      </w:r>
      <w:r w:rsidR="004E505F">
        <w:t>Diligence</w:t>
      </w:r>
      <w:r w:rsidR="00A02DF9" w:rsidRPr="00A02DF9">
        <w:t xml:space="preserve"> Policy, acknowledging that while partnerships can bring benefits, they also require careful consideration and management of potential risks.</w:t>
      </w:r>
    </w:p>
    <w:p w14:paraId="35DFEC37" w14:textId="77777777" w:rsidR="004928C2" w:rsidRDefault="00940CEE" w:rsidP="00940CEE">
      <w:r>
        <w:t xml:space="preserve">The GFCR's risk-awareness strategy is designed to protect the </w:t>
      </w:r>
      <w:r w:rsidR="00876063">
        <w:t>GFCR’s</w:t>
      </w:r>
      <w:r>
        <w:t xml:space="preserve"> integrity, credibility, and reputation while simultaneously creating opportunities for innovative and impactful collaborations. This approach involves establishing clear criteria for partnership development, informed </w:t>
      </w:r>
      <w:r w:rsidR="004B0226">
        <w:t xml:space="preserve">due diligence and </w:t>
      </w:r>
      <w:r>
        <w:t xml:space="preserve">decision-making processes, and robust oversight mechanisms. </w:t>
      </w:r>
    </w:p>
    <w:p w14:paraId="072D60C2" w14:textId="36ED7A7D" w:rsidR="00940CEE" w:rsidRDefault="00876063" w:rsidP="00940CEE">
      <w:r>
        <w:t xml:space="preserve">Key areas of risk assessment include evaluating the alignment of potential partners with the GFCR's principles and goals, examining their environmental and social practices, and considering any potential negative impacts on coral reef ecosystems or local communities. </w:t>
      </w:r>
      <w:r w:rsidR="00940CEE">
        <w:t xml:space="preserve">By </w:t>
      </w:r>
      <w:r w:rsidR="00707C4D">
        <w:t>addressing these factors</w:t>
      </w:r>
      <w:r w:rsidR="00940CEE">
        <w:t>, the GFCR aims to mitigate potential risks such as conflicts of interest, reputational damage, or actions that may undermine its mission and advocacy efforts for coral reef conservation.</w:t>
      </w:r>
    </w:p>
    <w:p w14:paraId="572E7AAA" w14:textId="2406131C" w:rsidR="00E13ED6" w:rsidRDefault="006363B6" w:rsidP="006363B6">
      <w:pPr>
        <w:pStyle w:val="Heading2"/>
      </w:pPr>
      <w:bookmarkStart w:id="12" w:name="_Toc179455723"/>
      <w:bookmarkStart w:id="13" w:name="_Toc179996478"/>
      <w:r>
        <w:t>Applicability of the Policy</w:t>
      </w:r>
      <w:bookmarkEnd w:id="12"/>
      <w:bookmarkEnd w:id="13"/>
    </w:p>
    <w:p w14:paraId="7928F6E4" w14:textId="74D85130" w:rsidR="00785D1E" w:rsidRDefault="00785D1E" w:rsidP="00B52E51">
      <w:r>
        <w:t xml:space="preserve">This Policy governs all private sector partnerships as defined in the preceding sections. It </w:t>
      </w:r>
      <w:r w:rsidR="00B52E51">
        <w:t xml:space="preserve">applies both when </w:t>
      </w:r>
      <w:r>
        <w:t xml:space="preserve">GFCR </w:t>
      </w:r>
      <w:r w:rsidR="007C65D8">
        <w:t xml:space="preserve">or its Convening Agents </w:t>
      </w:r>
      <w:r>
        <w:t>select partners to engage with for advancing development initiatives</w:t>
      </w:r>
      <w:r w:rsidR="00B52E51">
        <w:t>, and w</w:t>
      </w:r>
      <w:r>
        <w:t xml:space="preserve">hen GFCR </w:t>
      </w:r>
      <w:r w:rsidR="00595619">
        <w:t xml:space="preserve">or its Convening Agents </w:t>
      </w:r>
      <w:r>
        <w:t xml:space="preserve">determine which private sector </w:t>
      </w:r>
      <w:r w:rsidR="00B52E51">
        <w:t>entities and sectors</w:t>
      </w:r>
      <w:r>
        <w:t xml:space="preserve"> to support in efforts to promote private sector development and deliver capacity-building activities</w:t>
      </w:r>
      <w:r w:rsidR="00391C89">
        <w:t xml:space="preserve"> within the coral reef conservation context</w:t>
      </w:r>
      <w:r>
        <w:t>.</w:t>
      </w:r>
    </w:p>
    <w:p w14:paraId="0D0986C9" w14:textId="77777777" w:rsidR="005E4A16" w:rsidRDefault="00785D1E" w:rsidP="00785D1E">
      <w:r>
        <w:t xml:space="preserve">The scope of this policy extends to any alliance that involves the public use of GFCR brand assets, including its name, logo, and emblem. This applies whether these assets are used to describe or promote a partnership or a collaborative effort between GFCR and one or more entities from the </w:t>
      </w:r>
      <w:r w:rsidR="00391C89">
        <w:t>private</w:t>
      </w:r>
      <w:r>
        <w:t xml:space="preserve"> sector.</w:t>
      </w:r>
      <w:r w:rsidR="005D6EB6">
        <w:t xml:space="preserve"> </w:t>
      </w:r>
    </w:p>
    <w:p w14:paraId="6A7139B4" w14:textId="726E503F" w:rsidR="00BD2553" w:rsidRPr="00BD2553" w:rsidRDefault="00ED314E" w:rsidP="00785D1E">
      <w:r>
        <w:t>Entering</w:t>
      </w:r>
      <w:r w:rsidR="00785D1E">
        <w:t xml:space="preserve"> a partnership with GFCR does not confer any preferential treatment to a private sector entity in procurement processes.</w:t>
      </w:r>
    </w:p>
    <w:p w14:paraId="2D24AC0B" w14:textId="38BEE8A6" w:rsidR="00E13ED6" w:rsidRDefault="00E13ED6" w:rsidP="007327E9">
      <w:pPr>
        <w:pStyle w:val="Heading1"/>
      </w:pPr>
      <w:bookmarkStart w:id="14" w:name="_Toc179455724"/>
      <w:bookmarkStart w:id="15" w:name="_Toc179996479"/>
      <w:r>
        <w:t>3. Principles</w:t>
      </w:r>
      <w:bookmarkEnd w:id="14"/>
      <w:bookmarkEnd w:id="15"/>
    </w:p>
    <w:p w14:paraId="3F331145" w14:textId="68580418" w:rsidR="008B4FDB" w:rsidRPr="008B4FDB" w:rsidRDefault="008B4FDB" w:rsidP="008B4FDB">
      <w:r w:rsidRPr="008B4FDB">
        <w:lastRenderedPageBreak/>
        <w:t>Key principles</w:t>
      </w:r>
      <w:r w:rsidR="000539E5">
        <w:rPr>
          <w:rStyle w:val="FootnoteReference"/>
        </w:rPr>
        <w:footnoteReference w:id="5"/>
      </w:r>
      <w:r w:rsidR="00AA2B65">
        <w:t xml:space="preserve"> </w:t>
      </w:r>
      <w:r w:rsidRPr="008B4FDB">
        <w:t xml:space="preserve">that should guide </w:t>
      </w:r>
      <w:r w:rsidR="00D6711F" w:rsidRPr="00D6711F">
        <w:t xml:space="preserve">GFCR's work with the private sector and operations </w:t>
      </w:r>
      <w:r w:rsidR="00750A24">
        <w:t>through</w:t>
      </w:r>
      <w:r w:rsidR="00D6711F" w:rsidRPr="00D6711F">
        <w:t xml:space="preserve"> Convening Agents</w:t>
      </w:r>
      <w:r w:rsidR="000539E5">
        <w:t xml:space="preserve">, </w:t>
      </w:r>
      <w:r w:rsidRPr="008B4FDB">
        <w:t>include:</w:t>
      </w:r>
    </w:p>
    <w:p w14:paraId="41840292" w14:textId="5E2E209A" w:rsidR="00CF5679" w:rsidRPr="0048195B" w:rsidRDefault="00C07B20" w:rsidP="00CF5679">
      <w:pPr>
        <w:pStyle w:val="ListParagraph"/>
        <w:numPr>
          <w:ilvl w:val="0"/>
          <w:numId w:val="3"/>
        </w:numPr>
      </w:pPr>
      <w:r w:rsidRPr="00C07B20">
        <w:rPr>
          <w:b/>
          <w:bCs/>
        </w:rPr>
        <w:t>Advanc</w:t>
      </w:r>
      <w:r w:rsidR="00ED1B66">
        <w:rPr>
          <w:b/>
          <w:bCs/>
        </w:rPr>
        <w:t>ing</w:t>
      </w:r>
      <w:r w:rsidRPr="00C07B20">
        <w:rPr>
          <w:b/>
          <w:bCs/>
        </w:rPr>
        <w:t xml:space="preserve"> GFCR goals</w:t>
      </w:r>
      <w:r w:rsidR="00021298">
        <w:rPr>
          <w:b/>
          <w:bCs/>
        </w:rPr>
        <w:t xml:space="preserve">: </w:t>
      </w:r>
      <w:r w:rsidR="003454CF">
        <w:t>Partnerships</w:t>
      </w:r>
      <w:r w:rsidR="0048195B" w:rsidRPr="0048195B">
        <w:t xml:space="preserve"> </w:t>
      </w:r>
      <w:r w:rsidR="00C2567E">
        <w:t>should</w:t>
      </w:r>
      <w:r w:rsidR="0048195B" w:rsidRPr="0048195B">
        <w:t xml:space="preserve"> clearly focus on advancing GFCR's mission of coral reef conservation</w:t>
      </w:r>
      <w:r w:rsidR="00393979">
        <w:t>,</w:t>
      </w:r>
      <w:r w:rsidR="0048195B" w:rsidRPr="0048195B">
        <w:t xml:space="preserve"> </w:t>
      </w:r>
      <w:r w:rsidR="00393979" w:rsidRPr="00393979">
        <w:t>enhancing the resilience of coastal ecosystems, and supporting sustainable development in reef-dependent communities and economies</w:t>
      </w:r>
      <w:r w:rsidR="00ED1B66">
        <w:t>.</w:t>
      </w:r>
    </w:p>
    <w:p w14:paraId="25F11C9C" w14:textId="56EEC2CB" w:rsidR="00CF5679" w:rsidRDefault="00BB7154" w:rsidP="00CF5679">
      <w:pPr>
        <w:pStyle w:val="ListParagraph"/>
        <w:numPr>
          <w:ilvl w:val="0"/>
          <w:numId w:val="3"/>
        </w:numPr>
      </w:pPr>
      <w:r w:rsidRPr="001144A3">
        <w:rPr>
          <w:b/>
          <w:bCs/>
        </w:rPr>
        <w:t>Impact-oriented</w:t>
      </w:r>
      <w:r w:rsidR="00D420C8">
        <w:rPr>
          <w:b/>
          <w:bCs/>
        </w:rPr>
        <w:t xml:space="preserve">: </w:t>
      </w:r>
      <w:r w:rsidR="003454CF">
        <w:t>Partnerships</w:t>
      </w:r>
      <w:r w:rsidR="003454CF" w:rsidRPr="0048195B">
        <w:t xml:space="preserve"> </w:t>
      </w:r>
      <w:r w:rsidR="00713116">
        <w:t>should be results-oriented</w:t>
      </w:r>
      <w:r w:rsidR="00D420C8" w:rsidRPr="00D420C8">
        <w:t>, prioriti</w:t>
      </w:r>
      <w:r w:rsidR="00D420C8">
        <w:t>s</w:t>
      </w:r>
      <w:r w:rsidR="00D420C8" w:rsidRPr="00D420C8">
        <w:t xml:space="preserve">ing </w:t>
      </w:r>
      <w:r w:rsidR="00FF23DB" w:rsidRPr="00FF23DB">
        <w:t xml:space="preserve">actions that have the greatest impact in quality and scale, or potential for scalability. They should deliver measurable outcomes with significant impacts on coral reef ecosystems and local communities, </w:t>
      </w:r>
      <w:r w:rsidR="00B41B6B" w:rsidRPr="00B41B6B">
        <w:t>driving innovative solutions for sustainability and resilience against environmental and economic shocks</w:t>
      </w:r>
      <w:r w:rsidR="00FF23DB" w:rsidRPr="00FF23DB">
        <w:t>.</w:t>
      </w:r>
    </w:p>
    <w:p w14:paraId="28968A34" w14:textId="538F80EE" w:rsidR="00BB7154" w:rsidRPr="00FF23DB" w:rsidRDefault="00BB7154" w:rsidP="00CF5679">
      <w:pPr>
        <w:pStyle w:val="ListParagraph"/>
        <w:numPr>
          <w:ilvl w:val="0"/>
          <w:numId w:val="3"/>
        </w:numPr>
      </w:pPr>
      <w:r w:rsidRPr="00FF23DB">
        <w:rPr>
          <w:b/>
          <w:bCs/>
        </w:rPr>
        <w:t>Transparency and disclosure</w:t>
      </w:r>
      <w:r w:rsidR="00F30E94" w:rsidRPr="00FF23DB">
        <w:rPr>
          <w:b/>
          <w:bCs/>
        </w:rPr>
        <w:t>:</w:t>
      </w:r>
      <w:r w:rsidR="00EB4E2F" w:rsidRPr="00EB4E2F">
        <w:rPr>
          <w:rFonts w:ascii="Segoe UI" w:hAnsi="Segoe UI" w:cs="Segoe UI"/>
        </w:rPr>
        <w:t xml:space="preserve"> </w:t>
      </w:r>
      <w:r w:rsidR="00EB4E2F" w:rsidRPr="00EB4E2F">
        <w:t> Partnerships should be transparent, with information on the nature and scope of any collaboration made available to the public. This includes implementing robust monitoring and reporting frameworks to track progress</w:t>
      </w:r>
      <w:r w:rsidR="005501FC">
        <w:t>.</w:t>
      </w:r>
    </w:p>
    <w:p w14:paraId="0FDA6126" w14:textId="6A051D7E" w:rsidR="00DE052B" w:rsidRDefault="009577FA" w:rsidP="00DC74A7">
      <w:pPr>
        <w:pStyle w:val="ListParagraph"/>
        <w:numPr>
          <w:ilvl w:val="0"/>
          <w:numId w:val="3"/>
        </w:numPr>
      </w:pPr>
      <w:r w:rsidRPr="001B7ED4">
        <w:rPr>
          <w:b/>
          <w:bCs/>
        </w:rPr>
        <w:t xml:space="preserve">Complementarity: </w:t>
      </w:r>
      <w:r w:rsidR="00DE052B" w:rsidRPr="00DE052B">
        <w:t>Partnerships should seek to maximi</w:t>
      </w:r>
      <w:r w:rsidR="00DE052B">
        <w:t>s</w:t>
      </w:r>
      <w:r w:rsidR="00DE052B" w:rsidRPr="00DE052B">
        <w:t>e opportunities for collaboration with the private sector while ensuring that diverse engagement modalities complement existing conservation strategies without conflict, aligning with national, regional, and local government priorities</w:t>
      </w:r>
      <w:r w:rsidR="001B7ED4">
        <w:t xml:space="preserve"> as well as </w:t>
      </w:r>
      <w:r w:rsidR="00EE74B0">
        <w:t xml:space="preserve">those of the </w:t>
      </w:r>
      <w:r w:rsidR="001B7ED4">
        <w:t>GFCR</w:t>
      </w:r>
      <w:r w:rsidR="00DE052B" w:rsidRPr="00DE052B">
        <w:t>.</w:t>
      </w:r>
    </w:p>
    <w:p w14:paraId="41FE8EA2" w14:textId="71118666" w:rsidR="00BB7154" w:rsidRDefault="00407FC6" w:rsidP="00CF5679">
      <w:pPr>
        <w:pStyle w:val="ListParagraph"/>
        <w:numPr>
          <w:ilvl w:val="0"/>
          <w:numId w:val="3"/>
        </w:numPr>
      </w:pPr>
      <w:r w:rsidRPr="000C1C32">
        <w:rPr>
          <w:b/>
          <w:bCs/>
        </w:rPr>
        <w:t>Sustainability</w:t>
      </w:r>
      <w:r w:rsidR="009577FA" w:rsidRPr="000C1C32">
        <w:rPr>
          <w:b/>
          <w:bCs/>
        </w:rPr>
        <w:t>:</w:t>
      </w:r>
      <w:r w:rsidR="009577FA">
        <w:t xml:space="preserve"> </w:t>
      </w:r>
      <w:r w:rsidR="00973762" w:rsidRPr="00973762">
        <w:t>Partnerships should focus on long-term solutions that address systemic issues in coral reef conservation while supporting local economic development, resilience, and blue economy transition in coral reef nations.</w:t>
      </w:r>
    </w:p>
    <w:p w14:paraId="5C9543DE" w14:textId="2B2A3791" w:rsidR="00BB7154" w:rsidRPr="0038491E" w:rsidRDefault="009758DF" w:rsidP="00CF5679">
      <w:pPr>
        <w:pStyle w:val="ListParagraph"/>
        <w:numPr>
          <w:ilvl w:val="0"/>
          <w:numId w:val="3"/>
        </w:numPr>
      </w:pPr>
      <w:r>
        <w:rPr>
          <w:b/>
          <w:bCs/>
        </w:rPr>
        <w:t>I</w:t>
      </w:r>
      <w:r w:rsidR="00BB7154" w:rsidRPr="00C07B20">
        <w:rPr>
          <w:b/>
          <w:bCs/>
        </w:rPr>
        <w:t>ntegrity, impartiality and independence</w:t>
      </w:r>
      <w:r w:rsidR="00D67E1D">
        <w:rPr>
          <w:b/>
          <w:bCs/>
        </w:rPr>
        <w:t xml:space="preserve">: </w:t>
      </w:r>
      <w:r w:rsidR="003454CF">
        <w:t>Partnerships</w:t>
      </w:r>
      <w:r w:rsidR="003454CF" w:rsidRPr="0048195B">
        <w:t xml:space="preserve"> </w:t>
      </w:r>
      <w:r>
        <w:t>should uphold</w:t>
      </w:r>
      <w:r w:rsidR="0038491E" w:rsidRPr="0038491E">
        <w:t xml:space="preserve"> objectivity and independence, ensuring that </w:t>
      </w:r>
      <w:r w:rsidR="00F667A1">
        <w:t xml:space="preserve">collaborations </w:t>
      </w:r>
      <w:r w:rsidR="0038491E" w:rsidRPr="0038491E">
        <w:t>do not compromise its mission or advocacy efforts</w:t>
      </w:r>
      <w:r w:rsidR="00F667A1">
        <w:t xml:space="preserve"> for coral reef conservation</w:t>
      </w:r>
      <w:r w:rsidR="0038491E" w:rsidRPr="0038491E">
        <w:t>.</w:t>
      </w:r>
    </w:p>
    <w:p w14:paraId="251C8806" w14:textId="52ABFCB7" w:rsidR="00405BC4" w:rsidRDefault="00405BC4" w:rsidP="00CF5679">
      <w:pPr>
        <w:pStyle w:val="ListParagraph"/>
        <w:numPr>
          <w:ilvl w:val="0"/>
          <w:numId w:val="3"/>
        </w:numPr>
      </w:pPr>
      <w:r>
        <w:rPr>
          <w:b/>
          <w:bCs/>
        </w:rPr>
        <w:t>Non-exclusivity</w:t>
      </w:r>
      <w:r w:rsidR="009577FA">
        <w:rPr>
          <w:b/>
          <w:bCs/>
        </w:rPr>
        <w:t>, non-endorsement</w:t>
      </w:r>
      <w:r>
        <w:rPr>
          <w:b/>
          <w:bCs/>
        </w:rPr>
        <w:t xml:space="preserve"> and no unfair advantage</w:t>
      </w:r>
      <w:r w:rsidR="004F546D">
        <w:rPr>
          <w:b/>
          <w:bCs/>
        </w:rPr>
        <w:t xml:space="preserve">: </w:t>
      </w:r>
      <w:r w:rsidR="00081492">
        <w:t>Partnerships</w:t>
      </w:r>
      <w:r w:rsidR="004F546D" w:rsidRPr="004F546D">
        <w:t xml:space="preserve"> should avoid providing exclusivity or unfair market advantages and must not imply endorsement of specific products or services.</w:t>
      </w:r>
      <w:r w:rsidR="00D3625C">
        <w:t xml:space="preserve"> </w:t>
      </w:r>
    </w:p>
    <w:p w14:paraId="02941140" w14:textId="42AEB8D2" w:rsidR="004F546D" w:rsidRDefault="004F546D" w:rsidP="00CF5679">
      <w:pPr>
        <w:pStyle w:val="ListParagraph"/>
        <w:numPr>
          <w:ilvl w:val="0"/>
          <w:numId w:val="3"/>
        </w:numPr>
      </w:pPr>
      <w:r>
        <w:rPr>
          <w:b/>
          <w:bCs/>
        </w:rPr>
        <w:t>Accountability:</w:t>
      </w:r>
      <w:r>
        <w:t xml:space="preserve"> </w:t>
      </w:r>
      <w:r w:rsidRPr="004F546D">
        <w:t xml:space="preserve">Partnerships </w:t>
      </w:r>
      <w:r w:rsidR="00780DE9">
        <w:t>should</w:t>
      </w:r>
      <w:r w:rsidRPr="004F546D">
        <w:t xml:space="preserve"> clearly define roles, responsibilities, and expected outcomes while including mechanisms to prevent and manage conflicts of interest.</w:t>
      </w:r>
    </w:p>
    <w:p w14:paraId="2B677EE5" w14:textId="3A073583" w:rsidR="008A1E4B" w:rsidRPr="004F546D" w:rsidRDefault="008A1E4B" w:rsidP="008A1E4B">
      <w:r w:rsidRPr="00021298">
        <w:t xml:space="preserve">These principles embody </w:t>
      </w:r>
      <w:r>
        <w:t xml:space="preserve">relevant </w:t>
      </w:r>
      <w:r w:rsidRPr="00C46AAF">
        <w:t xml:space="preserve">international </w:t>
      </w:r>
      <w:r w:rsidR="000773E1">
        <w:t>principles and standards</w:t>
      </w:r>
      <w:r>
        <w:t>, including</w:t>
      </w:r>
      <w:r w:rsidRPr="001917DE">
        <w:t xml:space="preserve"> the UN Global Compact Ten Principles and UN Guiding Principles on Business and Human Rights</w:t>
      </w:r>
      <w:r>
        <w:rPr>
          <w:rStyle w:val="FootnoteReference"/>
        </w:rPr>
        <w:footnoteReference w:id="6"/>
      </w:r>
      <w:r w:rsidR="00780DE9">
        <w:t xml:space="preserve">. </w:t>
      </w:r>
    </w:p>
    <w:p w14:paraId="72E8E521" w14:textId="516393A8" w:rsidR="00E13ED6" w:rsidRDefault="00E13ED6" w:rsidP="007327E9">
      <w:pPr>
        <w:pStyle w:val="Heading1"/>
      </w:pPr>
      <w:bookmarkStart w:id="16" w:name="_Toc179455725"/>
      <w:bookmarkStart w:id="17" w:name="_Toc179996480"/>
      <w:r>
        <w:t xml:space="preserve">4. </w:t>
      </w:r>
      <w:bookmarkEnd w:id="16"/>
      <w:r w:rsidR="00856591">
        <w:t>Risk Management</w:t>
      </w:r>
      <w:bookmarkEnd w:id="17"/>
      <w:r w:rsidR="00313405">
        <w:t xml:space="preserve"> </w:t>
      </w:r>
    </w:p>
    <w:p w14:paraId="6BAB1999" w14:textId="77777777" w:rsidR="00E13ED6" w:rsidRDefault="00E13ED6" w:rsidP="00E13ED6">
      <w:pPr>
        <w:pStyle w:val="Heading2"/>
      </w:pPr>
      <w:bookmarkStart w:id="18" w:name="_Toc179455726"/>
      <w:bookmarkStart w:id="19" w:name="_Toc179996481"/>
      <w:r>
        <w:t>Suitability criteria</w:t>
      </w:r>
      <w:bookmarkEnd w:id="18"/>
      <w:bookmarkEnd w:id="19"/>
    </w:p>
    <w:p w14:paraId="2BAC6F44" w14:textId="3D936F30" w:rsidR="0080783C" w:rsidRDefault="0080783C" w:rsidP="00274E93">
      <w:r>
        <w:t>GFCR has established a set of suitability criteria to help iden</w:t>
      </w:r>
      <w:r w:rsidR="008B1324">
        <w:t xml:space="preserve">tify </w:t>
      </w:r>
      <w:r w:rsidR="00492B94" w:rsidRPr="00492B94">
        <w:t>business sector actors who demonstrate their commitments and efforts in support of coral reef conservation, sustainable development in reef-dependent communities, and alignment with international</w:t>
      </w:r>
      <w:r w:rsidR="00C17028">
        <w:t xml:space="preserve"> standards</w:t>
      </w:r>
      <w:r w:rsidR="00492B94" w:rsidRPr="00492B94">
        <w:t>.</w:t>
      </w:r>
    </w:p>
    <w:p w14:paraId="325300A5" w14:textId="453F4E53" w:rsidR="00F8710E" w:rsidRDefault="00F8710E" w:rsidP="00274E93">
      <w:r w:rsidRPr="00F8710E">
        <w:lastRenderedPageBreak/>
        <w:t xml:space="preserve">GFCR seeks to engage in mutually beneficial collaborative relationships with the </w:t>
      </w:r>
      <w:r>
        <w:t>private</w:t>
      </w:r>
      <w:r w:rsidRPr="00F8710E">
        <w:t xml:space="preserve"> sector; </w:t>
      </w:r>
      <w:r>
        <w:t>partnerships</w:t>
      </w:r>
      <w:r w:rsidRPr="00F8710E">
        <w:t xml:space="preserve"> shall be shaped and pursued in a way that clearly advances GFCR's mission of coral reef conservation and enhancing the resilience of coastal ecosystems, communities, and economies. GFCR is willing to work in partnership with and accept funding from </w:t>
      </w:r>
      <w:r>
        <w:t>private</w:t>
      </w:r>
      <w:r w:rsidRPr="00F8710E">
        <w:t xml:space="preserve"> sector entities that demonstrate, on balance, a clear willingness to respect and support coral reef ecosystems and associated communities.</w:t>
      </w:r>
    </w:p>
    <w:p w14:paraId="3EDA7CCE" w14:textId="3263CD46" w:rsidR="00274E93" w:rsidRPr="00274E93" w:rsidRDefault="00FE04B6" w:rsidP="00274E93">
      <w:r>
        <w:t>Suitability</w:t>
      </w:r>
      <w:r w:rsidR="00274E93" w:rsidRPr="00274E93">
        <w:t xml:space="preserve"> criteria include: </w:t>
      </w:r>
    </w:p>
    <w:p w14:paraId="36C11FB4" w14:textId="6EAA018C" w:rsidR="00702969" w:rsidRDefault="00F06BEB" w:rsidP="00702969">
      <w:pPr>
        <w:pStyle w:val="ListParagraph"/>
        <w:numPr>
          <w:ilvl w:val="0"/>
          <w:numId w:val="9"/>
        </w:numPr>
      </w:pPr>
      <w:r w:rsidRPr="00F06BEB">
        <w:t>Demonstrated adherence to UN and GFCR core values, including the UN Global Compact Ten Principles and UN Guiding Principles on Business and Human Rights</w:t>
      </w:r>
      <w:r w:rsidR="00702969">
        <w:t>.</w:t>
      </w:r>
    </w:p>
    <w:p w14:paraId="205AE411" w14:textId="377DB10B" w:rsidR="007F6F82" w:rsidRDefault="007F6F82" w:rsidP="00702969">
      <w:pPr>
        <w:pStyle w:val="ListParagraph"/>
        <w:numPr>
          <w:ilvl w:val="0"/>
          <w:numId w:val="9"/>
        </w:numPr>
      </w:pPr>
      <w:r w:rsidRPr="007F6F82">
        <w:t>Alignment with GFCR's mission in coral reef conservation and sustainable development of reef-dependent communities</w:t>
      </w:r>
      <w:r w:rsidR="00BE007A">
        <w:t>, as outlined in the Investment Principles</w:t>
      </w:r>
      <w:r w:rsidR="00A74304">
        <w:t>.</w:t>
      </w:r>
    </w:p>
    <w:p w14:paraId="29EA1016" w14:textId="2CA841D5" w:rsidR="00702969" w:rsidRDefault="0070693C" w:rsidP="00702969">
      <w:pPr>
        <w:pStyle w:val="ListParagraph"/>
        <w:numPr>
          <w:ilvl w:val="0"/>
          <w:numId w:val="9"/>
        </w:numPr>
      </w:pPr>
      <w:r w:rsidRPr="0070693C">
        <w:t>Active contribution to SDG 14 (Life Below Water) and other relevant Sustainable Development Goals through concrete practices and initiatives</w:t>
      </w:r>
      <w:r w:rsidR="00702969">
        <w:t>.</w:t>
      </w:r>
    </w:p>
    <w:p w14:paraId="1377F1B7" w14:textId="1E429866" w:rsidR="00702969" w:rsidRDefault="0070693C" w:rsidP="00702969">
      <w:pPr>
        <w:pStyle w:val="ListParagraph"/>
        <w:numPr>
          <w:ilvl w:val="0"/>
          <w:numId w:val="9"/>
        </w:numPr>
      </w:pPr>
      <w:r w:rsidRPr="0070693C">
        <w:t>Established track record of responsible environmental, social, and governance practices</w:t>
      </w:r>
      <w:r w:rsidR="00702969">
        <w:t>, particularly in relation to marine and coastal ecosystems</w:t>
      </w:r>
      <w:r w:rsidR="005D5DB9">
        <w:t>.</w:t>
      </w:r>
    </w:p>
    <w:p w14:paraId="114D1221" w14:textId="55581BC4" w:rsidR="00702969" w:rsidRDefault="00702969" w:rsidP="00702969">
      <w:pPr>
        <w:pStyle w:val="ListParagraph"/>
        <w:numPr>
          <w:ilvl w:val="0"/>
          <w:numId w:val="9"/>
        </w:numPr>
      </w:pPr>
      <w:r>
        <w:t>Financial viability and effective governance</w:t>
      </w:r>
      <w:r w:rsidR="005D5DB9">
        <w:t>.</w:t>
      </w:r>
    </w:p>
    <w:p w14:paraId="723011F3" w14:textId="46E2754D" w:rsidR="00C1603F" w:rsidRDefault="00C1603F" w:rsidP="00C1603F">
      <w:pPr>
        <w:pStyle w:val="ListParagraph"/>
        <w:numPr>
          <w:ilvl w:val="0"/>
          <w:numId w:val="9"/>
        </w:numPr>
      </w:pPr>
      <w:r>
        <w:t>Significant social investment in coral reef nations, particularly Small Island Developing States (SIDS) and Least Developed Countries (LDCs).</w:t>
      </w:r>
    </w:p>
    <w:p w14:paraId="54BD35C2" w14:textId="6A311F14" w:rsidR="00702969" w:rsidRDefault="00102D38" w:rsidP="00702969">
      <w:pPr>
        <w:pStyle w:val="ListParagraph"/>
        <w:numPr>
          <w:ilvl w:val="0"/>
          <w:numId w:val="9"/>
        </w:numPr>
      </w:pPr>
      <w:r w:rsidRPr="00102D38">
        <w:t>Proven history of collaboration with</w:t>
      </w:r>
      <w:r w:rsidR="00702969">
        <w:t xml:space="preserve"> the non-profit sector in environmental conservation and sustainable development</w:t>
      </w:r>
      <w:r w:rsidR="005D5DB9">
        <w:t>.</w:t>
      </w:r>
    </w:p>
    <w:p w14:paraId="340E5B10" w14:textId="25C854A6" w:rsidR="00C1603F" w:rsidRDefault="00C1603F" w:rsidP="00702969">
      <w:pPr>
        <w:pStyle w:val="ListParagraph"/>
        <w:numPr>
          <w:ilvl w:val="0"/>
          <w:numId w:val="9"/>
        </w:numPr>
      </w:pPr>
      <w:r>
        <w:t>Commitment to gender equality and women's empowerment in coastal communities.</w:t>
      </w:r>
    </w:p>
    <w:p w14:paraId="5226ECDD" w14:textId="6843AE37" w:rsidR="00B53880" w:rsidRDefault="00B53880" w:rsidP="00702969">
      <w:pPr>
        <w:pStyle w:val="ListParagraph"/>
        <w:numPr>
          <w:ilvl w:val="0"/>
          <w:numId w:val="9"/>
        </w:numPr>
      </w:pPr>
      <w:r>
        <w:t>Commitment to social inclusion</w:t>
      </w:r>
      <w:r w:rsidR="00102D38">
        <w:t xml:space="preserve">, </w:t>
      </w:r>
      <w:r w:rsidR="00302B38">
        <w:t>r</w:t>
      </w:r>
      <w:r w:rsidR="00302B38" w:rsidRPr="00302B38">
        <w:t>ecognition and respect of indigenous and community rights</w:t>
      </w:r>
      <w:r w:rsidR="00302B38">
        <w:t>.</w:t>
      </w:r>
    </w:p>
    <w:p w14:paraId="72A71D3D" w14:textId="720E331F" w:rsidR="00702969" w:rsidRDefault="00702969" w:rsidP="00702969">
      <w:pPr>
        <w:pStyle w:val="ListParagraph"/>
        <w:numPr>
          <w:ilvl w:val="0"/>
          <w:numId w:val="9"/>
        </w:numPr>
      </w:pPr>
      <w:r>
        <w:t>Production of goods or services that improve or serve the basic needs of coral reef ecosystems and reef-dependent communities</w:t>
      </w:r>
      <w:r w:rsidR="005D5DB9">
        <w:t>.</w:t>
      </w:r>
    </w:p>
    <w:p w14:paraId="5D6085FE" w14:textId="0DB01CE6" w:rsidR="00901830" w:rsidRDefault="00901830" w:rsidP="00702969">
      <w:pPr>
        <w:pStyle w:val="ListParagraph"/>
        <w:numPr>
          <w:ilvl w:val="0"/>
          <w:numId w:val="9"/>
        </w:numPr>
      </w:pPr>
      <w:r w:rsidRPr="00901830">
        <w:t>Demonstrated commitment to innovative financing mechanisms for coral reef conservation</w:t>
      </w:r>
      <w:r>
        <w:t>.</w:t>
      </w:r>
    </w:p>
    <w:p w14:paraId="42D3CC0B" w14:textId="5E80C8B1" w:rsidR="00274E93" w:rsidRPr="00274E93" w:rsidRDefault="00D3650E" w:rsidP="00274E93">
      <w:r>
        <w:t>These</w:t>
      </w:r>
      <w:r w:rsidR="00F55FCE" w:rsidRPr="00F55FCE">
        <w:t xml:space="preserve"> attributes are aspirational and do not supersede exclusionary criteria. </w:t>
      </w:r>
      <w:r w:rsidR="005B2107">
        <w:t xml:space="preserve">However, </w:t>
      </w:r>
      <w:r w:rsidR="005B2107" w:rsidRPr="005B2107">
        <w:t xml:space="preserve">they can help </w:t>
      </w:r>
      <w:r w:rsidR="002B6401">
        <w:t xml:space="preserve">Convening Agents </w:t>
      </w:r>
      <w:r w:rsidR="005B2107" w:rsidRPr="005B2107">
        <w:t>better identify opportunities for high-impact partnerships.</w:t>
      </w:r>
    </w:p>
    <w:p w14:paraId="1E01F11B" w14:textId="77777777" w:rsidR="00E13ED6" w:rsidRDefault="00E13ED6" w:rsidP="00E13ED6">
      <w:pPr>
        <w:pStyle w:val="Heading2"/>
      </w:pPr>
      <w:bookmarkStart w:id="20" w:name="_Toc179455727"/>
      <w:bookmarkStart w:id="21" w:name="_Toc179996482"/>
      <w:r>
        <w:t>Exclusionary criteria</w:t>
      </w:r>
      <w:bookmarkEnd w:id="20"/>
      <w:bookmarkEnd w:id="21"/>
    </w:p>
    <w:p w14:paraId="01DEE4A4" w14:textId="5523ADEE" w:rsidR="00320A35" w:rsidRDefault="00320A35" w:rsidP="00191630">
      <w:r w:rsidRPr="00320A35">
        <w:t xml:space="preserve">GFCR adheres to the UNSDG common set of exclusionary criteria. These criteria identify </w:t>
      </w:r>
      <w:r>
        <w:t>private sector</w:t>
      </w:r>
      <w:r w:rsidRPr="00320A35">
        <w:t xml:space="preserve"> categories or practices deemed incompatible with UN values, treaties, or international standards. GFCR will not engage with private sector entities that fall under any exclusionary criteria.</w:t>
      </w:r>
    </w:p>
    <w:p w14:paraId="6103FB80" w14:textId="3EFA799B" w:rsidR="00CC0AEC" w:rsidRDefault="00CC0AEC" w:rsidP="00191630">
      <w:r>
        <w:t>Exclusionary criteria include:</w:t>
      </w:r>
    </w:p>
    <w:p w14:paraId="6977E540" w14:textId="30244800" w:rsidR="00355CF8" w:rsidRDefault="00355CF8" w:rsidP="002C1DF1">
      <w:pPr>
        <w:pStyle w:val="ListParagraph"/>
        <w:numPr>
          <w:ilvl w:val="0"/>
          <w:numId w:val="13"/>
        </w:numPr>
      </w:pPr>
      <w:r>
        <w:t>Appearance on the UN Security Council Sanctions List</w:t>
      </w:r>
      <w:r w:rsidR="00624080">
        <w:rPr>
          <w:rStyle w:val="FootnoteReference"/>
        </w:rPr>
        <w:footnoteReference w:id="7"/>
      </w:r>
      <w:r>
        <w:t xml:space="preserve"> or the UN Ineligibility List, or in violation of UN sanctions, relevant conventions, treaties and resolutions.</w:t>
      </w:r>
    </w:p>
    <w:p w14:paraId="37F2499F" w14:textId="1FF799C6" w:rsidR="00471A81" w:rsidRDefault="00471A81" w:rsidP="002C1DF1">
      <w:pPr>
        <w:pStyle w:val="ListParagraph"/>
        <w:numPr>
          <w:ilvl w:val="0"/>
          <w:numId w:val="13"/>
        </w:numPr>
      </w:pPr>
      <w:r w:rsidRPr="00471A81">
        <w:t>Direct and core involvement in the manufacturing or trading of controversial weapons subject to bans under International Treaties</w:t>
      </w:r>
      <w:r w:rsidR="008375F9">
        <w:t xml:space="preserve">, </w:t>
      </w:r>
      <w:r w:rsidR="008375F9" w:rsidRPr="008375F9">
        <w:t>including anti-personnel mines, cluster bombs and ammunitions, and biological, chemical, or nuclear weapons</w:t>
      </w:r>
      <w:r w:rsidR="008375F9">
        <w:t>.</w:t>
      </w:r>
    </w:p>
    <w:p w14:paraId="39BBAB46" w14:textId="55617379" w:rsidR="00387F64" w:rsidRDefault="00387F64" w:rsidP="002C1DF1">
      <w:pPr>
        <w:pStyle w:val="ListParagraph"/>
        <w:numPr>
          <w:ilvl w:val="0"/>
          <w:numId w:val="13"/>
        </w:numPr>
      </w:pPr>
      <w:r w:rsidRPr="00387F64">
        <w:lastRenderedPageBreak/>
        <w:t>Weapons manufacturing</w:t>
      </w:r>
      <w:r w:rsidR="00F96034">
        <w:t xml:space="preserve">, </w:t>
      </w:r>
      <w:r w:rsidRPr="00387F64">
        <w:t>sales</w:t>
      </w:r>
      <w:r w:rsidR="00F96034">
        <w:t xml:space="preserve"> or distribution</w:t>
      </w:r>
      <w:r w:rsidRPr="00387F64">
        <w:t xml:space="preserve"> as a core business</w:t>
      </w:r>
      <w:r w:rsidR="0052755A">
        <w:t>.</w:t>
      </w:r>
    </w:p>
    <w:p w14:paraId="51EB34F3" w14:textId="4BBFFA14" w:rsidR="008375F9" w:rsidRDefault="008375F9" w:rsidP="002C1DF1">
      <w:pPr>
        <w:pStyle w:val="ListParagraph"/>
        <w:numPr>
          <w:ilvl w:val="0"/>
          <w:numId w:val="13"/>
        </w:numPr>
      </w:pPr>
      <w:r>
        <w:t>Direct involvement or complicity in systematic or egregious human rights abuses through operations, product, or services.</w:t>
      </w:r>
      <w:r w:rsidR="00D47F25">
        <w:t xml:space="preserve"> This includes </w:t>
      </w:r>
      <w:r w:rsidR="00AA435D" w:rsidRPr="00AA435D">
        <w:t>causing or directly contributing to severe violations such as forced labour, child labour, and infringements on the rights of indigenous peoples and other vulnerable groups. It also encompasses knowingly tolerating or ignoring such practices by associated entities, as well as providing substantial practical assistance or encouragement that enables these gross human rights abuses.</w:t>
      </w:r>
    </w:p>
    <w:p w14:paraId="58FBC80E" w14:textId="5AFD9FC4" w:rsidR="0052755A" w:rsidRDefault="0052755A" w:rsidP="002C1DF1">
      <w:pPr>
        <w:pStyle w:val="ListParagraph"/>
        <w:numPr>
          <w:ilvl w:val="0"/>
          <w:numId w:val="13"/>
        </w:numPr>
      </w:pPr>
      <w:r>
        <w:t>Tobacco manufacturers</w:t>
      </w:r>
      <w:r w:rsidR="0050175F">
        <w:t xml:space="preserve"> and entities whose core business is the production and wholesale distribution of tobacco products.</w:t>
      </w:r>
    </w:p>
    <w:p w14:paraId="7682CFB7" w14:textId="6D466FAE" w:rsidR="00CC0AEC" w:rsidRDefault="00D03F45" w:rsidP="00D03F45">
      <w:pPr>
        <w:pStyle w:val="ListParagraph"/>
        <w:numPr>
          <w:ilvl w:val="0"/>
          <w:numId w:val="13"/>
        </w:numPr>
      </w:pPr>
      <w:r w:rsidRPr="00D03F45">
        <w:t xml:space="preserve">Systematic failure to demonstrate a commitment or to meet in practice the principles of the </w:t>
      </w:r>
      <w:r>
        <w:t>UN</w:t>
      </w:r>
      <w:r w:rsidRPr="00D03F45">
        <w:t>, including statements or principles that are consistent with and reflect the Universal Declaration of Human Rights, the Rio Declaration and the ILO Declaration on Fundamental Principles and Rights at Work, the UN Global Compact or the United Nations Guiding Principles on Business and Human Rights</w:t>
      </w:r>
      <w:r>
        <w:t>.</w:t>
      </w:r>
      <w:r w:rsidR="002232F9" w:rsidRPr="00355CF8">
        <w:t xml:space="preserve"> </w:t>
      </w:r>
    </w:p>
    <w:p w14:paraId="41A8E49B" w14:textId="67E8CE3B" w:rsidR="00F67AAE" w:rsidRPr="00355CF8" w:rsidRDefault="00F67AAE" w:rsidP="00F67AAE">
      <w:r w:rsidRPr="00F67AAE">
        <w:t>GFCR is committed to maintaining the relevance and effectiveness of these exclusionary criteria. As such, these criteria will be subject to regular review and update processes.</w:t>
      </w:r>
    </w:p>
    <w:p w14:paraId="7D1D3E78" w14:textId="77777777" w:rsidR="00D84A5A" w:rsidRDefault="00191630" w:rsidP="00E13ED6">
      <w:pPr>
        <w:pStyle w:val="Heading2"/>
      </w:pPr>
      <w:bookmarkStart w:id="22" w:name="_Toc179455729"/>
      <w:bookmarkStart w:id="23" w:name="_Toc179996483"/>
      <w:r>
        <w:t>Exceptions to exclusionary criteria</w:t>
      </w:r>
      <w:bookmarkStart w:id="24" w:name="_Toc179455728"/>
      <w:bookmarkEnd w:id="22"/>
      <w:bookmarkEnd w:id="23"/>
    </w:p>
    <w:p w14:paraId="5F5A52B8" w14:textId="77777777" w:rsidR="001B0D88" w:rsidRDefault="001B0D88" w:rsidP="001B0D88">
      <w:r>
        <w:t>In exceptional cases, GFCR may consider interactions with companies falling under these categories if:</w:t>
      </w:r>
    </w:p>
    <w:p w14:paraId="27244166" w14:textId="70E84A26" w:rsidR="001B0D88" w:rsidRDefault="001B0D88" w:rsidP="001B0D88">
      <w:pPr>
        <w:pStyle w:val="ListParagraph"/>
        <w:numPr>
          <w:ilvl w:val="0"/>
          <w:numId w:val="14"/>
        </w:numPr>
      </w:pPr>
      <w:r>
        <w:t>The partnership specifically addresses the identified exclusionary issue (e.g., addressing human rights violations in the supply chain).</w:t>
      </w:r>
    </w:p>
    <w:p w14:paraId="34EDB6C1" w14:textId="54B47897" w:rsidR="001B0D88" w:rsidRDefault="001B0D88" w:rsidP="001B0D88">
      <w:pPr>
        <w:pStyle w:val="ListParagraph"/>
        <w:numPr>
          <w:ilvl w:val="0"/>
          <w:numId w:val="14"/>
        </w:numPr>
      </w:pPr>
      <w:r>
        <w:t xml:space="preserve">The company provides unique, </w:t>
      </w:r>
      <w:r w:rsidR="00F350C9">
        <w:t>lifesaving</w:t>
      </w:r>
      <w:r>
        <w:t>, or emergency-related technical solutions unavailable elsewhere</w:t>
      </w:r>
      <w:r w:rsidR="00F350C9">
        <w:t>.</w:t>
      </w:r>
    </w:p>
    <w:p w14:paraId="1E88D5A5" w14:textId="62F678A8" w:rsidR="001B0D88" w:rsidRDefault="001B0D88" w:rsidP="001B0D88">
      <w:pPr>
        <w:pStyle w:val="ListParagraph"/>
        <w:numPr>
          <w:ilvl w:val="0"/>
          <w:numId w:val="14"/>
        </w:numPr>
      </w:pPr>
      <w:r>
        <w:t>The interaction involves knowledge or skill transfer, without being promoted as a formal partnership</w:t>
      </w:r>
      <w:r w:rsidR="00F350C9">
        <w:t>.</w:t>
      </w:r>
    </w:p>
    <w:p w14:paraId="77C5AF8D" w14:textId="263DEF68" w:rsidR="00A42252" w:rsidRDefault="00A42252" w:rsidP="00A42252">
      <w:r>
        <w:t>However, any decision regarding such partnerships must be immediately escalated to the GFCR</w:t>
      </w:r>
      <w:r w:rsidR="00440D37">
        <w:t xml:space="preserve"> </w:t>
      </w:r>
      <w:r>
        <w:t>Risk Committee. The Committee will evaluate:</w:t>
      </w:r>
    </w:p>
    <w:p w14:paraId="75EC9E65" w14:textId="77777777" w:rsidR="00A42252" w:rsidRDefault="00A42252" w:rsidP="00A42252">
      <w:pPr>
        <w:pStyle w:val="ListParagraph"/>
        <w:numPr>
          <w:ilvl w:val="0"/>
          <w:numId w:val="18"/>
        </w:numPr>
      </w:pPr>
      <w:r>
        <w:t>The alignment of the potential partnership with GFCR's core mission of coral reef conservation and sustainable development of reef-dependent communities.</w:t>
      </w:r>
    </w:p>
    <w:p w14:paraId="1185715F" w14:textId="77777777" w:rsidR="00A42252" w:rsidRDefault="00A42252" w:rsidP="00A42252">
      <w:pPr>
        <w:pStyle w:val="ListParagraph"/>
        <w:numPr>
          <w:ilvl w:val="0"/>
          <w:numId w:val="18"/>
        </w:numPr>
      </w:pPr>
      <w:r>
        <w:t>The potential impact on GFCR's reputation.</w:t>
      </w:r>
    </w:p>
    <w:p w14:paraId="475AF38C" w14:textId="77777777" w:rsidR="00A42252" w:rsidRDefault="00A42252" w:rsidP="00A42252">
      <w:pPr>
        <w:pStyle w:val="ListParagraph"/>
        <w:numPr>
          <w:ilvl w:val="0"/>
          <w:numId w:val="18"/>
        </w:numPr>
      </w:pPr>
      <w:r>
        <w:t>The overall risks and benefits of the partnership.</w:t>
      </w:r>
    </w:p>
    <w:p w14:paraId="209301A7" w14:textId="17453E53" w:rsidR="00D84A5A" w:rsidRPr="00D84A5A" w:rsidRDefault="001B0D88" w:rsidP="001B0D88">
      <w:r>
        <w:t>These exceptions do not apply to entities under UN Security Council sanctions or those primarily involved in banned weapons.</w:t>
      </w:r>
    </w:p>
    <w:p w14:paraId="4B8B4949" w14:textId="32F5DB6E" w:rsidR="00E13ED6" w:rsidRDefault="00E13ED6" w:rsidP="00E13ED6">
      <w:pPr>
        <w:pStyle w:val="Heading2"/>
      </w:pPr>
      <w:bookmarkStart w:id="25" w:name="_Toc179996484"/>
      <w:r>
        <w:t>Indirect involvement</w:t>
      </w:r>
      <w:bookmarkEnd w:id="24"/>
      <w:bookmarkEnd w:id="25"/>
    </w:p>
    <w:p w14:paraId="2C645432" w14:textId="66026C8A" w:rsidR="00107AC5" w:rsidRPr="00107AC5" w:rsidRDefault="00107AC5" w:rsidP="00107AC5">
      <w:r w:rsidRPr="00107AC5">
        <w:t xml:space="preserve">GFCR will not engage in partnerships with </w:t>
      </w:r>
      <w:r w:rsidR="00662E9C">
        <w:t>private sector entities</w:t>
      </w:r>
      <w:r w:rsidRPr="00107AC5">
        <w:t xml:space="preserve"> directly falling under exclusionary criteria. For </w:t>
      </w:r>
      <w:r w:rsidR="00662E9C">
        <w:t>private sector entities</w:t>
      </w:r>
      <w:r w:rsidRPr="00107AC5">
        <w:t xml:space="preserve"> indirectly linked to exclusionary activities (e.g., via subsidiary or parent compan</w:t>
      </w:r>
      <w:r w:rsidR="005E08A5">
        <w:t>ies</w:t>
      </w:r>
      <w:r w:rsidRPr="00107AC5">
        <w:t xml:space="preserve">), </w:t>
      </w:r>
      <w:r w:rsidR="003E3B89">
        <w:t>partnerships</w:t>
      </w:r>
      <w:r w:rsidRPr="00107AC5">
        <w:t xml:space="preserve"> may be considered if:</w:t>
      </w:r>
    </w:p>
    <w:p w14:paraId="1FFEDA5B" w14:textId="6EBAB080" w:rsidR="00107AC5" w:rsidRPr="00107AC5" w:rsidRDefault="00107AC5" w:rsidP="00107AC5">
      <w:pPr>
        <w:pStyle w:val="ListParagraph"/>
        <w:numPr>
          <w:ilvl w:val="0"/>
          <w:numId w:val="17"/>
        </w:numPr>
      </w:pPr>
      <w:r w:rsidRPr="00107AC5">
        <w:t>The core business of the entity does not meet exclusionary criteria</w:t>
      </w:r>
      <w:r w:rsidR="00793EBF">
        <w:t>.</w:t>
      </w:r>
    </w:p>
    <w:p w14:paraId="0F0BA6E2" w14:textId="1A3577B7" w:rsidR="00107AC5" w:rsidRDefault="00107AC5" w:rsidP="0088588C">
      <w:pPr>
        <w:pStyle w:val="ListParagraph"/>
        <w:numPr>
          <w:ilvl w:val="0"/>
          <w:numId w:val="17"/>
        </w:numPr>
      </w:pPr>
      <w:r w:rsidRPr="00107AC5">
        <w:lastRenderedPageBreak/>
        <w:t xml:space="preserve">There is sufficient separation in corporate structure </w:t>
      </w:r>
      <w:r w:rsidR="00880E32">
        <w:t>and public perception. This means direct ownership in either direction (parent to subsidiary or subsidiary to parent) is less than 20%</w:t>
      </w:r>
      <w:r w:rsidR="00641648">
        <w:rPr>
          <w:rStyle w:val="FootnoteReference"/>
        </w:rPr>
        <w:footnoteReference w:id="8"/>
      </w:r>
      <w:r w:rsidR="00880E32">
        <w:t>, the entities do not share the same brand or corporate identity, and the entities are not publicly promoted as part of the same business strategy.</w:t>
      </w:r>
    </w:p>
    <w:p w14:paraId="60168042" w14:textId="225B5E31" w:rsidR="00B245D9" w:rsidRDefault="00B245D9" w:rsidP="00B245D9">
      <w:bookmarkStart w:id="26" w:name="_Hlk179817850"/>
      <w:r>
        <w:t>However, any decision regarding such partnerships must be immediately escalated to the GFCR</w:t>
      </w:r>
      <w:r w:rsidR="006761AA">
        <w:t xml:space="preserve"> </w:t>
      </w:r>
      <w:r>
        <w:t>Risk Committee. The Committee will evaluate:</w:t>
      </w:r>
    </w:p>
    <w:p w14:paraId="5A436048" w14:textId="77777777" w:rsidR="00B245D9" w:rsidRDefault="00B245D9" w:rsidP="00B245D9">
      <w:pPr>
        <w:pStyle w:val="ListParagraph"/>
        <w:numPr>
          <w:ilvl w:val="0"/>
          <w:numId w:val="18"/>
        </w:numPr>
      </w:pPr>
      <w:r>
        <w:t>The alignment of the potential partnership with GFCR's core mission of coral reef conservation and sustainable development of reef-dependent communities.</w:t>
      </w:r>
    </w:p>
    <w:p w14:paraId="65D1911B" w14:textId="77777777" w:rsidR="00B245D9" w:rsidRDefault="00B245D9" w:rsidP="00B245D9">
      <w:pPr>
        <w:pStyle w:val="ListParagraph"/>
        <w:numPr>
          <w:ilvl w:val="0"/>
          <w:numId w:val="18"/>
        </w:numPr>
      </w:pPr>
      <w:r>
        <w:t>The potential impact on GFCR's reputation.</w:t>
      </w:r>
    </w:p>
    <w:p w14:paraId="47098CF2" w14:textId="77777777" w:rsidR="00B245D9" w:rsidRDefault="00B245D9" w:rsidP="00B245D9">
      <w:pPr>
        <w:pStyle w:val="ListParagraph"/>
        <w:numPr>
          <w:ilvl w:val="0"/>
          <w:numId w:val="18"/>
        </w:numPr>
      </w:pPr>
      <w:r>
        <w:t>The overall risks and benefits of the partnership.</w:t>
      </w:r>
    </w:p>
    <w:p w14:paraId="51FC6470" w14:textId="342A90C5" w:rsidR="00F61EF3" w:rsidRDefault="00F61EF3" w:rsidP="00B245D9">
      <w:r>
        <w:t xml:space="preserve">These exceptions do not apply to entities </w:t>
      </w:r>
      <w:r w:rsidR="00662E9C" w:rsidRPr="00107AC5">
        <w:t xml:space="preserve">indirectly linked </w:t>
      </w:r>
      <w:r w:rsidR="00662E9C">
        <w:t xml:space="preserve">to </w:t>
      </w:r>
      <w:r w:rsidR="00063FB1">
        <w:t xml:space="preserve">entities under </w:t>
      </w:r>
      <w:r>
        <w:t xml:space="preserve">UN Security Council sanctions or </w:t>
      </w:r>
      <w:r w:rsidR="00063FB1">
        <w:t>those primarily involved in banned weapons</w:t>
      </w:r>
      <w:r>
        <w:t>.</w:t>
      </w:r>
    </w:p>
    <w:p w14:paraId="19FBCB91" w14:textId="4651981A" w:rsidR="00E13ED6" w:rsidRDefault="00224F87" w:rsidP="00E13ED6">
      <w:pPr>
        <w:pStyle w:val="Heading2"/>
      </w:pPr>
      <w:bookmarkStart w:id="27" w:name="_Toc179455730"/>
      <w:bookmarkStart w:id="28" w:name="_Toc179996485"/>
      <w:bookmarkEnd w:id="26"/>
      <w:r>
        <w:t>High</w:t>
      </w:r>
      <w:r w:rsidR="00E13ED6">
        <w:t xml:space="preserve">-risk </w:t>
      </w:r>
      <w:bookmarkEnd w:id="27"/>
      <w:r>
        <w:t>sectors</w:t>
      </w:r>
      <w:bookmarkEnd w:id="28"/>
    </w:p>
    <w:p w14:paraId="4AF6BC8B" w14:textId="6F3782E7" w:rsidR="00B1713A" w:rsidRDefault="00B1713A" w:rsidP="00B1713A">
      <w:r w:rsidRPr="00B1713A">
        <w:t>GFCR recogni</w:t>
      </w:r>
      <w:r>
        <w:t>s</w:t>
      </w:r>
      <w:r w:rsidRPr="00B1713A">
        <w:t>es that certain sectors present higher risks for partnerships due to their increased likelihood of significant controversies or historically weaker adherence to corporate sustainability principles. These high-risk sectors require additional scrutiny in the partnership evaluation process.</w:t>
      </w:r>
    </w:p>
    <w:p w14:paraId="18D35776" w14:textId="77777777" w:rsidR="00255944" w:rsidRDefault="00255944" w:rsidP="00255944">
      <w:r>
        <w:t>For GFCR, high-risk sectors particularly relevant to coral reef conservation and marine ecosystems include:</w:t>
      </w:r>
    </w:p>
    <w:p w14:paraId="7ECF06C8" w14:textId="08CEC518" w:rsidR="00255944" w:rsidRDefault="00255944" w:rsidP="00255944">
      <w:pPr>
        <w:pStyle w:val="ListParagraph"/>
        <w:numPr>
          <w:ilvl w:val="0"/>
          <w:numId w:val="19"/>
        </w:numPr>
      </w:pPr>
      <w:r>
        <w:t>Oil and gas</w:t>
      </w:r>
      <w:r w:rsidR="00F13C73">
        <w:t>, including e</w:t>
      </w:r>
      <w:r w:rsidR="00F13C73" w:rsidRPr="00F13C73">
        <w:t>xtraction of oil and gas (including oil sands)</w:t>
      </w:r>
      <w:r w:rsidR="00F13C73">
        <w:t>,</w:t>
      </w:r>
      <w:r w:rsidR="00F13C73" w:rsidRPr="00F13C73">
        <w:t xml:space="preserve"> manufacture of refined petroleum products</w:t>
      </w:r>
      <w:r w:rsidR="00F13C73">
        <w:t>, or</w:t>
      </w:r>
      <w:r w:rsidR="00F13C73" w:rsidRPr="00F13C73">
        <w:t xml:space="preserve"> transport via pipeline.</w:t>
      </w:r>
    </w:p>
    <w:p w14:paraId="67441A58" w14:textId="4A6E1DD7" w:rsidR="00255944" w:rsidRDefault="007936E5" w:rsidP="00255944">
      <w:pPr>
        <w:pStyle w:val="ListParagraph"/>
        <w:numPr>
          <w:ilvl w:val="0"/>
          <w:numId w:val="19"/>
        </w:numPr>
      </w:pPr>
      <w:r>
        <w:t>Metals and mining</w:t>
      </w:r>
      <w:r w:rsidR="00084338">
        <w:t>, including m</w:t>
      </w:r>
      <w:r w:rsidR="00084338" w:rsidRPr="00084338">
        <w:t>ining coal, diamonds and other precious and semiprecious stones, metals, uranium, etc., manufacture of basic iron, steel, non-ferrous metals, precious metals</w:t>
      </w:r>
      <w:r w:rsidR="00084338">
        <w:t>,</w:t>
      </w:r>
      <w:r w:rsidR="00084338" w:rsidRPr="00084338">
        <w:t xml:space="preserve"> casting of metals</w:t>
      </w:r>
      <w:r w:rsidR="00084338">
        <w:t>,</w:t>
      </w:r>
      <w:r w:rsidR="00084338" w:rsidRPr="00084338">
        <w:t xml:space="preserve"> treatment and coating of metals</w:t>
      </w:r>
      <w:r w:rsidR="00084338">
        <w:t xml:space="preserve">, or </w:t>
      </w:r>
      <w:r w:rsidR="00084338" w:rsidRPr="00084338">
        <w:t>quarrying.</w:t>
      </w:r>
    </w:p>
    <w:p w14:paraId="14516C03" w14:textId="421AAF21" w:rsidR="008F6E64" w:rsidRDefault="008F6E64" w:rsidP="00255944">
      <w:pPr>
        <w:pStyle w:val="ListParagraph"/>
        <w:numPr>
          <w:ilvl w:val="0"/>
          <w:numId w:val="19"/>
        </w:numPr>
      </w:pPr>
      <w:r>
        <w:t>Utilities</w:t>
      </w:r>
      <w:r w:rsidR="009C5D72">
        <w:t>, including e</w:t>
      </w:r>
      <w:r w:rsidR="009C5D72" w:rsidRPr="009C5D72">
        <w:t>lectric power generation from large dams, nuclear power plants, fossil-fuel power plants (e.g.</w:t>
      </w:r>
      <w:r w:rsidR="009C5D72">
        <w:t>,</w:t>
      </w:r>
      <w:r w:rsidR="009C5D72" w:rsidRPr="009C5D72">
        <w:t xml:space="preserve"> gas and coal-fired)</w:t>
      </w:r>
      <w:r w:rsidR="009C5D72">
        <w:t>,</w:t>
      </w:r>
      <w:r w:rsidR="009C5D72" w:rsidRPr="009C5D72">
        <w:t xml:space="preserve"> electric power transmission and distribution</w:t>
      </w:r>
      <w:r w:rsidR="009C5D72">
        <w:t>,</w:t>
      </w:r>
      <w:r w:rsidR="009C5D72" w:rsidRPr="009C5D72">
        <w:t xml:space="preserve"> water collection, treatment and supply</w:t>
      </w:r>
      <w:r w:rsidR="009C5D72">
        <w:t>,</w:t>
      </w:r>
      <w:r w:rsidR="009C5D72" w:rsidRPr="009C5D72">
        <w:t xml:space="preserve"> sewerage</w:t>
      </w:r>
      <w:r w:rsidR="00A612C3">
        <w:t>,</w:t>
      </w:r>
      <w:r w:rsidR="009C5D72" w:rsidRPr="009C5D72">
        <w:t xml:space="preserve"> waste treatment and disposal</w:t>
      </w:r>
      <w:r w:rsidR="00A612C3">
        <w:t>, and</w:t>
      </w:r>
      <w:r w:rsidR="009C5D72" w:rsidRPr="009C5D72">
        <w:t xml:space="preserve"> materials recovery (recycling).</w:t>
      </w:r>
    </w:p>
    <w:p w14:paraId="5FB2819C" w14:textId="64DEA31E" w:rsidR="00C96512" w:rsidRDefault="008F6E64" w:rsidP="00E64B17">
      <w:pPr>
        <w:pStyle w:val="ListParagraph"/>
        <w:numPr>
          <w:ilvl w:val="0"/>
          <w:numId w:val="19"/>
        </w:numPr>
      </w:pPr>
      <w:r>
        <w:t>Large infrastructure</w:t>
      </w:r>
      <w:r w:rsidR="00C96512">
        <w:t>, including large-scale coastal infrastructure development</w:t>
      </w:r>
      <w:r w:rsidR="004034AF">
        <w:t>,</w:t>
      </w:r>
      <w:r w:rsidR="00E64B17">
        <w:t xml:space="preserve"> coastal tourism resort development,</w:t>
      </w:r>
      <w:r w:rsidR="004034AF">
        <w:t xml:space="preserve"> c</w:t>
      </w:r>
      <w:r w:rsidR="004034AF" w:rsidRPr="004034AF">
        <w:t>onstruction of buildings, roads, railways, civil engineering projects</w:t>
      </w:r>
      <w:r w:rsidR="004034AF">
        <w:t>,</w:t>
      </w:r>
      <w:r w:rsidR="004034AF" w:rsidRPr="004034AF">
        <w:t xml:space="preserve"> construction or upgrading of large dams, nuclear power plants or pipelines</w:t>
      </w:r>
      <w:r w:rsidR="004034AF">
        <w:t>.</w:t>
      </w:r>
    </w:p>
    <w:p w14:paraId="56061BE5" w14:textId="1385710E" w:rsidR="00C96512" w:rsidRPr="00C96512" w:rsidRDefault="008F6E64" w:rsidP="00C96512">
      <w:pPr>
        <w:pStyle w:val="ListParagraph"/>
        <w:numPr>
          <w:ilvl w:val="0"/>
          <w:numId w:val="19"/>
        </w:numPr>
      </w:pPr>
      <w:r>
        <w:t>Agriculture and fishing</w:t>
      </w:r>
      <w:r w:rsidR="00C96512">
        <w:t>, including i</w:t>
      </w:r>
      <w:r w:rsidR="00C96512" w:rsidRPr="00C96512">
        <w:t>ndustrial fishing and aquaculture</w:t>
      </w:r>
      <w:r w:rsidR="00C96512">
        <w:t>, c</w:t>
      </w:r>
      <w:r w:rsidR="00C96512" w:rsidRPr="00C96512">
        <w:t>oastal agriculture with potential for significant runoff</w:t>
      </w:r>
      <w:r w:rsidR="00DA47B6">
        <w:t xml:space="preserve">, </w:t>
      </w:r>
      <w:r w:rsidR="00252FBA">
        <w:t xml:space="preserve">growing of monocultures (e.g., palm oil, energy crops for biofuel), </w:t>
      </w:r>
      <w:r w:rsidR="00E35B40">
        <w:t>and i</w:t>
      </w:r>
      <w:r w:rsidR="00347210">
        <w:t xml:space="preserve">ndustrial </w:t>
      </w:r>
      <w:r w:rsidR="00252FBA">
        <w:t>livestock farming</w:t>
      </w:r>
      <w:r w:rsidR="00347210">
        <w:t>.</w:t>
      </w:r>
    </w:p>
    <w:p w14:paraId="156AFD03" w14:textId="1A42D954" w:rsidR="008F6E64" w:rsidRDefault="008F6E64" w:rsidP="00255944">
      <w:pPr>
        <w:pStyle w:val="ListParagraph"/>
        <w:numPr>
          <w:ilvl w:val="0"/>
          <w:numId w:val="19"/>
        </w:numPr>
      </w:pPr>
      <w:r>
        <w:t>Timber, pulp and paper</w:t>
      </w:r>
      <w:r w:rsidR="00570043">
        <w:t>, including t</w:t>
      </w:r>
      <w:r w:rsidR="00570043" w:rsidRPr="00570043">
        <w:t>imber production</w:t>
      </w:r>
      <w:r w:rsidR="00570043">
        <w:t>,</w:t>
      </w:r>
      <w:r w:rsidR="00570043" w:rsidRPr="00570043">
        <w:t xml:space="preserve"> logging</w:t>
      </w:r>
      <w:r w:rsidR="00570043">
        <w:t>,</w:t>
      </w:r>
      <w:r w:rsidR="00570043" w:rsidRPr="00570043">
        <w:t xml:space="preserve"> sawmilling and planning of wood</w:t>
      </w:r>
      <w:r w:rsidR="00570043">
        <w:t>, or</w:t>
      </w:r>
      <w:r w:rsidR="00570043" w:rsidRPr="00570043">
        <w:t xml:space="preserve"> production of pulp and paper</w:t>
      </w:r>
      <w:r w:rsidR="00570043">
        <w:t>.</w:t>
      </w:r>
    </w:p>
    <w:p w14:paraId="48A2A9FF" w14:textId="270B0B72" w:rsidR="008F6E64" w:rsidRDefault="008F6E64" w:rsidP="00255944">
      <w:pPr>
        <w:pStyle w:val="ListParagraph"/>
        <w:numPr>
          <w:ilvl w:val="0"/>
          <w:numId w:val="19"/>
        </w:numPr>
      </w:pPr>
      <w:r>
        <w:t>Alcohol</w:t>
      </w:r>
      <w:r w:rsidR="004879C5">
        <w:t>, including m</w:t>
      </w:r>
      <w:r w:rsidR="004879C5" w:rsidRPr="004879C5">
        <w:t xml:space="preserve">anufacturers of alcoholic beverages, wholesale distributors and importers that deal solely and exclusively in alcohol beverages or whose primary income comes from trade in alcohol beverages. In addition, "alcohol industry" includes associations </w:t>
      </w:r>
      <w:r w:rsidR="004879C5" w:rsidRPr="004879C5">
        <w:lastRenderedPageBreak/>
        <w:t>or other entities representing or funded largely by any of the above, as well as alcohol industry lobbyists.</w:t>
      </w:r>
    </w:p>
    <w:p w14:paraId="670BA310" w14:textId="2E58BA07" w:rsidR="008F6E64" w:rsidRDefault="008F6E64" w:rsidP="00255944">
      <w:pPr>
        <w:pStyle w:val="ListParagraph"/>
        <w:numPr>
          <w:ilvl w:val="0"/>
          <w:numId w:val="19"/>
        </w:numPr>
      </w:pPr>
      <w:r>
        <w:t>Chemicals</w:t>
      </w:r>
      <w:r w:rsidR="00365A74">
        <w:t xml:space="preserve">, including chemical </w:t>
      </w:r>
      <w:r w:rsidR="00365A74" w:rsidRPr="00365A74">
        <w:t>manufacturing, especially those with potential marine impacts</w:t>
      </w:r>
      <w:r w:rsidR="00C74A8C">
        <w:t xml:space="preserve">, but also basic chemicals, </w:t>
      </w:r>
      <w:r w:rsidR="00784A0B" w:rsidRPr="00E532A0">
        <w:rPr>
          <w:rFonts w:asciiTheme="minorHAnsi" w:hAnsiTheme="minorHAnsi" w:cstheme="minorHAnsi"/>
        </w:rPr>
        <w:t>pharmaceuticals,</w:t>
      </w:r>
      <w:r w:rsidR="00784A0B" w:rsidRPr="00E532A0">
        <w:rPr>
          <w:rFonts w:asciiTheme="minorHAnsi" w:hAnsiTheme="minorHAnsi" w:cstheme="minorHAnsi"/>
          <w:spacing w:val="-16"/>
        </w:rPr>
        <w:t xml:space="preserve"> </w:t>
      </w:r>
      <w:r w:rsidR="00784A0B" w:rsidRPr="00E532A0">
        <w:rPr>
          <w:rFonts w:asciiTheme="minorHAnsi" w:hAnsiTheme="minorHAnsi" w:cstheme="minorHAnsi"/>
        </w:rPr>
        <w:t>petrochemicals,</w:t>
      </w:r>
      <w:r w:rsidR="00784A0B" w:rsidRPr="00E532A0">
        <w:rPr>
          <w:rFonts w:asciiTheme="minorHAnsi" w:hAnsiTheme="minorHAnsi" w:cstheme="minorHAnsi"/>
          <w:spacing w:val="-15"/>
        </w:rPr>
        <w:t xml:space="preserve"> </w:t>
      </w:r>
      <w:r w:rsidR="00784A0B" w:rsidRPr="00E532A0">
        <w:rPr>
          <w:rFonts w:asciiTheme="minorHAnsi" w:hAnsiTheme="minorHAnsi" w:cstheme="minorHAnsi"/>
        </w:rPr>
        <w:t>agrochemicals,</w:t>
      </w:r>
      <w:r w:rsidR="00784A0B" w:rsidRPr="00E532A0">
        <w:rPr>
          <w:rFonts w:asciiTheme="minorHAnsi" w:hAnsiTheme="minorHAnsi" w:cstheme="minorHAnsi"/>
          <w:spacing w:val="-18"/>
        </w:rPr>
        <w:t xml:space="preserve"> </w:t>
      </w:r>
      <w:r w:rsidR="00784A0B" w:rsidRPr="00E532A0">
        <w:rPr>
          <w:rFonts w:asciiTheme="minorHAnsi" w:hAnsiTheme="minorHAnsi" w:cstheme="minorHAnsi"/>
        </w:rPr>
        <w:t>pesticides,</w:t>
      </w:r>
      <w:r w:rsidR="00784A0B" w:rsidRPr="00E532A0">
        <w:rPr>
          <w:rFonts w:asciiTheme="minorHAnsi" w:hAnsiTheme="minorHAnsi" w:cstheme="minorHAnsi"/>
          <w:spacing w:val="-18"/>
        </w:rPr>
        <w:t xml:space="preserve"> </w:t>
      </w:r>
      <w:r w:rsidR="00784A0B" w:rsidRPr="00E532A0">
        <w:rPr>
          <w:rFonts w:asciiTheme="minorHAnsi" w:hAnsiTheme="minorHAnsi" w:cstheme="minorHAnsi"/>
        </w:rPr>
        <w:t>fertilizers, plastics, paints, varnishes, coatings, detergents and</w:t>
      </w:r>
      <w:r w:rsidR="00784A0B" w:rsidRPr="00E532A0">
        <w:rPr>
          <w:rFonts w:asciiTheme="minorHAnsi" w:hAnsiTheme="minorHAnsi" w:cstheme="minorHAnsi"/>
          <w:spacing w:val="-8"/>
        </w:rPr>
        <w:t xml:space="preserve"> </w:t>
      </w:r>
      <w:r w:rsidR="00784A0B" w:rsidRPr="00E532A0">
        <w:rPr>
          <w:rFonts w:asciiTheme="minorHAnsi" w:hAnsiTheme="minorHAnsi" w:cstheme="minorHAnsi"/>
        </w:rPr>
        <w:t>toiletries</w:t>
      </w:r>
      <w:r w:rsidR="00784A0B">
        <w:rPr>
          <w:rFonts w:asciiTheme="minorHAnsi" w:hAnsiTheme="minorHAnsi" w:cstheme="minorHAnsi"/>
        </w:rPr>
        <w:t>.</w:t>
      </w:r>
    </w:p>
    <w:p w14:paraId="1421523C" w14:textId="71F6EE4F" w:rsidR="008F6E64" w:rsidRDefault="008F6E64" w:rsidP="00255944">
      <w:pPr>
        <w:pStyle w:val="ListParagraph"/>
        <w:numPr>
          <w:ilvl w:val="0"/>
          <w:numId w:val="19"/>
        </w:numPr>
      </w:pPr>
      <w:r>
        <w:t>Clothing, toys, and consumer electronics.</w:t>
      </w:r>
    </w:p>
    <w:p w14:paraId="7B56E545" w14:textId="0736A190" w:rsidR="008F6E64" w:rsidRDefault="008F6E64" w:rsidP="00255944">
      <w:pPr>
        <w:pStyle w:val="ListParagraph"/>
        <w:numPr>
          <w:ilvl w:val="0"/>
          <w:numId w:val="19"/>
        </w:numPr>
      </w:pPr>
      <w:r>
        <w:t>Fast food, high sugar drinks and soda.</w:t>
      </w:r>
    </w:p>
    <w:p w14:paraId="56D03A02" w14:textId="1CE55F35" w:rsidR="00255944" w:rsidRDefault="00255944" w:rsidP="00255944">
      <w:r>
        <w:t>Involvement with entities in these high-risk sectors automatically elevates the partnership risk level to at least moderate, and in some cases, such as extractive industries, to high risk. This risk classification determines the level of due diligence required for the potential partnership, as well as the decision-making level within GFCR for proceeding with the engagement.</w:t>
      </w:r>
    </w:p>
    <w:p w14:paraId="578ACB1C" w14:textId="7059C114" w:rsidR="00255944" w:rsidRPr="00B1713A" w:rsidRDefault="00255944" w:rsidP="00255944">
      <w:r>
        <w:t>The GFCR</w:t>
      </w:r>
      <w:r w:rsidR="00E01740">
        <w:t xml:space="preserve"> </w:t>
      </w:r>
      <w:r>
        <w:t>Risk Committee will conduct a thorough assessment of any potential partnerships with entities in these high-risk sectors, evaluating their specific practices, sustainability commitments, and potential impacts on coral reef ecosystems and reef-dependent communities. This assessment will inform the decision on whether to proceed with the partnership and, if so, what additional safeguards or conditions may be necessary.</w:t>
      </w:r>
    </w:p>
    <w:p w14:paraId="6BBD38EA" w14:textId="310224F5" w:rsidR="00E13ED6" w:rsidRDefault="00E13ED6" w:rsidP="007327E9">
      <w:pPr>
        <w:pStyle w:val="Heading1"/>
      </w:pPr>
      <w:bookmarkStart w:id="29" w:name="_Toc179455731"/>
      <w:bookmarkStart w:id="30" w:name="_Toc179996486"/>
      <w:r>
        <w:t xml:space="preserve">5. </w:t>
      </w:r>
      <w:bookmarkEnd w:id="29"/>
      <w:r w:rsidR="00A5265D">
        <w:t>Due Diligence</w:t>
      </w:r>
      <w:r w:rsidR="00646C61">
        <w:t xml:space="preserve"> </w:t>
      </w:r>
      <w:r w:rsidR="00EA488A">
        <w:t>Procedure</w:t>
      </w:r>
      <w:bookmarkEnd w:id="30"/>
      <w:r w:rsidR="00646C61">
        <w:t xml:space="preserve"> </w:t>
      </w:r>
    </w:p>
    <w:p w14:paraId="7E166ABB" w14:textId="362FA3E7" w:rsidR="00D8012B" w:rsidRDefault="004D33C9" w:rsidP="00D8012B">
      <w:bookmarkStart w:id="31" w:name="_Toc179455732"/>
      <w:r w:rsidRPr="004D33C9">
        <w:t xml:space="preserve">GFCR Convening Agents, in collaboration with co-implementers, are required to carry out a comprehensive due diligence </w:t>
      </w:r>
      <w:r>
        <w:t>procedure</w:t>
      </w:r>
      <w:r w:rsidRPr="004D33C9">
        <w:t xml:space="preserve"> to effectively assess potential private sector entity partners, manage risks, and maximi</w:t>
      </w:r>
      <w:r w:rsidR="00D27C2E">
        <w:t>s</w:t>
      </w:r>
      <w:r w:rsidRPr="004D33C9">
        <w:t>e the benefits of partnerships while safeguarding GFCR's mission and reputation. This step-by-step approach ensures a thorough evaluation and approval process for partnerships with private sector entities</w:t>
      </w:r>
      <w:r w:rsidR="008F3C85">
        <w:t>.</w:t>
      </w:r>
    </w:p>
    <w:p w14:paraId="213D33C1" w14:textId="7F358D66" w:rsidR="004D33C9" w:rsidRDefault="00AB64ED" w:rsidP="00D8012B">
      <w:r w:rsidRPr="00AB64ED">
        <w:rPr>
          <w:noProof/>
        </w:rPr>
        <w:lastRenderedPageBreak/>
        <w:drawing>
          <wp:inline distT="0" distB="0" distL="0" distR="0" wp14:anchorId="447E78BE" wp14:editId="4178FE03">
            <wp:extent cx="5438103" cy="4749196"/>
            <wp:effectExtent l="0" t="0" r="3810" b="0"/>
            <wp:docPr id="4" name="Picture 3" descr="A screen shot of a computer&#10;&#10;Description automatically generated">
              <a:extLst xmlns:a="http://schemas.openxmlformats.org/drawingml/2006/main">
                <a:ext uri="{FF2B5EF4-FFF2-40B4-BE49-F238E27FC236}">
                  <a16:creationId xmlns:a16="http://schemas.microsoft.com/office/drawing/2014/main" id="{2D6416CD-10A4-BD1C-5129-599BAB9858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 shot of a computer&#10;&#10;Description automatically generated">
                      <a:extLst>
                        <a:ext uri="{FF2B5EF4-FFF2-40B4-BE49-F238E27FC236}">
                          <a16:creationId xmlns:a16="http://schemas.microsoft.com/office/drawing/2014/main" id="{2D6416CD-10A4-BD1C-5129-599BAB9858E5}"/>
                        </a:ext>
                      </a:extLst>
                    </pic:cNvPr>
                    <pic:cNvPicPr>
                      <a:picLocks noChangeAspect="1"/>
                    </pic:cNvPicPr>
                  </pic:nvPicPr>
                  <pic:blipFill>
                    <a:blip r:embed="rId11"/>
                    <a:stretch>
                      <a:fillRect/>
                    </a:stretch>
                  </pic:blipFill>
                  <pic:spPr>
                    <a:xfrm>
                      <a:off x="0" y="0"/>
                      <a:ext cx="5438103" cy="4749196"/>
                    </a:xfrm>
                    <a:prstGeom prst="rect">
                      <a:avLst/>
                    </a:prstGeom>
                  </pic:spPr>
                </pic:pic>
              </a:graphicData>
            </a:graphic>
          </wp:inline>
        </w:drawing>
      </w:r>
    </w:p>
    <w:p w14:paraId="553D4E89" w14:textId="60001E85" w:rsidR="00E13ED6" w:rsidRDefault="00E13ED6" w:rsidP="00E13ED6">
      <w:pPr>
        <w:pStyle w:val="Heading2"/>
      </w:pPr>
      <w:bookmarkStart w:id="32" w:name="_Toc179996487"/>
      <w:r>
        <w:t>Step 1:</w:t>
      </w:r>
      <w:r w:rsidR="005708BA">
        <w:t xml:space="preserve"> </w:t>
      </w:r>
      <w:r w:rsidR="00B05110">
        <w:t>P</w:t>
      </w:r>
      <w:r w:rsidR="005708BA">
        <w:t>rofile research</w:t>
      </w:r>
      <w:bookmarkEnd w:id="31"/>
      <w:r w:rsidR="001A12AD">
        <w:t xml:space="preserve"> and initial screening</w:t>
      </w:r>
      <w:bookmarkEnd w:id="32"/>
    </w:p>
    <w:p w14:paraId="50F46A2A" w14:textId="1285BB0B" w:rsidR="00645759" w:rsidRDefault="000522DB" w:rsidP="000522DB">
      <w:r>
        <w:t>The first step in the GFCR</w:t>
      </w:r>
      <w:r w:rsidR="00A14DEE">
        <w:t>’</w:t>
      </w:r>
      <w:r>
        <w:t xml:space="preserve">s due diligence process involves comprehensive research and initial screening of potential private sector partners. </w:t>
      </w:r>
      <w:r w:rsidR="00012CC2">
        <w:t xml:space="preserve">This step </w:t>
      </w:r>
      <w:r w:rsidR="00012CC2" w:rsidRPr="00012CC2">
        <w:t>aims to gather essential information and assess the entity</w:t>
      </w:r>
      <w:r w:rsidR="00A14DEE">
        <w:t>’</w:t>
      </w:r>
      <w:r w:rsidR="00012CC2" w:rsidRPr="00012CC2">
        <w:t>s suitability for partnership.</w:t>
      </w:r>
      <w:r w:rsidR="005C577A">
        <w:t xml:space="preserve"> Convening Agents should </w:t>
      </w:r>
      <w:r w:rsidR="00CD5160">
        <w:t>c</w:t>
      </w:r>
      <w:r w:rsidR="00AE0831">
        <w:t>ollect</w:t>
      </w:r>
      <w:r w:rsidR="00645759">
        <w:t xml:space="preserve"> </w:t>
      </w:r>
      <w:r w:rsidR="001E0954" w:rsidRPr="001E0954">
        <w:t>detailed intelligence on the prospective private sector entity, including</w:t>
      </w:r>
      <w:r w:rsidR="003D2746">
        <w:t xml:space="preserve"> on</w:t>
      </w:r>
      <w:r w:rsidR="001846F1">
        <w:t xml:space="preserve"> the entity’s</w:t>
      </w:r>
      <w:r w:rsidR="00645759">
        <w:t>:</w:t>
      </w:r>
    </w:p>
    <w:p w14:paraId="52F2933D" w14:textId="0E7FB7E0" w:rsidR="001E0954" w:rsidRDefault="001846F1" w:rsidP="001E0954">
      <w:pPr>
        <w:pStyle w:val="ListParagraph"/>
        <w:numPr>
          <w:ilvl w:val="0"/>
          <w:numId w:val="31"/>
        </w:numPr>
      </w:pPr>
      <w:r w:rsidRPr="00EE0C52">
        <w:rPr>
          <w:b/>
          <w:bCs/>
        </w:rPr>
        <w:t>Business p</w:t>
      </w:r>
      <w:r w:rsidR="00934368" w:rsidRPr="00EE0C52">
        <w:rPr>
          <w:b/>
          <w:bCs/>
        </w:rPr>
        <w:t>rofile</w:t>
      </w:r>
      <w:r w:rsidR="00C23AF3">
        <w:t>:</w:t>
      </w:r>
      <w:r w:rsidR="00EE0C52">
        <w:t xml:space="preserve"> R</w:t>
      </w:r>
      <w:r w:rsidR="00EE0C52" w:rsidRPr="00EE0C52">
        <w:t>egistered and trading names, type of entity, registration numbers, background, organi</w:t>
      </w:r>
      <w:r w:rsidR="00EE0C52">
        <w:t>s</w:t>
      </w:r>
      <w:r w:rsidR="00EE0C52" w:rsidRPr="00EE0C52">
        <w:t>ational structure, ownership interests (including parent companies and subsidiaries), country of incorporation, regions of operation, annual turnover, number of employees, and any current or previous relationships with UN agencies or multi-partner funds such as GFCR.</w:t>
      </w:r>
    </w:p>
    <w:p w14:paraId="1D981D93" w14:textId="48F1B0A7" w:rsidR="00934368" w:rsidRDefault="00C23AF3" w:rsidP="001E0954">
      <w:pPr>
        <w:pStyle w:val="ListParagraph"/>
        <w:numPr>
          <w:ilvl w:val="0"/>
          <w:numId w:val="31"/>
        </w:numPr>
      </w:pPr>
      <w:r w:rsidRPr="00E87F42">
        <w:rPr>
          <w:b/>
          <w:bCs/>
        </w:rPr>
        <w:t>Financial performance</w:t>
      </w:r>
      <w:r>
        <w:t xml:space="preserve">: </w:t>
      </w:r>
      <w:r w:rsidR="00E760AD">
        <w:t>R</w:t>
      </w:r>
      <w:r w:rsidR="00E87F42" w:rsidRPr="00E87F42">
        <w:t xml:space="preserve">eview of financial statements </w:t>
      </w:r>
      <w:r w:rsidR="00E87F42">
        <w:t xml:space="preserve">and reports </w:t>
      </w:r>
      <w:r w:rsidR="00E87F42" w:rsidRPr="00E87F42">
        <w:t>to assess stability and growth</w:t>
      </w:r>
      <w:r>
        <w:t>.</w:t>
      </w:r>
    </w:p>
    <w:p w14:paraId="4A2D8865" w14:textId="628B7AE3" w:rsidR="00E67913" w:rsidRDefault="00B814AA" w:rsidP="001E0954">
      <w:pPr>
        <w:pStyle w:val="ListParagraph"/>
        <w:numPr>
          <w:ilvl w:val="0"/>
          <w:numId w:val="31"/>
        </w:numPr>
      </w:pPr>
      <w:r w:rsidRPr="00975D7F">
        <w:rPr>
          <w:b/>
          <w:bCs/>
        </w:rPr>
        <w:t>Sector</w:t>
      </w:r>
      <w:r>
        <w:t xml:space="preserve">: </w:t>
      </w:r>
      <w:r w:rsidR="00E760AD">
        <w:t>I</w:t>
      </w:r>
      <w:r>
        <w:t>dentification of the entity’s industry sector</w:t>
      </w:r>
      <w:r w:rsidR="00E67913">
        <w:t xml:space="preserve"> and whether it is considered high-risk according to GFCR.</w:t>
      </w:r>
    </w:p>
    <w:p w14:paraId="056CD6B4" w14:textId="1E56E010" w:rsidR="00E01BEE" w:rsidRDefault="00E67913" w:rsidP="001E0954">
      <w:pPr>
        <w:pStyle w:val="ListParagraph"/>
        <w:numPr>
          <w:ilvl w:val="0"/>
          <w:numId w:val="31"/>
        </w:numPr>
      </w:pPr>
      <w:r w:rsidRPr="00E760AD">
        <w:rPr>
          <w:b/>
          <w:bCs/>
        </w:rPr>
        <w:t>Social impact and investment activities</w:t>
      </w:r>
      <w:r>
        <w:t xml:space="preserve">: </w:t>
      </w:r>
      <w:r w:rsidR="00E760AD">
        <w:t>R</w:t>
      </w:r>
      <w:r>
        <w:t xml:space="preserve">eview of corporate social responsibility initiative and </w:t>
      </w:r>
      <w:r w:rsidR="00E01BEE">
        <w:t>sustainability practices and investments.</w:t>
      </w:r>
    </w:p>
    <w:p w14:paraId="6985EB8A" w14:textId="40D518EA" w:rsidR="00C23AF3" w:rsidRDefault="00E01BEE" w:rsidP="001E0954">
      <w:pPr>
        <w:pStyle w:val="ListParagraph"/>
        <w:numPr>
          <w:ilvl w:val="0"/>
          <w:numId w:val="31"/>
        </w:numPr>
      </w:pPr>
      <w:r w:rsidRPr="00E760AD">
        <w:rPr>
          <w:b/>
          <w:bCs/>
        </w:rPr>
        <w:lastRenderedPageBreak/>
        <w:t xml:space="preserve">Strategic collaboration </w:t>
      </w:r>
      <w:r w:rsidR="00511D4F" w:rsidRPr="00E760AD">
        <w:rPr>
          <w:b/>
          <w:bCs/>
        </w:rPr>
        <w:t>potential</w:t>
      </w:r>
      <w:r w:rsidR="00E760AD">
        <w:t>: I</w:t>
      </w:r>
      <w:r>
        <w:t xml:space="preserve">dentification of areas for potential partnership, </w:t>
      </w:r>
      <w:r w:rsidR="00E760AD">
        <w:t xml:space="preserve">and </w:t>
      </w:r>
      <w:r>
        <w:t>alignment with GFCR’s objective</w:t>
      </w:r>
      <w:r w:rsidR="00C50FA4">
        <w:t>s</w:t>
      </w:r>
      <w:r w:rsidR="00C75802">
        <w:t xml:space="preserve">, </w:t>
      </w:r>
      <w:r>
        <w:t>programmes</w:t>
      </w:r>
      <w:r w:rsidR="00C75802">
        <w:t xml:space="preserve"> and suitability criteria</w:t>
      </w:r>
      <w:r>
        <w:t>.</w:t>
      </w:r>
      <w:r w:rsidR="00B814AA">
        <w:t xml:space="preserve"> </w:t>
      </w:r>
    </w:p>
    <w:p w14:paraId="4092C34E" w14:textId="7AA9CFE3" w:rsidR="000522DB" w:rsidRDefault="004C4825" w:rsidP="000522DB">
      <w:r>
        <w:t xml:space="preserve">Carry out </w:t>
      </w:r>
      <w:r w:rsidRPr="004C4825">
        <w:t>an initial risk screening to aid in determining risk classification. This includes checking against</w:t>
      </w:r>
      <w:r w:rsidR="00465563">
        <w:t>:</w:t>
      </w:r>
    </w:p>
    <w:p w14:paraId="63873C0C" w14:textId="5F992515" w:rsidR="005B71F5" w:rsidRDefault="00465563" w:rsidP="00465563">
      <w:pPr>
        <w:pStyle w:val="ListParagraph"/>
        <w:numPr>
          <w:ilvl w:val="0"/>
          <w:numId w:val="32"/>
        </w:numPr>
      </w:pPr>
      <w:r w:rsidRPr="004C4825">
        <w:rPr>
          <w:b/>
          <w:bCs/>
        </w:rPr>
        <w:t>Exclusionary criteria</w:t>
      </w:r>
      <w:r>
        <w:t xml:space="preserve">: </w:t>
      </w:r>
      <w:r w:rsidR="006B1B31">
        <w:t>A</w:t>
      </w:r>
      <w:r w:rsidR="000522DB">
        <w:t xml:space="preserve">ssess the entity against GFCR's Exclusionary Criteria, which includes checking for violations of UN resolutions or inclusion on UN ineligibility lists. </w:t>
      </w:r>
    </w:p>
    <w:p w14:paraId="2E58BB8D" w14:textId="61E2F2AA" w:rsidR="00A10248" w:rsidRDefault="00A31F11" w:rsidP="00A10248">
      <w:pPr>
        <w:pStyle w:val="ListParagraph"/>
        <w:numPr>
          <w:ilvl w:val="0"/>
          <w:numId w:val="32"/>
        </w:numPr>
      </w:pPr>
      <w:r w:rsidRPr="004C4825">
        <w:rPr>
          <w:b/>
          <w:bCs/>
        </w:rPr>
        <w:t>Potential controversies</w:t>
      </w:r>
      <w:r w:rsidR="00A10248">
        <w:t xml:space="preserve">: Research </w:t>
      </w:r>
      <w:r w:rsidR="000522DB">
        <w:t xml:space="preserve">potential controversies that could pose reputational risks to GFCR. This includes examining issues related to </w:t>
      </w:r>
      <w:r w:rsidR="00A10248">
        <w:t>labour</w:t>
      </w:r>
      <w:r w:rsidR="000522DB">
        <w:t xml:space="preserve"> practices, governance, community impact, product safety, environmental concerns, and controversies linked to ownership or management. </w:t>
      </w:r>
      <w:r w:rsidR="00A10248">
        <w:t>Convening Agents should also bear in mind</w:t>
      </w:r>
      <w:r w:rsidR="000522DB">
        <w:t xml:space="preserve"> significant criticism from NGOs, media, governmental agencies, or public demonstrations against the entity</w:t>
      </w:r>
      <w:r w:rsidR="00A10248">
        <w:t>.</w:t>
      </w:r>
    </w:p>
    <w:p w14:paraId="520AF505" w14:textId="608AF55F" w:rsidR="000522DB" w:rsidRDefault="0063524A" w:rsidP="00E3066E">
      <w:pPr>
        <w:pStyle w:val="ListParagraph"/>
        <w:numPr>
          <w:ilvl w:val="0"/>
          <w:numId w:val="32"/>
        </w:numPr>
      </w:pPr>
      <w:r w:rsidRPr="004C4825">
        <w:rPr>
          <w:b/>
          <w:bCs/>
        </w:rPr>
        <w:t>ESG commitments</w:t>
      </w:r>
      <w:r>
        <w:t>: Assess</w:t>
      </w:r>
      <w:r w:rsidR="000522DB">
        <w:t xml:space="preserve"> the entity's commitment to Environmental, Social, and Governance (ESG) principles and its alignment with GFCR's private sector partnership principles. This includes checking for participation in the UN Global Compact, sustainability certifications, inclusion in ESG-related indices, and adherence to voluntary sustainability or ethical guidelines. The assessment </w:t>
      </w:r>
      <w:r w:rsidR="0098110C">
        <w:t>should also cover</w:t>
      </w:r>
      <w:r w:rsidR="000522DB">
        <w:t xml:space="preserve"> the entity's policies and monitoring systems related to human rights, </w:t>
      </w:r>
      <w:r w:rsidR="0098110C">
        <w:t>labour</w:t>
      </w:r>
      <w:r w:rsidR="000522DB">
        <w:t xml:space="preserve"> practices, environmental management, and good governance</w:t>
      </w:r>
      <w:r w:rsidR="0098110C">
        <w:t>.</w:t>
      </w:r>
    </w:p>
    <w:p w14:paraId="33FD67FE" w14:textId="272323F3" w:rsidR="00B42E61" w:rsidRDefault="00417DD4" w:rsidP="00FD23B7">
      <w:r w:rsidRPr="00417DD4">
        <w:t>All findings in this step should be documented and originate from credible sources. The assessment should include the date of assessment, information sources used, and an evaluation of the credibility of the information gathered</w:t>
      </w:r>
      <w:r w:rsidR="00C765A4">
        <w:t>.</w:t>
      </w:r>
    </w:p>
    <w:p w14:paraId="4D1AA511" w14:textId="553EE86E" w:rsidR="00E13ED6" w:rsidRDefault="00E13ED6" w:rsidP="00E13ED6">
      <w:pPr>
        <w:pStyle w:val="Heading2"/>
      </w:pPr>
      <w:bookmarkStart w:id="33" w:name="_Toc179455733"/>
      <w:bookmarkStart w:id="34" w:name="_Toc179996488"/>
      <w:r>
        <w:t xml:space="preserve">Step 2: </w:t>
      </w:r>
      <w:r w:rsidR="00230D0E">
        <w:t>R</w:t>
      </w:r>
      <w:r>
        <w:t xml:space="preserve">isk </w:t>
      </w:r>
      <w:r w:rsidR="001E21CF">
        <w:t>c</w:t>
      </w:r>
      <w:r>
        <w:t>lassification</w:t>
      </w:r>
      <w:bookmarkEnd w:id="33"/>
      <w:bookmarkEnd w:id="34"/>
    </w:p>
    <w:p w14:paraId="4C103ED4" w14:textId="036AA322" w:rsidR="00EF04F7" w:rsidRDefault="00A250E0" w:rsidP="00EF04F7">
      <w:r w:rsidRPr="00A250E0">
        <w:t>Based on the information gathered in Step 1</w:t>
      </w:r>
      <w:r w:rsidR="0006772F">
        <w:t xml:space="preserve"> and the initial screening</w:t>
      </w:r>
      <w:r w:rsidRPr="00A250E0">
        <w:t xml:space="preserve">, classify potential partners into risk categories. </w:t>
      </w:r>
      <w:r w:rsidR="004F444A">
        <w:t>This Policy</w:t>
      </w:r>
      <w:r w:rsidRPr="00A250E0">
        <w:t xml:space="preserve"> defines four levels of risk</w:t>
      </w:r>
      <w:r w:rsidR="002242AC">
        <w:rPr>
          <w:rStyle w:val="FootnoteReference"/>
        </w:rPr>
        <w:footnoteReference w:id="9"/>
      </w:r>
      <w:r w:rsidR="002242AC">
        <w:t xml:space="preserve">: </w:t>
      </w:r>
    </w:p>
    <w:p w14:paraId="26472049" w14:textId="4BFFBC3F" w:rsidR="00EF04F7" w:rsidRDefault="00D83BB7" w:rsidP="00EF04F7">
      <w:pPr>
        <w:pStyle w:val="ListParagraph"/>
        <w:numPr>
          <w:ilvl w:val="0"/>
          <w:numId w:val="22"/>
        </w:numPr>
      </w:pPr>
      <w:r w:rsidRPr="00AF6951">
        <w:rPr>
          <w:b/>
          <w:bCs/>
        </w:rPr>
        <w:t>H</w:t>
      </w:r>
      <w:r w:rsidR="00EF04F7" w:rsidRPr="00AF6951">
        <w:rPr>
          <w:b/>
          <w:bCs/>
        </w:rPr>
        <w:t>igh</w:t>
      </w:r>
      <w:r w:rsidR="00BA03DE">
        <w:rPr>
          <w:b/>
          <w:bCs/>
        </w:rPr>
        <w:t>-</w:t>
      </w:r>
      <w:r w:rsidR="00EF04F7" w:rsidRPr="00AF6951">
        <w:rPr>
          <w:b/>
          <w:bCs/>
        </w:rPr>
        <w:t>risk</w:t>
      </w:r>
      <w:r w:rsidR="008A6BC2">
        <w:rPr>
          <w:b/>
          <w:bCs/>
        </w:rPr>
        <w:t xml:space="preserve"> partnership</w:t>
      </w:r>
      <w:r>
        <w:t xml:space="preserve">: </w:t>
      </w:r>
      <w:r w:rsidR="003269C5">
        <w:t>Private sector entities engaged in</w:t>
      </w:r>
      <w:r>
        <w:t xml:space="preserve"> sectors of the economy or business practices that are incompatible with </w:t>
      </w:r>
      <w:r w:rsidR="0006772F">
        <w:t>GFCR’s</w:t>
      </w:r>
      <w:r>
        <w:t xml:space="preserve"> vision, mission and values or private sector entities that are in violation of UN resolutions or included on UN ineligibility lists. This is when the </w:t>
      </w:r>
      <w:r w:rsidR="008826F1">
        <w:t>initial screening</w:t>
      </w:r>
      <w:r>
        <w:t xml:space="preserve"> identifies evidence of direct involvement in exclusionary criteria and/or engagement in </w:t>
      </w:r>
      <w:r w:rsidR="0045653F">
        <w:t>high-risk sectors</w:t>
      </w:r>
      <w:r>
        <w:t>.</w:t>
      </w:r>
    </w:p>
    <w:p w14:paraId="721C3AAA" w14:textId="56CAC831" w:rsidR="008E678A" w:rsidRDefault="00D83BB7" w:rsidP="00A56D9D">
      <w:pPr>
        <w:pStyle w:val="ListParagraph"/>
        <w:numPr>
          <w:ilvl w:val="0"/>
          <w:numId w:val="22"/>
        </w:numPr>
      </w:pPr>
      <w:r w:rsidRPr="008E678A">
        <w:rPr>
          <w:b/>
          <w:bCs/>
        </w:rPr>
        <w:t>Substantial</w:t>
      </w:r>
      <w:r w:rsidR="00BA03DE">
        <w:rPr>
          <w:b/>
          <w:bCs/>
        </w:rPr>
        <w:t>-</w:t>
      </w:r>
      <w:r w:rsidR="00EF04F7" w:rsidRPr="008E678A">
        <w:rPr>
          <w:b/>
          <w:bCs/>
        </w:rPr>
        <w:t>risk</w:t>
      </w:r>
      <w:r w:rsidR="008A6BC2">
        <w:rPr>
          <w:b/>
          <w:bCs/>
        </w:rPr>
        <w:t xml:space="preserve"> partnership</w:t>
      </w:r>
      <w:r>
        <w:t xml:space="preserve">: </w:t>
      </w:r>
      <w:r w:rsidR="008E678A" w:rsidRPr="008E678A">
        <w:t xml:space="preserve">Private sector entities with no evidence of direct involvement in activities related to exclusionary criteria, but where there is evidence of </w:t>
      </w:r>
      <w:r w:rsidR="003269C5">
        <w:t xml:space="preserve">indirect involvement, </w:t>
      </w:r>
      <w:r w:rsidR="008E678A" w:rsidRPr="008E678A">
        <w:t>controversies and/or engagement in high-risk sectors.</w:t>
      </w:r>
    </w:p>
    <w:p w14:paraId="6983F07E" w14:textId="74BA12CD" w:rsidR="00EF04F7" w:rsidRDefault="00EF04F7" w:rsidP="00EF04F7">
      <w:pPr>
        <w:pStyle w:val="ListParagraph"/>
        <w:numPr>
          <w:ilvl w:val="0"/>
          <w:numId w:val="22"/>
        </w:numPr>
      </w:pPr>
      <w:r w:rsidRPr="004429D7">
        <w:rPr>
          <w:b/>
          <w:bCs/>
        </w:rPr>
        <w:t>Moderate</w:t>
      </w:r>
      <w:r w:rsidR="00BA03DE">
        <w:rPr>
          <w:b/>
          <w:bCs/>
        </w:rPr>
        <w:t>-</w:t>
      </w:r>
      <w:r w:rsidRPr="004429D7">
        <w:rPr>
          <w:b/>
          <w:bCs/>
        </w:rPr>
        <w:t>risk</w:t>
      </w:r>
      <w:r w:rsidR="008A6BC2">
        <w:rPr>
          <w:b/>
          <w:bCs/>
        </w:rPr>
        <w:t xml:space="preserve"> partnership</w:t>
      </w:r>
      <w:r w:rsidR="00172C20">
        <w:t xml:space="preserve">: </w:t>
      </w:r>
      <w:r w:rsidR="00E32FD3" w:rsidRPr="00E32FD3">
        <w:t>Private sector entities with no evidence of involvement in activities related to exclusionary criteria (direct or indirect) or significant controversies, but which are associated with a high-risk sector.</w:t>
      </w:r>
    </w:p>
    <w:p w14:paraId="37A83BF0" w14:textId="28AF4A02" w:rsidR="00EF04F7" w:rsidRDefault="00EF04F7" w:rsidP="00EF04F7">
      <w:pPr>
        <w:pStyle w:val="ListParagraph"/>
        <w:numPr>
          <w:ilvl w:val="0"/>
          <w:numId w:val="22"/>
        </w:numPr>
      </w:pPr>
      <w:r w:rsidRPr="00E32FD3">
        <w:rPr>
          <w:b/>
          <w:bCs/>
        </w:rPr>
        <w:t>Low</w:t>
      </w:r>
      <w:r w:rsidR="00BA03DE">
        <w:rPr>
          <w:b/>
          <w:bCs/>
        </w:rPr>
        <w:t>-</w:t>
      </w:r>
      <w:r w:rsidRPr="00E32FD3">
        <w:rPr>
          <w:b/>
          <w:bCs/>
        </w:rPr>
        <w:t>risk</w:t>
      </w:r>
      <w:r w:rsidR="008A6BC2">
        <w:rPr>
          <w:b/>
          <w:bCs/>
        </w:rPr>
        <w:t xml:space="preserve"> partnership</w:t>
      </w:r>
      <w:r w:rsidR="00172C20">
        <w:t>:</w:t>
      </w:r>
      <w:r w:rsidR="00172C20" w:rsidRPr="00172C20">
        <w:t xml:space="preserve"> </w:t>
      </w:r>
      <w:r w:rsidR="004475AB" w:rsidRPr="00E32FD3">
        <w:t xml:space="preserve">Private sector entities </w:t>
      </w:r>
      <w:r w:rsidR="00E32FD3" w:rsidRPr="00E32FD3">
        <w:t>with no evidence of involvement in any activities related to exclusionary criteria, no evidence of controversies, and no link to high-risk sectors.</w:t>
      </w:r>
    </w:p>
    <w:p w14:paraId="764384E0" w14:textId="1ECCF5FF" w:rsidR="00F142E8" w:rsidRDefault="00F142E8" w:rsidP="00F142E8">
      <w:pPr>
        <w:pStyle w:val="Heading2"/>
      </w:pPr>
      <w:bookmarkStart w:id="35" w:name="_Toc179455735"/>
      <w:bookmarkStart w:id="36" w:name="_Toc179996489"/>
      <w:bookmarkStart w:id="37" w:name="_Toc179455734"/>
      <w:r>
        <w:lastRenderedPageBreak/>
        <w:t>Step 3: Pathways</w:t>
      </w:r>
      <w:bookmarkEnd w:id="35"/>
      <w:bookmarkEnd w:id="36"/>
    </w:p>
    <w:p w14:paraId="592F4BE1" w14:textId="0233B7CA" w:rsidR="00F64F53" w:rsidRDefault="00F64F53" w:rsidP="00F142E8">
      <w:r>
        <w:t xml:space="preserve">Based on the risk classification from Step 2, </w:t>
      </w:r>
      <w:r w:rsidR="004B755A" w:rsidRPr="004B755A">
        <w:t>determine the appropriate course of action for each potential partnership</w:t>
      </w:r>
      <w:r w:rsidR="004B755A">
        <w:t>:</w:t>
      </w:r>
    </w:p>
    <w:p w14:paraId="4D3B45FE" w14:textId="315EAF2D" w:rsidR="004B755A" w:rsidRDefault="00EB52D0" w:rsidP="004B755A">
      <w:pPr>
        <w:pStyle w:val="ListParagraph"/>
        <w:numPr>
          <w:ilvl w:val="0"/>
          <w:numId w:val="33"/>
        </w:numPr>
      </w:pPr>
      <w:r w:rsidRPr="007F6B25">
        <w:rPr>
          <w:b/>
          <w:bCs/>
        </w:rPr>
        <w:t>Low-risk and moderate-risk partnerships</w:t>
      </w:r>
      <w:r w:rsidR="00BA03DE">
        <w:t>: Conduct a comprehensive risk-benefit analysis (proceed to Step 4).</w:t>
      </w:r>
    </w:p>
    <w:p w14:paraId="3B64F2A8" w14:textId="09793656" w:rsidR="00B34E88" w:rsidRDefault="007F6B25" w:rsidP="00110122">
      <w:pPr>
        <w:pStyle w:val="ListParagraph"/>
        <w:numPr>
          <w:ilvl w:val="0"/>
          <w:numId w:val="33"/>
        </w:numPr>
      </w:pPr>
      <w:r w:rsidRPr="007F6B25">
        <w:rPr>
          <w:b/>
          <w:bCs/>
        </w:rPr>
        <w:t>S</w:t>
      </w:r>
      <w:r w:rsidR="00BA03DE" w:rsidRPr="007F6B25">
        <w:rPr>
          <w:b/>
          <w:bCs/>
        </w:rPr>
        <w:t xml:space="preserve">ubstantial-risk </w:t>
      </w:r>
      <w:r w:rsidR="00914EC9" w:rsidRPr="007F6B25">
        <w:rPr>
          <w:b/>
          <w:bCs/>
        </w:rPr>
        <w:t>partnerships</w:t>
      </w:r>
      <w:r w:rsidR="00914EC9">
        <w:t xml:space="preserve">: Escalate to </w:t>
      </w:r>
      <w:r w:rsidR="00914EC9" w:rsidRPr="00302A08">
        <w:t>GFCR</w:t>
      </w:r>
      <w:r w:rsidR="00595A53">
        <w:t xml:space="preserve"> </w:t>
      </w:r>
      <w:r w:rsidR="00914EC9" w:rsidRPr="00302A08">
        <w:t>Risk Committee</w:t>
      </w:r>
      <w:r w:rsidR="00914EC9">
        <w:t xml:space="preserve"> for review.</w:t>
      </w:r>
      <w:r w:rsidR="00F231FC">
        <w:t xml:space="preserve"> </w:t>
      </w:r>
      <w:r w:rsidR="001E11B1" w:rsidRPr="001E11B1">
        <w:t xml:space="preserve">The </w:t>
      </w:r>
      <w:r w:rsidR="001E11B1">
        <w:t>C</w:t>
      </w:r>
      <w:r w:rsidR="001E11B1" w:rsidRPr="001E11B1">
        <w:t xml:space="preserve">ommittee has the authority to directly reject these partnerships if deemed unsuitable. Alternatively, </w:t>
      </w:r>
      <w:r w:rsidR="00595A53">
        <w:t>the Committee</w:t>
      </w:r>
      <w:r w:rsidR="001E11B1" w:rsidRPr="001E11B1">
        <w:t xml:space="preserve"> may request a detailed risk-benefit analysis </w:t>
      </w:r>
      <w:r w:rsidR="001E11B1">
        <w:t xml:space="preserve">(Step 4) </w:t>
      </w:r>
      <w:r w:rsidR="001E11B1" w:rsidRPr="001E11B1">
        <w:t xml:space="preserve">for further evaluation. If the partnership is under consideration, the </w:t>
      </w:r>
      <w:r w:rsidR="001E11B1">
        <w:t>C</w:t>
      </w:r>
      <w:r w:rsidR="001E11B1" w:rsidRPr="001E11B1">
        <w:t xml:space="preserve">ommittee can require the analysis to include several </w:t>
      </w:r>
      <w:r w:rsidR="001E11B1">
        <w:t>additional</w:t>
      </w:r>
      <w:r w:rsidR="001E11B1" w:rsidRPr="001E11B1">
        <w:t xml:space="preserve"> elements: exploration of alternative partner scenarios, evaluation of cost-benefit ratios, assessment of the likelihood and potential impact of identified risks, determination of risk manageability, and an outline of the budget and resources necessary for effective risk management. </w:t>
      </w:r>
      <w:r w:rsidR="001E11B1">
        <w:t>The C</w:t>
      </w:r>
      <w:r w:rsidR="001E11B1" w:rsidRPr="001E11B1">
        <w:t xml:space="preserve">ommittee </w:t>
      </w:r>
      <w:r w:rsidR="001E11B1">
        <w:t>must reach</w:t>
      </w:r>
      <w:r w:rsidR="001E11B1" w:rsidRPr="001E11B1">
        <w:t xml:space="preserve"> genuine consensus about all potential risks, including </w:t>
      </w:r>
      <w:r w:rsidR="001E11B1">
        <w:t>hidden risks</w:t>
      </w:r>
      <w:r w:rsidR="001E11B1" w:rsidRPr="001E11B1">
        <w:t>.</w:t>
      </w:r>
      <w:r w:rsidR="008A6BC2">
        <w:t xml:space="preserve"> </w:t>
      </w:r>
    </w:p>
    <w:p w14:paraId="55807928" w14:textId="4FEE1ECF" w:rsidR="00B34E88" w:rsidRDefault="00B34E88" w:rsidP="00531B2E">
      <w:pPr>
        <w:pStyle w:val="ListParagraph"/>
        <w:numPr>
          <w:ilvl w:val="0"/>
          <w:numId w:val="33"/>
        </w:numPr>
      </w:pPr>
      <w:r w:rsidRPr="00FD5798">
        <w:rPr>
          <w:b/>
          <w:bCs/>
        </w:rPr>
        <w:t>High-risk</w:t>
      </w:r>
      <w:r w:rsidR="00FD5798" w:rsidRPr="00FD5798">
        <w:rPr>
          <w:b/>
          <w:bCs/>
        </w:rPr>
        <w:t xml:space="preserve"> partnerships</w:t>
      </w:r>
      <w:r>
        <w:t>: Reject</w:t>
      </w:r>
      <w:r w:rsidR="00010261">
        <w:t xml:space="preserve"> by default</w:t>
      </w:r>
      <w:r>
        <w:t>. In exceptional circumstances, escalate to GFCR</w:t>
      </w:r>
      <w:r w:rsidR="00F27AE9">
        <w:t xml:space="preserve"> </w:t>
      </w:r>
      <w:r>
        <w:t>Risk Committee</w:t>
      </w:r>
      <w:r w:rsidR="001E5009">
        <w:t xml:space="preserve"> for review. </w:t>
      </w:r>
      <w:r w:rsidR="00FD5798">
        <w:t>Follow the same process as substantial-risk partnerships. Require additional scrutiny and justification for consideration</w:t>
      </w:r>
      <w:r w:rsidR="003044C9">
        <w:t>.</w:t>
      </w:r>
    </w:p>
    <w:p w14:paraId="123B5B5D" w14:textId="7B02873D" w:rsidR="00E13ED6" w:rsidRDefault="00E13ED6" w:rsidP="00E13ED6">
      <w:pPr>
        <w:pStyle w:val="Heading2"/>
      </w:pPr>
      <w:bookmarkStart w:id="38" w:name="_Toc179996490"/>
      <w:r>
        <w:t xml:space="preserve">Step </w:t>
      </w:r>
      <w:r w:rsidR="00F142E8">
        <w:t>4</w:t>
      </w:r>
      <w:r>
        <w:t>: Risk-</w:t>
      </w:r>
      <w:r w:rsidR="001E21CF">
        <w:t>b</w:t>
      </w:r>
      <w:r>
        <w:t xml:space="preserve">enefit </w:t>
      </w:r>
      <w:r w:rsidR="001E21CF">
        <w:t>a</w:t>
      </w:r>
      <w:r>
        <w:t>nalysis</w:t>
      </w:r>
      <w:bookmarkEnd w:id="37"/>
      <w:bookmarkEnd w:id="38"/>
    </w:p>
    <w:p w14:paraId="4FC35D49" w14:textId="576FC59F" w:rsidR="003926D5" w:rsidRDefault="003926D5" w:rsidP="00901601">
      <w:r>
        <w:t>C</w:t>
      </w:r>
      <w:r w:rsidRPr="003926D5">
        <w:t xml:space="preserve">onduct a comprehensive risk-benefit analysis for partnerships that have progressed to this stage. This analysis </w:t>
      </w:r>
      <w:r>
        <w:t>should consider</w:t>
      </w:r>
      <w:r w:rsidRPr="003926D5">
        <w:t xml:space="preserve"> the integrity of the partner and the potential impact of the partnership on GFCR</w:t>
      </w:r>
      <w:r>
        <w:t>’</w:t>
      </w:r>
      <w:r w:rsidRPr="003926D5">
        <w:t>s mission</w:t>
      </w:r>
      <w:r>
        <w:t xml:space="preserve"> and programmes</w:t>
      </w:r>
      <w:r w:rsidRPr="003926D5">
        <w:t>.</w:t>
      </w:r>
    </w:p>
    <w:p w14:paraId="0CD6E76A" w14:textId="10F49501" w:rsidR="0001456D" w:rsidRDefault="00EE6A85" w:rsidP="00901601">
      <w:r>
        <w:t>E</w:t>
      </w:r>
      <w:r w:rsidR="0001456D" w:rsidRPr="0001456D">
        <w:t>valuate the following aspects of the potential private sector partner</w:t>
      </w:r>
      <w:r>
        <w:t xml:space="preserve"> (building on the initial risk assessment </w:t>
      </w:r>
      <w:r w:rsidR="00B45434">
        <w:t>from</w:t>
      </w:r>
      <w:r>
        <w:t xml:space="preserve"> Step 1)</w:t>
      </w:r>
      <w:r w:rsidR="0001456D" w:rsidRPr="0001456D">
        <w:t>:</w:t>
      </w:r>
    </w:p>
    <w:p w14:paraId="57A6F090" w14:textId="0BAF4D91" w:rsidR="007177FE" w:rsidRDefault="007177FE" w:rsidP="007177FE">
      <w:pPr>
        <w:pStyle w:val="ListParagraph"/>
        <w:numPr>
          <w:ilvl w:val="0"/>
          <w:numId w:val="24"/>
        </w:numPr>
      </w:pPr>
      <w:r>
        <w:t>Integrity and reputation</w:t>
      </w:r>
      <w:r w:rsidR="0001456D">
        <w:t>.</w:t>
      </w:r>
    </w:p>
    <w:p w14:paraId="3A67AE09" w14:textId="77777777" w:rsidR="007177FE" w:rsidRDefault="007177FE" w:rsidP="007177FE">
      <w:pPr>
        <w:pStyle w:val="ListParagraph"/>
        <w:numPr>
          <w:ilvl w:val="0"/>
          <w:numId w:val="24"/>
        </w:numPr>
      </w:pPr>
      <w:r>
        <w:t>Controversies and legal issues</w:t>
      </w:r>
    </w:p>
    <w:p w14:paraId="368C746C" w14:textId="5145AEF3" w:rsidR="007177FE" w:rsidRDefault="007177FE" w:rsidP="007177FE">
      <w:pPr>
        <w:pStyle w:val="ListParagraph"/>
        <w:numPr>
          <w:ilvl w:val="0"/>
          <w:numId w:val="24"/>
        </w:numPr>
      </w:pPr>
      <w:r>
        <w:t xml:space="preserve">Commitments and policies related to </w:t>
      </w:r>
      <w:r w:rsidR="0067273E">
        <w:t>human rights, labour practices, environmental management, and good governance.</w:t>
      </w:r>
    </w:p>
    <w:p w14:paraId="455B3551" w14:textId="7BF70BE0" w:rsidR="007177FE" w:rsidRDefault="004B0248" w:rsidP="007177FE">
      <w:r w:rsidRPr="004B0248">
        <w:t>Assess the following elements of the proposed partnership</w:t>
      </w:r>
      <w:r w:rsidR="007177FE">
        <w:t>:</w:t>
      </w:r>
    </w:p>
    <w:p w14:paraId="57193559" w14:textId="4FB34612" w:rsidR="007177FE" w:rsidRDefault="007177FE" w:rsidP="007177FE">
      <w:pPr>
        <w:pStyle w:val="ListParagraph"/>
        <w:numPr>
          <w:ilvl w:val="0"/>
          <w:numId w:val="25"/>
        </w:numPr>
      </w:pPr>
      <w:r>
        <w:t>Type and modality of engagement</w:t>
      </w:r>
      <w:r w:rsidR="004B0248">
        <w:t>.</w:t>
      </w:r>
    </w:p>
    <w:p w14:paraId="7D2077C3" w14:textId="4F8F8377" w:rsidR="007177FE" w:rsidRDefault="007177FE" w:rsidP="007177FE">
      <w:pPr>
        <w:pStyle w:val="ListParagraph"/>
        <w:numPr>
          <w:ilvl w:val="0"/>
          <w:numId w:val="25"/>
        </w:numPr>
      </w:pPr>
      <w:r>
        <w:t>Scale and visibility of the partnership</w:t>
      </w:r>
      <w:r w:rsidR="004B0248">
        <w:t>.</w:t>
      </w:r>
    </w:p>
    <w:p w14:paraId="619F6B46" w14:textId="199C3566" w:rsidR="007177FE" w:rsidRDefault="007177FE" w:rsidP="007177FE">
      <w:pPr>
        <w:pStyle w:val="ListParagraph"/>
        <w:numPr>
          <w:ilvl w:val="0"/>
          <w:numId w:val="25"/>
        </w:numPr>
      </w:pPr>
      <w:r>
        <w:t>Potential impact on coral reef ecosystems</w:t>
      </w:r>
      <w:r w:rsidR="004B0248">
        <w:t xml:space="preserve"> and local communities.</w:t>
      </w:r>
    </w:p>
    <w:p w14:paraId="3BE34AF3" w14:textId="1BC13512" w:rsidR="007177FE" w:rsidRDefault="007177FE" w:rsidP="007177FE">
      <w:pPr>
        <w:pStyle w:val="ListParagraph"/>
        <w:numPr>
          <w:ilvl w:val="0"/>
          <w:numId w:val="25"/>
        </w:numPr>
      </w:pPr>
      <w:r>
        <w:t>Operational and financial risks</w:t>
      </w:r>
      <w:r w:rsidR="005501F9">
        <w:t xml:space="preserve"> specific to GFCR’s programmes.</w:t>
      </w:r>
    </w:p>
    <w:p w14:paraId="485CBD8F" w14:textId="17022AE2" w:rsidR="00FC4568" w:rsidRDefault="00FC4568" w:rsidP="007177FE">
      <w:pPr>
        <w:pStyle w:val="ListParagraph"/>
        <w:numPr>
          <w:ilvl w:val="0"/>
          <w:numId w:val="25"/>
        </w:numPr>
      </w:pPr>
      <w:r>
        <w:t xml:space="preserve">Risks to GFCR’s </w:t>
      </w:r>
      <w:r w:rsidRPr="00FC4568">
        <w:t>impartiality and accountability</w:t>
      </w:r>
      <w:r w:rsidR="00AF2EA6">
        <w:t xml:space="preserve"> (including risks that would threaten </w:t>
      </w:r>
      <w:r w:rsidR="00B96EE0">
        <w:t>the GFCR’s Principles for partnerships with the private sector</w:t>
      </w:r>
      <w:r w:rsidR="00AF2EA6">
        <w:t>).</w:t>
      </w:r>
    </w:p>
    <w:p w14:paraId="3B47B119" w14:textId="63502022" w:rsidR="007177FE" w:rsidRDefault="007177FE" w:rsidP="00605E3D">
      <w:pPr>
        <w:pStyle w:val="ListParagraph"/>
        <w:numPr>
          <w:ilvl w:val="0"/>
          <w:numId w:val="25"/>
        </w:numPr>
      </w:pPr>
      <w:r>
        <w:t>Opportunities for positive impact</w:t>
      </w:r>
      <w:r w:rsidR="005501F9">
        <w:t xml:space="preserve"> on GFCR’s objectives</w:t>
      </w:r>
      <w:r w:rsidR="00EC2D4D">
        <w:t xml:space="preserve"> </w:t>
      </w:r>
      <w:r w:rsidR="005501F9">
        <w:t>and within GFCR’s programmes</w:t>
      </w:r>
      <w:r w:rsidR="00606068">
        <w:t>, such as positive exposure and publicity for coral reef conservation, access to new innovations for coral reef protection and restoration, alignment with GFCR's strategic priorities, potential for long-term engagement in marine conservation, immediate impact on coral reef-dependent communities</w:t>
      </w:r>
      <w:r w:rsidR="005501F9">
        <w:t>.</w:t>
      </w:r>
    </w:p>
    <w:p w14:paraId="623F7F7B" w14:textId="6DBEE838" w:rsidR="00EB134B" w:rsidRDefault="00EB134B" w:rsidP="005501F9">
      <w:r w:rsidRPr="00EB134B">
        <w:lastRenderedPageBreak/>
        <w:t>The outcome should balance expected risks against potential benefits, aligning with GFCR's risk</w:t>
      </w:r>
      <w:r w:rsidR="00EC3496">
        <w:t xml:space="preserve">-aware </w:t>
      </w:r>
      <w:r w:rsidRPr="00EB134B">
        <w:t xml:space="preserve">approach, and the partnership's potential impact on coral reef conservation </w:t>
      </w:r>
      <w:r>
        <w:t xml:space="preserve">and community engagement </w:t>
      </w:r>
      <w:r w:rsidRPr="00EB134B">
        <w:t xml:space="preserve">objectives.  </w:t>
      </w:r>
    </w:p>
    <w:p w14:paraId="313AE6DC" w14:textId="47D26CCD" w:rsidR="005501F9" w:rsidRDefault="00CF1069" w:rsidP="005501F9">
      <w:r>
        <w:t>In the case of low-risk or moderate-risk partnerships, if</w:t>
      </w:r>
      <w:r w:rsidRPr="00CF1069">
        <w:t xml:space="preserve"> the risk-benefit analysis reveals new significant risks or concerns</w:t>
      </w:r>
      <w:r w:rsidR="00CF4B4A">
        <w:t xml:space="preserve">, </w:t>
      </w:r>
      <w:r w:rsidR="00514CE7">
        <w:t>document and</w:t>
      </w:r>
      <w:r w:rsidR="00CF4B4A">
        <w:t xml:space="preserve"> escalate to the </w:t>
      </w:r>
      <w:r w:rsidR="00514CE7">
        <w:t>G</w:t>
      </w:r>
      <w:r w:rsidR="00CF4B4A" w:rsidRPr="00CF4B4A">
        <w:t>FCR</w:t>
      </w:r>
      <w:r w:rsidR="00134496">
        <w:t xml:space="preserve"> </w:t>
      </w:r>
      <w:r w:rsidR="00CF4B4A" w:rsidRPr="00CF4B4A">
        <w:t>Risk Committee for review</w:t>
      </w:r>
      <w:r w:rsidR="00CF4B4A">
        <w:t>.</w:t>
      </w:r>
    </w:p>
    <w:p w14:paraId="7C60B7B0" w14:textId="4AB0DD6A" w:rsidR="00992917" w:rsidRDefault="00D349B8" w:rsidP="005501F9">
      <w:r w:rsidRPr="00D349B8">
        <w:t>For substantial-risk partnerships under consideration, the GFCR</w:t>
      </w:r>
      <w:r w:rsidR="00134496">
        <w:t xml:space="preserve"> </w:t>
      </w:r>
      <w:r w:rsidRPr="00D349B8">
        <w:t>Risk Committee may require an expanded analysi</w:t>
      </w:r>
      <w:r w:rsidR="0001568F">
        <w:t>s, including</w:t>
      </w:r>
      <w:r w:rsidR="00992917" w:rsidRPr="001E11B1">
        <w:t xml:space="preserve"> exploration of alternative partner scenarios, evaluation of cost-benefit ratios, assessment of the likelihood and potential impact of identified risks, determination of risk manageability, and an outline of the budget and resources necessary for effective risk management.</w:t>
      </w:r>
    </w:p>
    <w:p w14:paraId="7199D0AC" w14:textId="12FE286E" w:rsidR="00E13ED6" w:rsidRDefault="00E13ED6" w:rsidP="00E13ED6">
      <w:pPr>
        <w:pStyle w:val="Heading2"/>
      </w:pPr>
      <w:bookmarkStart w:id="39" w:name="_Toc179455736"/>
      <w:bookmarkStart w:id="40" w:name="_Toc179996491"/>
      <w:r>
        <w:t xml:space="preserve">Step 5: Risk </w:t>
      </w:r>
      <w:r w:rsidR="001E21CF">
        <w:t>m</w:t>
      </w:r>
      <w:r>
        <w:t xml:space="preserve">anagement and </w:t>
      </w:r>
      <w:r w:rsidR="001E21CF">
        <w:t>m</w:t>
      </w:r>
      <w:r>
        <w:t>itigation</w:t>
      </w:r>
      <w:bookmarkEnd w:id="39"/>
      <w:bookmarkEnd w:id="40"/>
    </w:p>
    <w:p w14:paraId="74F332C5" w14:textId="009404C9" w:rsidR="002B2DB1" w:rsidRPr="002B2DB1" w:rsidRDefault="00650A97" w:rsidP="00615FCD">
      <w:pPr>
        <w:tabs>
          <w:tab w:val="num" w:pos="720"/>
        </w:tabs>
      </w:pPr>
      <w:r w:rsidRPr="00650A97">
        <w:t xml:space="preserve">For approved partnerships, particularly those classified as </w:t>
      </w:r>
      <w:proofErr w:type="gramStart"/>
      <w:r w:rsidRPr="00650A97">
        <w:t>substantial-risk</w:t>
      </w:r>
      <w:proofErr w:type="gramEnd"/>
      <w:r w:rsidRPr="00650A97">
        <w:t xml:space="preserve">, develop and implement a comprehensive </w:t>
      </w:r>
      <w:r>
        <w:t>Ri</w:t>
      </w:r>
      <w:r w:rsidRPr="00650A97">
        <w:t xml:space="preserve">sk </w:t>
      </w:r>
      <w:r>
        <w:t>M</w:t>
      </w:r>
      <w:r w:rsidRPr="00650A97">
        <w:t>anagement</w:t>
      </w:r>
      <w:r>
        <w:t xml:space="preserve"> and Mitigation</w:t>
      </w:r>
      <w:r w:rsidRPr="00650A97">
        <w:t xml:space="preserve"> </w:t>
      </w:r>
      <w:r>
        <w:t>P</w:t>
      </w:r>
      <w:r w:rsidRPr="00650A97">
        <w:t>lan</w:t>
      </w:r>
      <w:r>
        <w:t>. This Plan should:</w:t>
      </w:r>
    </w:p>
    <w:p w14:paraId="30EFA86D" w14:textId="4A8DEB37" w:rsidR="002B2DB1" w:rsidRPr="002B2DB1" w:rsidRDefault="002B2DB1" w:rsidP="00615FCD">
      <w:pPr>
        <w:pStyle w:val="ListParagraph"/>
        <w:numPr>
          <w:ilvl w:val="0"/>
          <w:numId w:val="35"/>
        </w:numPr>
      </w:pPr>
      <w:r w:rsidRPr="002B2DB1">
        <w:t>Identify specific measures to avoid, minimi</w:t>
      </w:r>
      <w:r w:rsidR="00650A97">
        <w:t>s</w:t>
      </w:r>
      <w:r w:rsidRPr="002B2DB1">
        <w:t>e, or manage risks</w:t>
      </w:r>
    </w:p>
    <w:p w14:paraId="751D36FC" w14:textId="3E24EB4F" w:rsidR="002B2DB1" w:rsidRPr="002B2DB1" w:rsidRDefault="002B2DB1" w:rsidP="00615FCD">
      <w:pPr>
        <w:pStyle w:val="ListParagraph"/>
        <w:numPr>
          <w:ilvl w:val="0"/>
          <w:numId w:val="35"/>
        </w:numPr>
      </w:pPr>
      <w:r w:rsidRPr="002B2DB1">
        <w:t xml:space="preserve">Establish </w:t>
      </w:r>
      <w:r w:rsidR="00292A7C" w:rsidRPr="00292A7C">
        <w:t>monitoring and reporting mechanisms tailored to the partnership's risk profile</w:t>
      </w:r>
      <w:r w:rsidR="00292A7C">
        <w:t>.</w:t>
      </w:r>
    </w:p>
    <w:p w14:paraId="7CD35622" w14:textId="65AB380E" w:rsidR="002B2DB1" w:rsidRPr="002B2DB1" w:rsidRDefault="002B2DB1" w:rsidP="00615FCD">
      <w:pPr>
        <w:pStyle w:val="ListParagraph"/>
        <w:numPr>
          <w:ilvl w:val="0"/>
          <w:numId w:val="35"/>
        </w:numPr>
      </w:pPr>
      <w:r w:rsidRPr="002B2DB1">
        <w:t>Define roles and responsibilities for risk management</w:t>
      </w:r>
      <w:r w:rsidR="00292A7C">
        <w:t xml:space="preserve"> within GFCR, for Convening Agents, and co-implementers.</w:t>
      </w:r>
    </w:p>
    <w:p w14:paraId="529C4877" w14:textId="54A3AFA2" w:rsidR="002B2DB1" w:rsidRPr="002B2DB1" w:rsidRDefault="00C42B05" w:rsidP="00615FCD">
      <w:r w:rsidRPr="00C42B05">
        <w:t>Implement risk mitigation strategies appropriate to the partnership's nature and risk level. Examples may include:</w:t>
      </w:r>
    </w:p>
    <w:p w14:paraId="7CBA74CA" w14:textId="17539198" w:rsidR="002B2DB1" w:rsidRPr="002B2DB1" w:rsidRDefault="00C42B05" w:rsidP="007B013C">
      <w:pPr>
        <w:pStyle w:val="ListParagraph"/>
        <w:numPr>
          <w:ilvl w:val="0"/>
          <w:numId w:val="36"/>
        </w:numPr>
      </w:pPr>
      <w:r>
        <w:t xml:space="preserve">Including </w:t>
      </w:r>
      <w:r w:rsidRPr="00C42B05">
        <w:t>specific indicators and timelines</w:t>
      </w:r>
      <w:r>
        <w:t xml:space="preserve"> in </w:t>
      </w:r>
      <w:r w:rsidR="00241244">
        <w:t>a</w:t>
      </w:r>
      <w:r>
        <w:t xml:space="preserve"> m</w:t>
      </w:r>
      <w:r w:rsidR="002B2DB1" w:rsidRPr="002B2DB1">
        <w:t>onitoring plan</w:t>
      </w:r>
      <w:r w:rsidR="00F058FE">
        <w:t>.</w:t>
      </w:r>
    </w:p>
    <w:p w14:paraId="181F6026" w14:textId="3ECE13F6" w:rsidR="002B2DB1" w:rsidRPr="002B2DB1" w:rsidRDefault="002B2DB1" w:rsidP="007B013C">
      <w:pPr>
        <w:pStyle w:val="ListParagraph"/>
        <w:numPr>
          <w:ilvl w:val="0"/>
          <w:numId w:val="36"/>
        </w:numPr>
      </w:pPr>
      <w:r w:rsidRPr="002B2DB1">
        <w:t>Establishing a grievance</w:t>
      </w:r>
      <w:r w:rsidR="00301FC9">
        <w:t xml:space="preserve"> redress</w:t>
      </w:r>
      <w:r w:rsidRPr="002B2DB1">
        <w:t xml:space="preserve"> mechanism</w:t>
      </w:r>
      <w:r w:rsidR="00301FC9">
        <w:rPr>
          <w:rStyle w:val="FootnoteReference"/>
        </w:rPr>
        <w:footnoteReference w:id="10"/>
      </w:r>
      <w:r w:rsidR="00F058FE">
        <w:t>.</w:t>
      </w:r>
    </w:p>
    <w:p w14:paraId="06B8418A" w14:textId="2E109F63" w:rsidR="002B2DB1" w:rsidRPr="002B2DB1" w:rsidRDefault="002B2DB1" w:rsidP="007B013C">
      <w:pPr>
        <w:pStyle w:val="ListParagraph"/>
        <w:numPr>
          <w:ilvl w:val="0"/>
          <w:numId w:val="36"/>
        </w:numPr>
      </w:pPr>
      <w:r w:rsidRPr="002B2DB1">
        <w:t>Engaging stakeholders</w:t>
      </w:r>
      <w:r w:rsidR="00C640F3">
        <w:rPr>
          <w:rStyle w:val="FootnoteReference"/>
        </w:rPr>
        <w:footnoteReference w:id="11"/>
      </w:r>
      <w:r w:rsidR="00F058FE">
        <w:t>.</w:t>
      </w:r>
    </w:p>
    <w:p w14:paraId="65B6F34B" w14:textId="7022E0D7" w:rsidR="002B2DB1" w:rsidRPr="002B2DB1" w:rsidRDefault="002B2DB1" w:rsidP="007B013C">
      <w:pPr>
        <w:pStyle w:val="ListParagraph"/>
        <w:numPr>
          <w:ilvl w:val="0"/>
          <w:numId w:val="36"/>
        </w:numPr>
      </w:pPr>
      <w:r w:rsidRPr="002B2DB1">
        <w:t xml:space="preserve">Including protective conditions </w:t>
      </w:r>
      <w:r w:rsidR="00241244" w:rsidRPr="00241244">
        <w:t>and clauses in partnership agreements</w:t>
      </w:r>
      <w:r w:rsidR="00F058FE">
        <w:t>.</w:t>
      </w:r>
    </w:p>
    <w:p w14:paraId="36A06BDF" w14:textId="419CE7F0" w:rsidR="002B2DB1" w:rsidRDefault="002B2DB1" w:rsidP="007B013C">
      <w:pPr>
        <w:pStyle w:val="ListParagraph"/>
        <w:numPr>
          <w:ilvl w:val="0"/>
          <w:numId w:val="36"/>
        </w:numPr>
      </w:pPr>
      <w:r w:rsidRPr="002B2DB1">
        <w:t xml:space="preserve">Formulating an exit strategy </w:t>
      </w:r>
      <w:r w:rsidR="00F777EB">
        <w:t xml:space="preserve">to be activated </w:t>
      </w:r>
      <w:r w:rsidRPr="002B2DB1">
        <w:t>if needed</w:t>
      </w:r>
      <w:r w:rsidR="00F058FE">
        <w:t>.</w:t>
      </w:r>
    </w:p>
    <w:p w14:paraId="2AA87372" w14:textId="53E3D340" w:rsidR="00F777EB" w:rsidRDefault="00F777EB" w:rsidP="007B013C">
      <w:r w:rsidRPr="00F777EB">
        <w:t>For substantial-risk partnerships under consideration, the GFCR</w:t>
      </w:r>
      <w:r w:rsidR="00A05A2D">
        <w:t xml:space="preserve"> </w:t>
      </w:r>
      <w:r w:rsidRPr="00F777EB">
        <w:t xml:space="preserve">Risk Committee must approve the </w:t>
      </w:r>
      <w:r>
        <w:t>Ri</w:t>
      </w:r>
      <w:r w:rsidRPr="00650A97">
        <w:t xml:space="preserve">sk </w:t>
      </w:r>
      <w:r>
        <w:t>M</w:t>
      </w:r>
      <w:r w:rsidRPr="00650A97">
        <w:t>anagement</w:t>
      </w:r>
      <w:r>
        <w:t xml:space="preserve"> and Mitigation</w:t>
      </w:r>
      <w:r w:rsidRPr="00650A97">
        <w:t xml:space="preserve"> </w:t>
      </w:r>
      <w:r>
        <w:t>P</w:t>
      </w:r>
      <w:r w:rsidRPr="00650A97">
        <w:t>lan</w:t>
      </w:r>
      <w:r w:rsidRPr="00F777EB">
        <w:t>. The Committee retains the authority to recommend additional mitigation strategies at their discretion.</w:t>
      </w:r>
    </w:p>
    <w:p w14:paraId="06250A4A" w14:textId="5416A437" w:rsidR="00755F43" w:rsidRDefault="00755F43" w:rsidP="001E21CF">
      <w:pPr>
        <w:pStyle w:val="Heading2"/>
      </w:pPr>
      <w:bookmarkStart w:id="41" w:name="_Toc179996492"/>
      <w:r>
        <w:t>Step 6: Final decision-making</w:t>
      </w:r>
      <w:bookmarkEnd w:id="41"/>
    </w:p>
    <w:p w14:paraId="2DC99590" w14:textId="2006447F" w:rsidR="00755F43" w:rsidRDefault="00077873" w:rsidP="00395493">
      <w:r w:rsidRPr="00077873">
        <w:t xml:space="preserve">The </w:t>
      </w:r>
      <w:r>
        <w:t xml:space="preserve">final </w:t>
      </w:r>
      <w:r w:rsidRPr="00077873">
        <w:t>decision-making process for partnerships varies based on their risk classification</w:t>
      </w:r>
      <w:r w:rsidR="00755F43">
        <w:t>:</w:t>
      </w:r>
    </w:p>
    <w:p w14:paraId="7A09EDE6" w14:textId="77777777" w:rsidR="001E21CF" w:rsidRDefault="001E21CF" w:rsidP="001E21CF">
      <w:pPr>
        <w:pStyle w:val="ListParagraph"/>
        <w:numPr>
          <w:ilvl w:val="0"/>
          <w:numId w:val="37"/>
        </w:numPr>
      </w:pPr>
      <w:r w:rsidRPr="001E21CF">
        <w:rPr>
          <w:b/>
          <w:bCs/>
        </w:rPr>
        <w:t>L</w:t>
      </w:r>
      <w:r w:rsidR="00077873" w:rsidRPr="001E21CF">
        <w:rPr>
          <w:b/>
          <w:bCs/>
        </w:rPr>
        <w:t>ow-risk and moderate-risk partnerships</w:t>
      </w:r>
      <w:r>
        <w:t>:</w:t>
      </w:r>
      <w:r w:rsidR="00077873" w:rsidRPr="00077873">
        <w:t xml:space="preserve"> </w:t>
      </w:r>
      <w:r>
        <w:t>T</w:t>
      </w:r>
      <w:r w:rsidR="00077873" w:rsidRPr="00077873">
        <w:t xml:space="preserve">he </w:t>
      </w:r>
      <w:r w:rsidR="00077873" w:rsidRPr="004267C0">
        <w:t>Private Sector Due Diligence Officer holds</w:t>
      </w:r>
      <w:r w:rsidR="00077873" w:rsidRPr="00077873">
        <w:t xml:space="preserve"> the final authority to determine whether a proposed partnership should proceed. </w:t>
      </w:r>
    </w:p>
    <w:p w14:paraId="35E16A31" w14:textId="74563411" w:rsidR="006E4D3B" w:rsidRDefault="001E21CF" w:rsidP="001E21CF">
      <w:pPr>
        <w:pStyle w:val="ListParagraph"/>
        <w:numPr>
          <w:ilvl w:val="0"/>
          <w:numId w:val="37"/>
        </w:numPr>
      </w:pPr>
      <w:r w:rsidRPr="00F64F36">
        <w:rPr>
          <w:b/>
          <w:bCs/>
        </w:rPr>
        <w:t>S</w:t>
      </w:r>
      <w:r w:rsidR="00077873" w:rsidRPr="00F64F36">
        <w:rPr>
          <w:b/>
          <w:bCs/>
        </w:rPr>
        <w:t>ubstantial-risk partnerships</w:t>
      </w:r>
      <w:r w:rsidR="007A118D" w:rsidRPr="00F64F36">
        <w:rPr>
          <w:b/>
          <w:bCs/>
        </w:rPr>
        <w:t xml:space="preserve"> and high-risk partnerships</w:t>
      </w:r>
      <w:r w:rsidR="007A118D">
        <w:t xml:space="preserve">: </w:t>
      </w:r>
      <w:r w:rsidR="006E4D3B">
        <w:t>T</w:t>
      </w:r>
      <w:r w:rsidR="00077873" w:rsidRPr="00077873">
        <w:t>he GFCR</w:t>
      </w:r>
      <w:r w:rsidR="00CE2A6E">
        <w:t xml:space="preserve"> </w:t>
      </w:r>
      <w:r w:rsidR="00077873" w:rsidRPr="00077873">
        <w:t>Risk Committee</w:t>
      </w:r>
      <w:r w:rsidR="006E4D3B">
        <w:t xml:space="preserve"> has </w:t>
      </w:r>
      <w:r w:rsidR="006E4D3B" w:rsidRPr="006E4D3B">
        <w:t>the final authority to approve or reject the proposed partnership.</w:t>
      </w:r>
    </w:p>
    <w:p w14:paraId="6FC925C0" w14:textId="2A09BF40" w:rsidR="00C9612B" w:rsidRPr="00756D97" w:rsidRDefault="006E4D3B" w:rsidP="006E4D3B">
      <w:r>
        <w:lastRenderedPageBreak/>
        <w:t>T</w:t>
      </w:r>
      <w:r w:rsidR="00077873" w:rsidRPr="00077873">
        <w:t>he Private Sector Due Diligence Officer retains the discretion to escalate any partnership, regardless of its initial risk classification, to the Committee at any stage of the due diligence process if new concerns or risks emerge</w:t>
      </w:r>
      <w:r w:rsidR="005117DD">
        <w:t>.</w:t>
      </w:r>
    </w:p>
    <w:p w14:paraId="19125D39" w14:textId="74F50CAB" w:rsidR="00BD2553" w:rsidRDefault="00BD2553" w:rsidP="007327E9">
      <w:pPr>
        <w:pStyle w:val="Heading1"/>
      </w:pPr>
      <w:bookmarkStart w:id="42" w:name="_Toc179996493"/>
      <w:bookmarkStart w:id="43" w:name="_Toc179455737"/>
      <w:r>
        <w:t>6. Roles and Responsibilities</w:t>
      </w:r>
      <w:bookmarkEnd w:id="42"/>
    </w:p>
    <w:p w14:paraId="1B176268" w14:textId="14312E06" w:rsidR="00965E7F" w:rsidRDefault="00006380" w:rsidP="00965E7F">
      <w:r>
        <w:t>The roles and responsibilities for the private sector partnership due diligence procedure fall to:</w:t>
      </w:r>
    </w:p>
    <w:p w14:paraId="7239D0DA" w14:textId="3ED99C2B" w:rsidR="00006380" w:rsidRDefault="008C709B" w:rsidP="00161E0F">
      <w:pPr>
        <w:pStyle w:val="ListParagraph"/>
        <w:numPr>
          <w:ilvl w:val="0"/>
          <w:numId w:val="38"/>
        </w:numPr>
      </w:pPr>
      <w:r w:rsidRPr="00BF7AFF">
        <w:rPr>
          <w:b/>
          <w:bCs/>
        </w:rPr>
        <w:t>Private Sector Due Diligence Officer</w:t>
      </w:r>
      <w:r>
        <w:t xml:space="preserve">: </w:t>
      </w:r>
      <w:r w:rsidR="00884D0C">
        <w:t>Oversees the</w:t>
      </w:r>
      <w:r>
        <w:t xml:space="preserve"> initial screenings and risk classifications of potential partners</w:t>
      </w:r>
      <w:r w:rsidR="00884D0C">
        <w:t xml:space="preserve"> undertaken by Convening Agents</w:t>
      </w:r>
      <w:r>
        <w:t xml:space="preserve">, making final decisions on low-risk and moderate-risk partnerships. </w:t>
      </w:r>
      <w:r w:rsidR="00467A71">
        <w:t>The Officer</w:t>
      </w:r>
      <w:r>
        <w:t xml:space="preserve"> oversee</w:t>
      </w:r>
      <w:r w:rsidR="00467A71">
        <w:t>s</w:t>
      </w:r>
      <w:r>
        <w:t xml:space="preserve"> the overall due diligence process, ensuring adherence to established guidelines, and </w:t>
      </w:r>
      <w:r w:rsidR="00467A71">
        <w:t>is</w:t>
      </w:r>
      <w:r>
        <w:t xml:space="preserve"> responsible for conducting risk-benefit analyses</w:t>
      </w:r>
      <w:r w:rsidR="004F5FDE">
        <w:t xml:space="preserve"> and reviewing monitoring reports</w:t>
      </w:r>
      <w:r>
        <w:t>. Th</w:t>
      </w:r>
      <w:r w:rsidR="001A3280">
        <w:t>e</w:t>
      </w:r>
      <w:r w:rsidR="00BF7AFF">
        <w:t xml:space="preserve"> O</w:t>
      </w:r>
      <w:r>
        <w:t>fficer also escalates any emerging concerns to the Risk Committee as necessary.</w:t>
      </w:r>
    </w:p>
    <w:p w14:paraId="3E091AA3" w14:textId="037F98D5" w:rsidR="00BF7AFF" w:rsidRDefault="00BF7AFF" w:rsidP="00161E0F">
      <w:pPr>
        <w:pStyle w:val="ListParagraph"/>
        <w:numPr>
          <w:ilvl w:val="0"/>
          <w:numId w:val="38"/>
        </w:numPr>
      </w:pPr>
      <w:r w:rsidRPr="00BF7AFF">
        <w:rPr>
          <w:b/>
          <w:bCs/>
        </w:rPr>
        <w:t>GFCR</w:t>
      </w:r>
      <w:r w:rsidR="006E6022">
        <w:rPr>
          <w:b/>
          <w:bCs/>
        </w:rPr>
        <w:t xml:space="preserve"> </w:t>
      </w:r>
      <w:r w:rsidRPr="00BF7AFF">
        <w:rPr>
          <w:b/>
          <w:bCs/>
        </w:rPr>
        <w:t>Risk Committee</w:t>
      </w:r>
      <w:r>
        <w:t>: R</w:t>
      </w:r>
      <w:r w:rsidRPr="00BF7AFF">
        <w:t>esponsible for reviewing and making final decisions on substantial-risk and high-risk partnerships</w:t>
      </w:r>
      <w:r w:rsidR="008B660F">
        <w:t>, including associated risk-benefit analyses</w:t>
      </w:r>
      <w:r w:rsidRPr="00BF7AFF">
        <w:t xml:space="preserve">. </w:t>
      </w:r>
      <w:r w:rsidR="006E6022">
        <w:t xml:space="preserve">It </w:t>
      </w:r>
      <w:r w:rsidRPr="00BF7AFF">
        <w:t>approve</w:t>
      </w:r>
      <w:r w:rsidR="006E6022">
        <w:t>s</w:t>
      </w:r>
      <w:r w:rsidRPr="00BF7AFF">
        <w:t xml:space="preserve"> Risk Management and Mitigation Plans, recommend</w:t>
      </w:r>
      <w:r w:rsidR="006E6022">
        <w:t>s</w:t>
      </w:r>
      <w:r w:rsidRPr="00BF7AFF">
        <w:t xml:space="preserve"> additional strategies as needed, and provide</w:t>
      </w:r>
      <w:r w:rsidR="006E6022">
        <w:t>s</w:t>
      </w:r>
      <w:r w:rsidRPr="00BF7AFF">
        <w:t xml:space="preserve"> oversight throughout the due diligence process.</w:t>
      </w:r>
      <w:r w:rsidR="004409F7" w:rsidRPr="004409F7">
        <w:t xml:space="preserve"> </w:t>
      </w:r>
      <w:r w:rsidR="004409F7">
        <w:t>S</w:t>
      </w:r>
      <w:r w:rsidR="004409F7" w:rsidRPr="009069C0">
        <w:t xml:space="preserve">ets the overall strategy and objectives for private sector partnerships, ensuring alignment with coral reef conservation </w:t>
      </w:r>
      <w:r w:rsidR="004409F7">
        <w:t xml:space="preserve">and community engagement </w:t>
      </w:r>
      <w:r w:rsidR="004409F7" w:rsidRPr="009069C0">
        <w:t>goals.</w:t>
      </w:r>
      <w:r w:rsidR="004409F7">
        <w:t xml:space="preserve"> O</w:t>
      </w:r>
      <w:r w:rsidR="004409F7" w:rsidRPr="009069C0">
        <w:t>versee</w:t>
      </w:r>
      <w:r w:rsidR="004409F7">
        <w:t>s</w:t>
      </w:r>
      <w:r w:rsidR="004409F7" w:rsidRPr="009069C0">
        <w:t xml:space="preserve"> adherence to GFCR’s principles and values in all partnerships</w:t>
      </w:r>
      <w:r w:rsidR="004409F7">
        <w:t>. Responsible for reviewing and updating th</w:t>
      </w:r>
      <w:r w:rsidR="00D443B1">
        <w:t>e</w:t>
      </w:r>
      <w:r w:rsidR="004409F7">
        <w:t xml:space="preserve"> Policy.</w:t>
      </w:r>
    </w:p>
    <w:p w14:paraId="40C7E8F6" w14:textId="3676FA24" w:rsidR="002621D2" w:rsidRDefault="002621D2" w:rsidP="00161E0F">
      <w:pPr>
        <w:pStyle w:val="ListParagraph"/>
        <w:numPr>
          <w:ilvl w:val="0"/>
          <w:numId w:val="38"/>
        </w:numPr>
      </w:pPr>
      <w:r w:rsidRPr="002621D2">
        <w:rPr>
          <w:b/>
          <w:bCs/>
        </w:rPr>
        <w:t>Convening Agents</w:t>
      </w:r>
      <w:r w:rsidR="003C727B">
        <w:rPr>
          <w:b/>
          <w:bCs/>
        </w:rPr>
        <w:t xml:space="preserve"> and co-implement</w:t>
      </w:r>
      <w:r w:rsidR="00EA540B">
        <w:rPr>
          <w:b/>
          <w:bCs/>
        </w:rPr>
        <w:t>er</w:t>
      </w:r>
      <w:r w:rsidR="003C727B">
        <w:rPr>
          <w:b/>
          <w:bCs/>
        </w:rPr>
        <w:t>s</w:t>
      </w:r>
      <w:r>
        <w:t xml:space="preserve">: </w:t>
      </w:r>
      <w:r w:rsidR="00313B7C">
        <w:t>A</w:t>
      </w:r>
      <w:r w:rsidR="00313B7C" w:rsidRPr="00313B7C">
        <w:t>ssist</w:t>
      </w:r>
      <w:r w:rsidR="00313B7C">
        <w:t xml:space="preserve"> the P</w:t>
      </w:r>
      <w:r w:rsidR="00313B7C" w:rsidRPr="00313B7C">
        <w:t>rivate Sector Due Diligence Officer in gathering initial intelligence</w:t>
      </w:r>
      <w:r w:rsidR="00313B7C">
        <w:t xml:space="preserve"> by providing any insights </w:t>
      </w:r>
      <w:r w:rsidR="004C1148">
        <w:t>regarding</w:t>
      </w:r>
      <w:r w:rsidR="00313B7C" w:rsidRPr="00313B7C">
        <w:t xml:space="preserve"> potential partners and support the implementation of risk mitigation strategies throughout the partnership lifecycle. Both roles contribute to monitoring and reporting on partnership performance</w:t>
      </w:r>
      <w:r w:rsidR="00EA540B">
        <w:t xml:space="preserve"> and progress</w:t>
      </w:r>
      <w:r w:rsidR="00EA540B" w:rsidRPr="00313B7C">
        <w:t xml:space="preserve"> and</w:t>
      </w:r>
      <w:r w:rsidR="00EA540B">
        <w:t xml:space="preserve"> </w:t>
      </w:r>
      <w:r w:rsidR="00313B7C" w:rsidRPr="00313B7C">
        <w:t>ensuring that any emerging risks are documented.</w:t>
      </w:r>
      <w:r w:rsidR="00576F49">
        <w:t xml:space="preserve"> Convening Agents are additionally responsible for the Communications Strategy.</w:t>
      </w:r>
    </w:p>
    <w:p w14:paraId="34E73A71" w14:textId="66D605E1" w:rsidR="00E13ED6" w:rsidRDefault="00BD2553" w:rsidP="007327E9">
      <w:pPr>
        <w:pStyle w:val="Heading1"/>
      </w:pPr>
      <w:bookmarkStart w:id="44" w:name="_Toc179996494"/>
      <w:r>
        <w:t>7</w:t>
      </w:r>
      <w:r w:rsidR="00E13ED6">
        <w:t>. Communication</w:t>
      </w:r>
      <w:bookmarkEnd w:id="43"/>
      <w:bookmarkEnd w:id="44"/>
    </w:p>
    <w:p w14:paraId="760765EE" w14:textId="3401E015" w:rsidR="005626F1" w:rsidRDefault="005626F1" w:rsidP="005626F1">
      <w:r>
        <w:t>For all partnerships, regardless of risk level, a tailored communications strategy should be prepared</w:t>
      </w:r>
      <w:r w:rsidR="000313AE">
        <w:t xml:space="preserve"> by Convening Agents</w:t>
      </w:r>
      <w:r>
        <w:t>. This communications strategy should include:</w:t>
      </w:r>
    </w:p>
    <w:p w14:paraId="14DE49D5" w14:textId="60432110" w:rsidR="005626F1" w:rsidRDefault="005626F1" w:rsidP="005626F1">
      <w:pPr>
        <w:pStyle w:val="ListParagraph"/>
        <w:numPr>
          <w:ilvl w:val="0"/>
          <w:numId w:val="19"/>
        </w:numPr>
      </w:pPr>
      <w:r>
        <w:t>The goals of the partnership</w:t>
      </w:r>
      <w:r w:rsidR="00F74719">
        <w:t>.</w:t>
      </w:r>
    </w:p>
    <w:p w14:paraId="2EC33949" w14:textId="0A583FBA" w:rsidR="005626F1" w:rsidRDefault="005626F1" w:rsidP="005626F1">
      <w:pPr>
        <w:pStyle w:val="ListParagraph"/>
        <w:numPr>
          <w:ilvl w:val="0"/>
          <w:numId w:val="19"/>
        </w:numPr>
      </w:pPr>
      <w:r>
        <w:t>Targeted stakeholders</w:t>
      </w:r>
      <w:r w:rsidR="00F74719">
        <w:t>.</w:t>
      </w:r>
    </w:p>
    <w:p w14:paraId="1279753F" w14:textId="76917F09" w:rsidR="005626F1" w:rsidRDefault="005626F1" w:rsidP="005626F1">
      <w:pPr>
        <w:pStyle w:val="ListParagraph"/>
        <w:numPr>
          <w:ilvl w:val="0"/>
          <w:numId w:val="19"/>
        </w:numPr>
      </w:pPr>
      <w:r>
        <w:t>Expected results</w:t>
      </w:r>
      <w:r w:rsidR="00F74719">
        <w:t>.</w:t>
      </w:r>
    </w:p>
    <w:p w14:paraId="5893AF8D" w14:textId="46C36C83" w:rsidR="005626F1" w:rsidRDefault="005626F1" w:rsidP="005626F1">
      <w:pPr>
        <w:pStyle w:val="ListParagraph"/>
        <w:numPr>
          <w:ilvl w:val="0"/>
          <w:numId w:val="19"/>
        </w:numPr>
      </w:pPr>
      <w:r>
        <w:t>Risk mitigation actions that may affect the achievement of partnership goals</w:t>
      </w:r>
      <w:r w:rsidR="00F74719">
        <w:t>.</w:t>
      </w:r>
    </w:p>
    <w:p w14:paraId="34C2A0DF" w14:textId="5226BB53" w:rsidR="005626F1" w:rsidRDefault="005626F1" w:rsidP="005626F1">
      <w:pPr>
        <w:pStyle w:val="ListParagraph"/>
        <w:numPr>
          <w:ilvl w:val="0"/>
          <w:numId w:val="19"/>
        </w:numPr>
      </w:pPr>
      <w:r>
        <w:t>Contingency talking points prepared in coordination with the private sector entity, focusing on the results and impacts of the partnership for coral reef ecosystems and local communities in case of questions or criticism</w:t>
      </w:r>
      <w:r w:rsidR="00F74719">
        <w:t>.</w:t>
      </w:r>
    </w:p>
    <w:p w14:paraId="29A24D06" w14:textId="77777777" w:rsidR="005626F1" w:rsidRDefault="005626F1" w:rsidP="005626F1">
      <w:r>
        <w:t>The communications strategy should reflect GFCR's mission of coral reef conservation and community engagement. It should also address how the partnership aligns with GFCR's objectives and values.</w:t>
      </w:r>
    </w:p>
    <w:p w14:paraId="5271B9FE" w14:textId="77777777" w:rsidR="005626F1" w:rsidRDefault="005626F1" w:rsidP="005626F1">
      <w:r>
        <w:t>The strategy should include plans for:</w:t>
      </w:r>
    </w:p>
    <w:p w14:paraId="6FF924CE" w14:textId="4A977719" w:rsidR="005626F1" w:rsidRDefault="005626F1" w:rsidP="004F5A3B">
      <w:pPr>
        <w:pStyle w:val="ListParagraph"/>
        <w:numPr>
          <w:ilvl w:val="0"/>
          <w:numId w:val="19"/>
        </w:numPr>
      </w:pPr>
      <w:r>
        <w:t>Communicating the partnership's positive impacts on coral reef ecosystems</w:t>
      </w:r>
      <w:r w:rsidR="00F74719">
        <w:t>.</w:t>
      </w:r>
    </w:p>
    <w:p w14:paraId="4405E361" w14:textId="09A9D38C" w:rsidR="005626F1" w:rsidRDefault="005626F1" w:rsidP="004F5A3B">
      <w:pPr>
        <w:pStyle w:val="ListParagraph"/>
        <w:numPr>
          <w:ilvl w:val="0"/>
          <w:numId w:val="19"/>
        </w:numPr>
      </w:pPr>
      <w:r>
        <w:lastRenderedPageBreak/>
        <w:t>Highlighting community benefits and engagement</w:t>
      </w:r>
      <w:r w:rsidR="004F5A3B">
        <w:t>.</w:t>
      </w:r>
    </w:p>
    <w:p w14:paraId="30F0D37C" w14:textId="2C3E87FE" w:rsidR="005626F1" w:rsidRDefault="005626F1" w:rsidP="004F5A3B">
      <w:pPr>
        <w:pStyle w:val="ListParagraph"/>
        <w:numPr>
          <w:ilvl w:val="0"/>
          <w:numId w:val="19"/>
        </w:numPr>
      </w:pPr>
      <w:r>
        <w:t>Addressing potential concerns about private sector involvement in conservation efforts</w:t>
      </w:r>
      <w:r w:rsidR="004F5A3B">
        <w:t>.</w:t>
      </w:r>
    </w:p>
    <w:p w14:paraId="673CF10F" w14:textId="715CA2FF" w:rsidR="005626F1" w:rsidRPr="005626F1" w:rsidRDefault="005626F1" w:rsidP="004F5A3B">
      <w:pPr>
        <w:pStyle w:val="ListParagraph"/>
        <w:numPr>
          <w:ilvl w:val="0"/>
          <w:numId w:val="19"/>
        </w:numPr>
      </w:pPr>
      <w:r>
        <w:t>Showcasing innovative approaches to coral reef protection and restoration</w:t>
      </w:r>
      <w:r w:rsidR="004F5A3B">
        <w:t>.</w:t>
      </w:r>
    </w:p>
    <w:p w14:paraId="25B9C084" w14:textId="623FB78D" w:rsidR="00E13ED6" w:rsidRDefault="00BD2553" w:rsidP="007327E9">
      <w:pPr>
        <w:pStyle w:val="Heading1"/>
      </w:pPr>
      <w:bookmarkStart w:id="45" w:name="_Toc179455738"/>
      <w:bookmarkStart w:id="46" w:name="_Toc179996495"/>
      <w:r>
        <w:t>8</w:t>
      </w:r>
      <w:r w:rsidR="00E13ED6">
        <w:t>. Monitoring and reporting</w:t>
      </w:r>
      <w:bookmarkEnd w:id="45"/>
      <w:bookmarkEnd w:id="46"/>
      <w:r w:rsidR="00E13ED6">
        <w:t xml:space="preserve"> </w:t>
      </w:r>
    </w:p>
    <w:p w14:paraId="672AE9DF" w14:textId="1B160C28" w:rsidR="00854846" w:rsidRDefault="006A6A8A" w:rsidP="006A6A8A">
      <w:r>
        <w:t xml:space="preserve">Ongoing monitoring and regular reporting are essential components of GFCR's </w:t>
      </w:r>
      <w:r w:rsidR="00854846">
        <w:t xml:space="preserve">private sector </w:t>
      </w:r>
      <w:r>
        <w:t xml:space="preserve">partnership </w:t>
      </w:r>
      <w:r w:rsidR="00854846">
        <w:t>due diligence</w:t>
      </w:r>
      <w:r>
        <w:t xml:space="preserve"> process. The frequency and intensity of monitoring are determined by the partnership's risk classification:</w:t>
      </w:r>
    </w:p>
    <w:p w14:paraId="42E0BA7F" w14:textId="77777777" w:rsidR="00854846" w:rsidRDefault="006A6A8A" w:rsidP="00854846">
      <w:pPr>
        <w:pStyle w:val="ListParagraph"/>
        <w:numPr>
          <w:ilvl w:val="0"/>
          <w:numId w:val="43"/>
        </w:numPr>
      </w:pPr>
      <w:r w:rsidRPr="00854846">
        <w:rPr>
          <w:b/>
          <w:bCs/>
        </w:rPr>
        <w:t>Low-risk and moderate-risk partnerships</w:t>
      </w:r>
      <w:r>
        <w:t>: Convening Agents and co-implementers shall submit annual reports to the GFCR detailing partnership outcomes and adherence to due diligence procedures.</w:t>
      </w:r>
    </w:p>
    <w:p w14:paraId="629233C2" w14:textId="77777777" w:rsidR="00854846" w:rsidRDefault="006A6A8A" w:rsidP="00854846">
      <w:pPr>
        <w:pStyle w:val="ListParagraph"/>
        <w:numPr>
          <w:ilvl w:val="0"/>
          <w:numId w:val="43"/>
        </w:numPr>
      </w:pPr>
      <w:r w:rsidRPr="00854846">
        <w:rPr>
          <w:b/>
          <w:bCs/>
        </w:rPr>
        <w:t>Substantial-risk and high-risk partnerships</w:t>
      </w:r>
      <w:r>
        <w:t>: Reports shall be submitted semi-annually (every six months) to ensure closer oversight and timely risk management.</w:t>
      </w:r>
    </w:p>
    <w:p w14:paraId="1F2A6FF0" w14:textId="425F7181" w:rsidR="006A6A8A" w:rsidRDefault="006A6A8A" w:rsidP="00854846">
      <w:r>
        <w:t>These reports should include:</w:t>
      </w:r>
    </w:p>
    <w:p w14:paraId="3A15017C" w14:textId="37DD0B89" w:rsidR="006A6A8A" w:rsidRDefault="006A6A8A" w:rsidP="006A6A8A">
      <w:pPr>
        <w:pStyle w:val="ListParagraph"/>
        <w:numPr>
          <w:ilvl w:val="0"/>
          <w:numId w:val="42"/>
        </w:numPr>
      </w:pPr>
      <w:r>
        <w:t>Progress on partnership objectives and key performance indicators</w:t>
      </w:r>
      <w:r w:rsidR="00854846">
        <w:t>.</w:t>
      </w:r>
    </w:p>
    <w:p w14:paraId="52E6CDD5" w14:textId="361058AB" w:rsidR="006A6A8A" w:rsidRDefault="006A6A8A" w:rsidP="006A6A8A">
      <w:pPr>
        <w:pStyle w:val="ListParagraph"/>
        <w:numPr>
          <w:ilvl w:val="0"/>
          <w:numId w:val="42"/>
        </w:numPr>
      </w:pPr>
      <w:r>
        <w:t>Updates on risk mitigation measures</w:t>
      </w:r>
      <w:r w:rsidR="00854846">
        <w:t>.</w:t>
      </w:r>
    </w:p>
    <w:p w14:paraId="7B7351C5" w14:textId="2C26600E" w:rsidR="006A6A8A" w:rsidRDefault="006A6A8A" w:rsidP="006A6A8A">
      <w:pPr>
        <w:pStyle w:val="ListParagraph"/>
        <w:numPr>
          <w:ilvl w:val="0"/>
          <w:numId w:val="42"/>
        </w:numPr>
      </w:pPr>
      <w:r>
        <w:t>Any emerging risks or concerns</w:t>
      </w:r>
      <w:r w:rsidR="00854846">
        <w:t>.</w:t>
      </w:r>
    </w:p>
    <w:p w14:paraId="1214FA44" w14:textId="39113CAC" w:rsidR="006A6A8A" w:rsidRDefault="006A6A8A" w:rsidP="006A6A8A">
      <w:pPr>
        <w:pStyle w:val="ListParagraph"/>
        <w:numPr>
          <w:ilvl w:val="0"/>
          <w:numId w:val="42"/>
        </w:numPr>
      </w:pPr>
      <w:r>
        <w:t>Positive impacts achieved, particularly in coral reef conservation and community engagement</w:t>
      </w:r>
      <w:r w:rsidR="00EA0491">
        <w:t xml:space="preserve"> and that could be useful for </w:t>
      </w:r>
      <w:r w:rsidR="000A21E8">
        <w:t>implementing the ongoing communications strategy.</w:t>
      </w:r>
    </w:p>
    <w:p w14:paraId="7D261B4F" w14:textId="62AD65AB" w:rsidR="000A21E8" w:rsidRDefault="006A6A8A" w:rsidP="006A6A8A">
      <w:r>
        <w:t>The Private Sector Due Diligence Officer is responsible for reviewing these reports and escalating any significant concerns to the GFCR</w:t>
      </w:r>
      <w:r w:rsidR="00BF36B5">
        <w:t xml:space="preserve"> </w:t>
      </w:r>
      <w:r>
        <w:t>Risk Committee.</w:t>
      </w:r>
    </w:p>
    <w:p w14:paraId="29D6C311" w14:textId="612F9909" w:rsidR="000A21E8" w:rsidRDefault="006A6A8A" w:rsidP="006A6A8A">
      <w:r>
        <w:t xml:space="preserve">In addition to regular reporting, Convening Agents, co-implementers, and GFCR </w:t>
      </w:r>
      <w:r w:rsidR="007949A8">
        <w:t xml:space="preserve">UNGT </w:t>
      </w:r>
      <w:r>
        <w:t>staff are required to immediately notify the Private Sector Due Diligence Officer of any information that could potentially put GFCR's reputation at risk. In such cases, the GFCR</w:t>
      </w:r>
      <w:r w:rsidR="007949A8">
        <w:t xml:space="preserve"> </w:t>
      </w:r>
      <w:r>
        <w:t>Risk Committee may be consulted for guidance on appropriate actions.</w:t>
      </w:r>
    </w:p>
    <w:p w14:paraId="7BE3DBDE" w14:textId="39F291F9" w:rsidR="005943D7" w:rsidRDefault="006A6A8A" w:rsidP="006A6A8A">
      <w:r>
        <w:t>The GFCR reserves the right to conduct additional audits or request supplementary reports as deemed necessary to ensure the integrity of its partnerships and the achievement of its conservation objectives.</w:t>
      </w:r>
    </w:p>
    <w:sectPr w:rsidR="005943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1C73C" w14:textId="77777777" w:rsidR="00EF68F3" w:rsidRDefault="00EF68F3" w:rsidP="00B047FD">
      <w:r>
        <w:separator/>
      </w:r>
    </w:p>
  </w:endnote>
  <w:endnote w:type="continuationSeparator" w:id="0">
    <w:p w14:paraId="01E1833D" w14:textId="77777777" w:rsidR="00EF68F3" w:rsidRDefault="00EF68F3" w:rsidP="00B047FD">
      <w:r>
        <w:continuationSeparator/>
      </w:r>
    </w:p>
  </w:endnote>
  <w:endnote w:type="continuationNotice" w:id="1">
    <w:p w14:paraId="657A4CBD" w14:textId="77777777" w:rsidR="00EF68F3" w:rsidRDefault="00EF6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47D6" w14:textId="77777777" w:rsidR="00A62CE6" w:rsidRDefault="00A62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059C" w14:textId="77777777" w:rsidR="00A62CE6" w:rsidRDefault="00A62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C041" w14:textId="77777777" w:rsidR="00A62CE6" w:rsidRDefault="00A6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B3014" w14:textId="77777777" w:rsidR="00EF68F3" w:rsidRDefault="00EF68F3" w:rsidP="00B047FD">
      <w:r>
        <w:separator/>
      </w:r>
    </w:p>
  </w:footnote>
  <w:footnote w:type="continuationSeparator" w:id="0">
    <w:p w14:paraId="53F1A73D" w14:textId="77777777" w:rsidR="00EF68F3" w:rsidRDefault="00EF68F3" w:rsidP="00B047FD">
      <w:r>
        <w:continuationSeparator/>
      </w:r>
    </w:p>
  </w:footnote>
  <w:footnote w:type="continuationNotice" w:id="1">
    <w:p w14:paraId="1ED0E1AB" w14:textId="77777777" w:rsidR="00EF68F3" w:rsidRDefault="00EF68F3">
      <w:pPr>
        <w:spacing w:after="0" w:line="240" w:lineRule="auto"/>
      </w:pPr>
    </w:p>
  </w:footnote>
  <w:footnote w:id="2">
    <w:p w14:paraId="1195686C" w14:textId="2D1CBAC9" w:rsidR="00BB1355" w:rsidRPr="008F3C85" w:rsidRDefault="00BB1355">
      <w:pPr>
        <w:pStyle w:val="FootnoteText"/>
        <w:rPr>
          <w:sz w:val="18"/>
          <w:szCs w:val="18"/>
        </w:rPr>
      </w:pPr>
      <w:r w:rsidRPr="008F3C85">
        <w:rPr>
          <w:rStyle w:val="FootnoteReference"/>
          <w:sz w:val="18"/>
          <w:szCs w:val="18"/>
        </w:rPr>
        <w:footnoteRef/>
      </w:r>
      <w:r w:rsidRPr="008F3C85">
        <w:rPr>
          <w:sz w:val="18"/>
          <w:szCs w:val="18"/>
        </w:rPr>
        <w:t xml:space="preserve"> In 2020, the </w:t>
      </w:r>
      <w:bookmarkStart w:id="3" w:name="_Hlk179810567"/>
      <w:r w:rsidRPr="008F3C85">
        <w:rPr>
          <w:sz w:val="18"/>
          <w:szCs w:val="18"/>
        </w:rPr>
        <w:t xml:space="preserve">UNSDG produced the </w:t>
      </w:r>
      <w:hyperlink r:id="rId1" w:history="1">
        <w:r w:rsidRPr="008F3C85">
          <w:rPr>
            <w:rStyle w:val="Hyperlink"/>
            <w:sz w:val="18"/>
            <w:szCs w:val="18"/>
          </w:rPr>
          <w:t>Common Approach to Prospect Research and Due Diligence for Business Sector Partnerships</w:t>
        </w:r>
      </w:hyperlink>
      <w:bookmarkEnd w:id="3"/>
      <w:r w:rsidRPr="008F3C85">
        <w:rPr>
          <w:sz w:val="18"/>
          <w:szCs w:val="18"/>
        </w:rPr>
        <w:t>, which proposed a due diligence framework applicable across UN agencies, and adaptable to different UN agencies’ priorities, mandates, and systems. Its development involved a consultative process with all the members of the UNSDG.</w:t>
      </w:r>
    </w:p>
  </w:footnote>
  <w:footnote w:id="3">
    <w:p w14:paraId="476461B1" w14:textId="193762ED" w:rsidR="00BB1355" w:rsidRPr="008F3C85" w:rsidRDefault="00BB1355">
      <w:pPr>
        <w:pStyle w:val="FootnoteText"/>
        <w:rPr>
          <w:sz w:val="18"/>
          <w:szCs w:val="18"/>
        </w:rPr>
      </w:pPr>
      <w:r w:rsidRPr="008F3C85">
        <w:rPr>
          <w:rStyle w:val="FootnoteReference"/>
          <w:sz w:val="18"/>
          <w:szCs w:val="18"/>
        </w:rPr>
        <w:footnoteRef/>
      </w:r>
      <w:r w:rsidRPr="008F3C85">
        <w:rPr>
          <w:sz w:val="18"/>
          <w:szCs w:val="18"/>
        </w:rPr>
        <w:t xml:space="preserve"> </w:t>
      </w:r>
      <w:r w:rsidR="00E97612" w:rsidRPr="008F3C85">
        <w:rPr>
          <w:sz w:val="18"/>
          <w:szCs w:val="18"/>
        </w:rPr>
        <w:t>Including</w:t>
      </w:r>
      <w:r w:rsidRPr="008F3C85">
        <w:rPr>
          <w:sz w:val="18"/>
          <w:szCs w:val="18"/>
        </w:rPr>
        <w:t xml:space="preserve"> the Universal Declaration of Human Rights, the International Labour Organization’s Declaration on Fundamental Principles and Rights at Work, the Rio Declaration on Environment and Development, and the United Nations Convention Against Corruption.</w:t>
      </w:r>
    </w:p>
  </w:footnote>
  <w:footnote w:id="4">
    <w:p w14:paraId="32ADD3A0" w14:textId="62C1051E" w:rsidR="000020CD" w:rsidRPr="008F3C85" w:rsidRDefault="000020CD">
      <w:pPr>
        <w:pStyle w:val="FootnoteText"/>
        <w:rPr>
          <w:sz w:val="18"/>
          <w:szCs w:val="18"/>
        </w:rPr>
      </w:pPr>
      <w:r w:rsidRPr="008F3C85">
        <w:rPr>
          <w:rStyle w:val="FootnoteReference"/>
          <w:sz w:val="18"/>
          <w:szCs w:val="18"/>
        </w:rPr>
        <w:footnoteRef/>
      </w:r>
      <w:r w:rsidRPr="008F3C85">
        <w:rPr>
          <w:sz w:val="18"/>
          <w:szCs w:val="18"/>
        </w:rPr>
        <w:t xml:space="preserve"> The GFCR follows UNSDG and UNDP definitions regarding private sector engagements</w:t>
      </w:r>
      <w:r w:rsidR="00911A65" w:rsidRPr="008F3C85">
        <w:rPr>
          <w:sz w:val="18"/>
          <w:szCs w:val="18"/>
        </w:rPr>
        <w:t>. These in turn</w:t>
      </w:r>
      <w:r w:rsidR="00645280" w:rsidRPr="008F3C85">
        <w:rPr>
          <w:sz w:val="18"/>
          <w:szCs w:val="18"/>
        </w:rPr>
        <w:t xml:space="preserve"> are based on the UN General Assembly Resolution 68/234 "Towards global partnerships: a principle-based approach to enhanced cooperation between the UN and all relevant partners”.</w:t>
      </w:r>
    </w:p>
  </w:footnote>
  <w:footnote w:id="5">
    <w:p w14:paraId="3C6A43CD" w14:textId="4A557C1E" w:rsidR="000539E5" w:rsidRPr="008F3C85" w:rsidRDefault="000539E5">
      <w:pPr>
        <w:pStyle w:val="FootnoteText"/>
        <w:rPr>
          <w:sz w:val="18"/>
          <w:szCs w:val="18"/>
        </w:rPr>
      </w:pPr>
      <w:r w:rsidRPr="008F3C85">
        <w:rPr>
          <w:rStyle w:val="FootnoteReference"/>
          <w:sz w:val="18"/>
          <w:szCs w:val="18"/>
        </w:rPr>
        <w:footnoteRef/>
      </w:r>
      <w:r w:rsidRPr="008F3C85">
        <w:rPr>
          <w:sz w:val="18"/>
          <w:szCs w:val="18"/>
        </w:rPr>
        <w:t xml:space="preserve"> The</w:t>
      </w:r>
      <w:r w:rsidR="00956750">
        <w:rPr>
          <w:sz w:val="18"/>
          <w:szCs w:val="18"/>
        </w:rPr>
        <w:t>se</w:t>
      </w:r>
      <w:r w:rsidRPr="008F3C85">
        <w:rPr>
          <w:sz w:val="18"/>
          <w:szCs w:val="18"/>
        </w:rPr>
        <w:t xml:space="preserve"> principles were </w:t>
      </w:r>
      <w:r w:rsidR="00126CA5" w:rsidRPr="008F3C85">
        <w:rPr>
          <w:sz w:val="18"/>
          <w:szCs w:val="18"/>
        </w:rPr>
        <w:t>developed</w:t>
      </w:r>
      <w:r w:rsidRPr="008F3C85">
        <w:rPr>
          <w:sz w:val="18"/>
          <w:szCs w:val="18"/>
        </w:rPr>
        <w:t xml:space="preserve"> </w:t>
      </w:r>
      <w:r w:rsidR="00F30E94" w:rsidRPr="008F3C85">
        <w:rPr>
          <w:sz w:val="18"/>
          <w:szCs w:val="18"/>
        </w:rPr>
        <w:t>considering</w:t>
      </w:r>
      <w:r w:rsidRPr="008F3C85">
        <w:rPr>
          <w:sz w:val="18"/>
          <w:szCs w:val="18"/>
        </w:rPr>
        <w:t xml:space="preserve"> the UNSDG </w:t>
      </w:r>
      <w:hyperlink r:id="rId2" w:history="1">
        <w:r w:rsidRPr="008F3C85">
          <w:rPr>
            <w:rStyle w:val="Hyperlink"/>
            <w:sz w:val="18"/>
            <w:szCs w:val="18"/>
          </w:rPr>
          <w:t>Common Approach to Prospect Research and Due Diligence for Business Sector Partnerships</w:t>
        </w:r>
      </w:hyperlink>
      <w:r w:rsidRPr="008F3C85">
        <w:rPr>
          <w:sz w:val="18"/>
          <w:szCs w:val="18"/>
        </w:rPr>
        <w:t xml:space="preserve"> and policies</w:t>
      </w:r>
      <w:r w:rsidR="008A1E4B" w:rsidRPr="008F3C85">
        <w:rPr>
          <w:sz w:val="18"/>
          <w:szCs w:val="18"/>
        </w:rPr>
        <w:t xml:space="preserve"> and </w:t>
      </w:r>
      <w:r w:rsidRPr="008F3C85">
        <w:rPr>
          <w:sz w:val="18"/>
          <w:szCs w:val="18"/>
        </w:rPr>
        <w:t xml:space="preserve">strategies </w:t>
      </w:r>
      <w:r w:rsidR="008A1E4B" w:rsidRPr="008F3C85">
        <w:rPr>
          <w:sz w:val="18"/>
          <w:szCs w:val="18"/>
        </w:rPr>
        <w:t>o</w:t>
      </w:r>
      <w:r w:rsidRPr="008F3C85">
        <w:rPr>
          <w:sz w:val="18"/>
          <w:szCs w:val="18"/>
        </w:rPr>
        <w:t>f UNDP, UNEP, UNICEF, UN Women, and UNESCO.</w:t>
      </w:r>
    </w:p>
  </w:footnote>
  <w:footnote w:id="6">
    <w:p w14:paraId="3997DA7E" w14:textId="77777777" w:rsidR="008A1E4B" w:rsidRPr="008F3C85" w:rsidRDefault="008A1E4B" w:rsidP="008A1E4B">
      <w:pPr>
        <w:pStyle w:val="FootnoteText"/>
        <w:rPr>
          <w:sz w:val="18"/>
          <w:szCs w:val="18"/>
        </w:rPr>
      </w:pPr>
      <w:r w:rsidRPr="008F3C85">
        <w:rPr>
          <w:rStyle w:val="FootnoteReference"/>
          <w:sz w:val="18"/>
          <w:szCs w:val="18"/>
        </w:rPr>
        <w:footnoteRef/>
      </w:r>
      <w:r w:rsidRPr="008F3C85">
        <w:rPr>
          <w:sz w:val="18"/>
          <w:szCs w:val="18"/>
        </w:rPr>
        <w:t xml:space="preserve"> Including the Universal Declaration of Human Rights, the International Labour Organization’s Declaration on Fundamental Principles and Rights at Work, the Rio Declaration on Environment and Development, and the United Nations Convention Against Corruption.</w:t>
      </w:r>
    </w:p>
  </w:footnote>
  <w:footnote w:id="7">
    <w:p w14:paraId="7AEAE510" w14:textId="2FB878BA" w:rsidR="00624080" w:rsidRPr="008F3C85" w:rsidRDefault="00624080">
      <w:pPr>
        <w:pStyle w:val="FootnoteText"/>
        <w:rPr>
          <w:sz w:val="18"/>
          <w:szCs w:val="18"/>
        </w:rPr>
      </w:pPr>
      <w:r w:rsidRPr="008F3C85">
        <w:rPr>
          <w:rStyle w:val="FootnoteReference"/>
          <w:sz w:val="18"/>
          <w:szCs w:val="18"/>
        </w:rPr>
        <w:footnoteRef/>
      </w:r>
      <w:r w:rsidRPr="008F3C85">
        <w:rPr>
          <w:sz w:val="18"/>
          <w:szCs w:val="18"/>
        </w:rPr>
        <w:t xml:space="preserve"> See </w:t>
      </w:r>
      <w:hyperlink r:id="rId3" w:history="1">
        <w:r w:rsidRPr="008F3C85">
          <w:rPr>
            <w:rStyle w:val="Hyperlink"/>
            <w:sz w:val="18"/>
            <w:szCs w:val="18"/>
          </w:rPr>
          <w:t>UN Security Council Consolidated List</w:t>
        </w:r>
      </w:hyperlink>
      <w:r w:rsidRPr="008F3C85">
        <w:rPr>
          <w:sz w:val="18"/>
          <w:szCs w:val="18"/>
        </w:rPr>
        <w:t>.</w:t>
      </w:r>
    </w:p>
  </w:footnote>
  <w:footnote w:id="8">
    <w:p w14:paraId="4695E522" w14:textId="6129F592" w:rsidR="00641648" w:rsidRPr="008F3C85" w:rsidRDefault="00641648">
      <w:pPr>
        <w:pStyle w:val="FootnoteText"/>
        <w:rPr>
          <w:sz w:val="18"/>
          <w:szCs w:val="18"/>
        </w:rPr>
      </w:pPr>
      <w:r w:rsidRPr="008F3C85">
        <w:rPr>
          <w:rStyle w:val="FootnoteReference"/>
          <w:sz w:val="18"/>
          <w:szCs w:val="18"/>
        </w:rPr>
        <w:footnoteRef/>
      </w:r>
      <w:r w:rsidRPr="008F3C85">
        <w:rPr>
          <w:sz w:val="18"/>
          <w:szCs w:val="18"/>
        </w:rPr>
        <w:t xml:space="preserve"> </w:t>
      </w:r>
      <w:r w:rsidR="002242AC" w:rsidRPr="008F3C85">
        <w:rPr>
          <w:sz w:val="18"/>
          <w:szCs w:val="18"/>
        </w:rPr>
        <w:t>In alignment with UNDP’s Policy on Due Diligence and Partnerships with the Private Sector (2023)</w:t>
      </w:r>
      <w:r w:rsidR="00FB44E5" w:rsidRPr="008F3C85">
        <w:rPr>
          <w:sz w:val="18"/>
          <w:szCs w:val="18"/>
        </w:rPr>
        <w:t>.</w:t>
      </w:r>
    </w:p>
  </w:footnote>
  <w:footnote w:id="9">
    <w:p w14:paraId="6AAE106E" w14:textId="65378E93" w:rsidR="002242AC" w:rsidRPr="008F3C85" w:rsidRDefault="002242AC">
      <w:pPr>
        <w:pStyle w:val="FootnoteText"/>
        <w:rPr>
          <w:sz w:val="18"/>
          <w:szCs w:val="18"/>
        </w:rPr>
      </w:pPr>
      <w:r w:rsidRPr="008F3C85">
        <w:rPr>
          <w:rStyle w:val="FootnoteReference"/>
          <w:sz w:val="18"/>
          <w:szCs w:val="18"/>
        </w:rPr>
        <w:footnoteRef/>
      </w:r>
      <w:r w:rsidRPr="008F3C85">
        <w:rPr>
          <w:sz w:val="18"/>
          <w:szCs w:val="18"/>
        </w:rPr>
        <w:t xml:space="preserve"> In alignment with UNDP’s Policy on Due Diligence and Partnerships with the Private Sector (2023).</w:t>
      </w:r>
    </w:p>
  </w:footnote>
  <w:footnote w:id="10">
    <w:p w14:paraId="02E09C43" w14:textId="5BE65325" w:rsidR="00301FC9" w:rsidRDefault="00301FC9">
      <w:pPr>
        <w:pStyle w:val="FootnoteText"/>
      </w:pPr>
      <w:r>
        <w:rPr>
          <w:rStyle w:val="FootnoteReference"/>
        </w:rPr>
        <w:footnoteRef/>
      </w:r>
      <w:r>
        <w:t xml:space="preserve"> </w:t>
      </w:r>
      <w:r w:rsidR="00C640F3" w:rsidRPr="00C640F3">
        <w:t>For grievance redress</w:t>
      </w:r>
      <w:r w:rsidR="00C640F3">
        <w:t xml:space="preserve"> guidance</w:t>
      </w:r>
      <w:r w:rsidR="00C640F3" w:rsidRPr="00C640F3">
        <w:t>, refer to the GFCR Grievance Redress Mechanism Policy (2024).</w:t>
      </w:r>
    </w:p>
  </w:footnote>
  <w:footnote w:id="11">
    <w:p w14:paraId="4EBF76D9" w14:textId="05DFEC6F" w:rsidR="00C640F3" w:rsidRDefault="00C640F3">
      <w:pPr>
        <w:pStyle w:val="FootnoteText"/>
      </w:pPr>
      <w:r>
        <w:rPr>
          <w:rStyle w:val="FootnoteReference"/>
        </w:rPr>
        <w:footnoteRef/>
      </w:r>
      <w:r>
        <w:t xml:space="preserve"> For </w:t>
      </w:r>
      <w:r w:rsidR="00241244">
        <w:t>meaningfully engaging stakeholders</w:t>
      </w:r>
      <w:r>
        <w:t xml:space="preserve">, refer to the GFCR </w:t>
      </w:r>
      <w:r w:rsidR="00241244">
        <w:t>Stakeholder Engagement</w:t>
      </w:r>
      <w:r>
        <w:t xml:space="preserve"> Policy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D0DA" w14:textId="76B2C081" w:rsidR="00A62CE6" w:rsidRDefault="00EF68F3">
    <w:pPr>
      <w:pStyle w:val="Header"/>
    </w:pPr>
    <w:r>
      <w:rPr>
        <w:noProof/>
      </w:rPr>
      <w:pict w14:anchorId="428FF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74475" o:spid="_x0000_s1027" type="#_x0000_t136" alt="" style="position:absolute;left:0;text-align:left;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1065" w14:textId="5EAE6626" w:rsidR="00A62CE6" w:rsidRDefault="00EF68F3">
    <w:pPr>
      <w:pStyle w:val="Header"/>
    </w:pPr>
    <w:r>
      <w:rPr>
        <w:noProof/>
      </w:rPr>
      <w:pict w14:anchorId="6391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74476"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D1AD" w14:textId="723815B6" w:rsidR="00A62CE6" w:rsidRDefault="00EF68F3">
    <w:pPr>
      <w:pStyle w:val="Header"/>
    </w:pPr>
    <w:r>
      <w:rPr>
        <w:noProof/>
      </w:rPr>
      <w:pict w14:anchorId="6CA5D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74474" o:spid="_x0000_s1025" type="#_x0000_t136" alt="" style="position:absolute;left:0;text-align:left;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29E6"/>
    <w:multiLevelType w:val="hybridMultilevel"/>
    <w:tmpl w:val="133C6034"/>
    <w:lvl w:ilvl="0" w:tplc="0FBE6320">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1AB"/>
    <w:multiLevelType w:val="hybridMultilevel"/>
    <w:tmpl w:val="078848FC"/>
    <w:lvl w:ilvl="0" w:tplc="08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94437"/>
    <w:multiLevelType w:val="hybridMultilevel"/>
    <w:tmpl w:val="519C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04C5D"/>
    <w:multiLevelType w:val="hybridMultilevel"/>
    <w:tmpl w:val="A3B6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27B5"/>
    <w:multiLevelType w:val="hybridMultilevel"/>
    <w:tmpl w:val="E684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25455"/>
    <w:multiLevelType w:val="hybridMultilevel"/>
    <w:tmpl w:val="F7041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E481A"/>
    <w:multiLevelType w:val="hybridMultilevel"/>
    <w:tmpl w:val="B888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D3320"/>
    <w:multiLevelType w:val="multilevel"/>
    <w:tmpl w:val="368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C59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C5145D"/>
    <w:multiLevelType w:val="multilevel"/>
    <w:tmpl w:val="3C52A8C2"/>
    <w:lvl w:ilvl="0">
      <w:numFmt w:val="bullet"/>
      <w:lvlText w:val="•"/>
      <w:lvlJc w:val="left"/>
      <w:pPr>
        <w:tabs>
          <w:tab w:val="num" w:pos="720"/>
        </w:tabs>
        <w:ind w:left="720" w:hanging="360"/>
      </w:pPr>
      <w:rPr>
        <w:rFonts w:ascii="Aptos" w:eastAsia="Aptos" w:hAnsi="Apto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D5C0A"/>
    <w:multiLevelType w:val="hybridMultilevel"/>
    <w:tmpl w:val="6CDE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F73DD"/>
    <w:multiLevelType w:val="hybridMultilevel"/>
    <w:tmpl w:val="6B16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5711F"/>
    <w:multiLevelType w:val="hybridMultilevel"/>
    <w:tmpl w:val="A0F8D8B8"/>
    <w:lvl w:ilvl="0" w:tplc="0FBE6320">
      <w:numFmt w:val="bullet"/>
      <w:lvlText w:val="•"/>
      <w:lvlJc w:val="left"/>
      <w:pPr>
        <w:ind w:left="720" w:hanging="360"/>
      </w:pPr>
      <w:rPr>
        <w:rFonts w:ascii="Aptos" w:eastAsia="Aptos" w:hAnsi="Apto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B567ED"/>
    <w:multiLevelType w:val="hybridMultilevel"/>
    <w:tmpl w:val="32C03924"/>
    <w:lvl w:ilvl="0" w:tplc="B72A703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019C9"/>
    <w:multiLevelType w:val="hybridMultilevel"/>
    <w:tmpl w:val="DAC0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04A4A"/>
    <w:multiLevelType w:val="hybridMultilevel"/>
    <w:tmpl w:val="8B4C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55DAD"/>
    <w:multiLevelType w:val="hybridMultilevel"/>
    <w:tmpl w:val="DC0E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51A6A"/>
    <w:multiLevelType w:val="multilevel"/>
    <w:tmpl w:val="FA54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473B6"/>
    <w:multiLevelType w:val="hybridMultilevel"/>
    <w:tmpl w:val="A29A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122A2"/>
    <w:multiLevelType w:val="multilevel"/>
    <w:tmpl w:val="3C52A8C2"/>
    <w:lvl w:ilvl="0">
      <w:numFmt w:val="bullet"/>
      <w:lvlText w:val="•"/>
      <w:lvlJc w:val="left"/>
      <w:pPr>
        <w:tabs>
          <w:tab w:val="num" w:pos="720"/>
        </w:tabs>
        <w:ind w:left="720" w:hanging="360"/>
      </w:pPr>
      <w:rPr>
        <w:rFonts w:ascii="Aptos" w:eastAsia="Aptos" w:hAnsi="Apto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D3031"/>
    <w:multiLevelType w:val="multilevel"/>
    <w:tmpl w:val="05F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410C6F"/>
    <w:multiLevelType w:val="hybridMultilevel"/>
    <w:tmpl w:val="715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307B8"/>
    <w:multiLevelType w:val="hybridMultilevel"/>
    <w:tmpl w:val="89DAF3BA"/>
    <w:lvl w:ilvl="0" w:tplc="0FBE6320">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60579"/>
    <w:multiLevelType w:val="hybridMultilevel"/>
    <w:tmpl w:val="66AA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06671"/>
    <w:multiLevelType w:val="hybridMultilevel"/>
    <w:tmpl w:val="725C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10603"/>
    <w:multiLevelType w:val="hybridMultilevel"/>
    <w:tmpl w:val="A38A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C3087"/>
    <w:multiLevelType w:val="multilevel"/>
    <w:tmpl w:val="3C52A8C2"/>
    <w:lvl w:ilvl="0">
      <w:numFmt w:val="bullet"/>
      <w:lvlText w:val="•"/>
      <w:lvlJc w:val="left"/>
      <w:pPr>
        <w:tabs>
          <w:tab w:val="num" w:pos="720"/>
        </w:tabs>
        <w:ind w:left="720" w:hanging="360"/>
      </w:pPr>
      <w:rPr>
        <w:rFonts w:ascii="Aptos" w:eastAsia="Aptos" w:hAnsi="Apto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51A33"/>
    <w:multiLevelType w:val="hybridMultilevel"/>
    <w:tmpl w:val="BA9C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C6AD0"/>
    <w:multiLevelType w:val="hybridMultilevel"/>
    <w:tmpl w:val="162AC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6DF3"/>
    <w:multiLevelType w:val="hybridMultilevel"/>
    <w:tmpl w:val="9A1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71DC4"/>
    <w:multiLevelType w:val="hybridMultilevel"/>
    <w:tmpl w:val="2D96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169AB"/>
    <w:multiLevelType w:val="hybridMultilevel"/>
    <w:tmpl w:val="F90849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B316BB"/>
    <w:multiLevelType w:val="multilevel"/>
    <w:tmpl w:val="6186E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D22A6"/>
    <w:multiLevelType w:val="multilevel"/>
    <w:tmpl w:val="3C52A8C2"/>
    <w:lvl w:ilvl="0">
      <w:numFmt w:val="bullet"/>
      <w:lvlText w:val="•"/>
      <w:lvlJc w:val="left"/>
      <w:pPr>
        <w:tabs>
          <w:tab w:val="num" w:pos="720"/>
        </w:tabs>
        <w:ind w:left="720" w:hanging="360"/>
      </w:pPr>
      <w:rPr>
        <w:rFonts w:ascii="Aptos" w:eastAsia="Aptos" w:hAnsi="Apto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6E5781"/>
    <w:multiLevelType w:val="hybridMultilevel"/>
    <w:tmpl w:val="5E7E677E"/>
    <w:lvl w:ilvl="0" w:tplc="0FBE6320">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85B55"/>
    <w:multiLevelType w:val="hybridMultilevel"/>
    <w:tmpl w:val="8232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E7A32"/>
    <w:multiLevelType w:val="hybridMultilevel"/>
    <w:tmpl w:val="4032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02B07"/>
    <w:multiLevelType w:val="hybridMultilevel"/>
    <w:tmpl w:val="F384A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E94DCD"/>
    <w:multiLevelType w:val="hybridMultilevel"/>
    <w:tmpl w:val="DED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123A5"/>
    <w:multiLevelType w:val="hybridMultilevel"/>
    <w:tmpl w:val="74EE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17AB9"/>
    <w:multiLevelType w:val="hybridMultilevel"/>
    <w:tmpl w:val="B17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D088B"/>
    <w:multiLevelType w:val="hybridMultilevel"/>
    <w:tmpl w:val="CCD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A0559"/>
    <w:multiLevelType w:val="hybridMultilevel"/>
    <w:tmpl w:val="A6FA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368536">
    <w:abstractNumId w:val="15"/>
  </w:num>
  <w:num w:numId="2" w16cid:durableId="1847161851">
    <w:abstractNumId w:val="18"/>
  </w:num>
  <w:num w:numId="3" w16cid:durableId="1678655398">
    <w:abstractNumId w:val="39"/>
  </w:num>
  <w:num w:numId="4" w16cid:durableId="427234324">
    <w:abstractNumId w:val="35"/>
  </w:num>
  <w:num w:numId="5" w16cid:durableId="547760247">
    <w:abstractNumId w:val="10"/>
  </w:num>
  <w:num w:numId="6" w16cid:durableId="288054500">
    <w:abstractNumId w:val="27"/>
  </w:num>
  <w:num w:numId="7" w16cid:durableId="1868563582">
    <w:abstractNumId w:val="4"/>
  </w:num>
  <w:num w:numId="8" w16cid:durableId="1701124163">
    <w:abstractNumId w:val="34"/>
  </w:num>
  <w:num w:numId="9" w16cid:durableId="1437675824">
    <w:abstractNumId w:val="22"/>
  </w:num>
  <w:num w:numId="10" w16cid:durableId="2063090112">
    <w:abstractNumId w:val="8"/>
  </w:num>
  <w:num w:numId="11" w16cid:durableId="870337640">
    <w:abstractNumId w:val="37"/>
  </w:num>
  <w:num w:numId="12" w16cid:durableId="463501169">
    <w:abstractNumId w:val="31"/>
  </w:num>
  <w:num w:numId="13" w16cid:durableId="192230118">
    <w:abstractNumId w:val="12"/>
  </w:num>
  <w:num w:numId="14" w16cid:durableId="751897933">
    <w:abstractNumId w:val="0"/>
  </w:num>
  <w:num w:numId="15" w16cid:durableId="1179153632">
    <w:abstractNumId w:val="17"/>
  </w:num>
  <w:num w:numId="16" w16cid:durableId="1510632268">
    <w:abstractNumId w:val="19"/>
  </w:num>
  <w:num w:numId="17" w16cid:durableId="279647064">
    <w:abstractNumId w:val="26"/>
  </w:num>
  <w:num w:numId="18" w16cid:durableId="1317882344">
    <w:abstractNumId w:val="9"/>
  </w:num>
  <w:num w:numId="19" w16cid:durableId="1407267428">
    <w:abstractNumId w:val="33"/>
  </w:num>
  <w:num w:numId="20" w16cid:durableId="596449502">
    <w:abstractNumId w:val="14"/>
  </w:num>
  <w:num w:numId="21" w16cid:durableId="1798209254">
    <w:abstractNumId w:val="3"/>
  </w:num>
  <w:num w:numId="22" w16cid:durableId="1701782766">
    <w:abstractNumId w:val="41"/>
  </w:num>
  <w:num w:numId="23" w16cid:durableId="2068724893">
    <w:abstractNumId w:val="6"/>
  </w:num>
  <w:num w:numId="24" w16cid:durableId="1115712464">
    <w:abstractNumId w:val="30"/>
  </w:num>
  <w:num w:numId="25" w16cid:durableId="2141871723">
    <w:abstractNumId w:val="38"/>
  </w:num>
  <w:num w:numId="26" w16cid:durableId="381254125">
    <w:abstractNumId w:val="7"/>
  </w:num>
  <w:num w:numId="27" w16cid:durableId="1211654102">
    <w:abstractNumId w:val="20"/>
  </w:num>
  <w:num w:numId="28" w16cid:durableId="834882408">
    <w:abstractNumId w:val="32"/>
  </w:num>
  <w:num w:numId="29" w16cid:durableId="635111217">
    <w:abstractNumId w:val="1"/>
  </w:num>
  <w:num w:numId="30" w16cid:durableId="1094328204">
    <w:abstractNumId w:val="13"/>
  </w:num>
  <w:num w:numId="31" w16cid:durableId="929001713">
    <w:abstractNumId w:val="11"/>
  </w:num>
  <w:num w:numId="32" w16cid:durableId="597256353">
    <w:abstractNumId w:val="23"/>
  </w:num>
  <w:num w:numId="33" w16cid:durableId="2126463281">
    <w:abstractNumId w:val="16"/>
  </w:num>
  <w:num w:numId="34" w16cid:durableId="565460552">
    <w:abstractNumId w:val="5"/>
  </w:num>
  <w:num w:numId="35" w16cid:durableId="1542592014">
    <w:abstractNumId w:val="28"/>
  </w:num>
  <w:num w:numId="36" w16cid:durableId="1609265742">
    <w:abstractNumId w:val="29"/>
  </w:num>
  <w:num w:numId="37" w16cid:durableId="2053730720">
    <w:abstractNumId w:val="25"/>
  </w:num>
  <w:num w:numId="38" w16cid:durableId="155460399">
    <w:abstractNumId w:val="2"/>
  </w:num>
  <w:num w:numId="39" w16cid:durableId="685597521">
    <w:abstractNumId w:val="36"/>
  </w:num>
  <w:num w:numId="40" w16cid:durableId="1407805825">
    <w:abstractNumId w:val="21"/>
  </w:num>
  <w:num w:numId="41" w16cid:durableId="1375420900">
    <w:abstractNumId w:val="42"/>
  </w:num>
  <w:num w:numId="42" w16cid:durableId="300307499">
    <w:abstractNumId w:val="24"/>
  </w:num>
  <w:num w:numId="43" w16cid:durableId="6462024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43814"/>
    <w:rsid w:val="00001965"/>
    <w:rsid w:val="000020CD"/>
    <w:rsid w:val="00005833"/>
    <w:rsid w:val="00006380"/>
    <w:rsid w:val="00010059"/>
    <w:rsid w:val="00010261"/>
    <w:rsid w:val="00012CC2"/>
    <w:rsid w:val="0001456D"/>
    <w:rsid w:val="0001568F"/>
    <w:rsid w:val="000200A5"/>
    <w:rsid w:val="0002057F"/>
    <w:rsid w:val="00021298"/>
    <w:rsid w:val="000313AE"/>
    <w:rsid w:val="0003310A"/>
    <w:rsid w:val="000522DB"/>
    <w:rsid w:val="000539E5"/>
    <w:rsid w:val="00063FB1"/>
    <w:rsid w:val="0006715E"/>
    <w:rsid w:val="0006772F"/>
    <w:rsid w:val="0007619C"/>
    <w:rsid w:val="000773E1"/>
    <w:rsid w:val="00077873"/>
    <w:rsid w:val="00081492"/>
    <w:rsid w:val="00084338"/>
    <w:rsid w:val="00086C18"/>
    <w:rsid w:val="000A19CC"/>
    <w:rsid w:val="000A21E8"/>
    <w:rsid w:val="000A3C7B"/>
    <w:rsid w:val="000A3F2E"/>
    <w:rsid w:val="000A6D36"/>
    <w:rsid w:val="000B4B5A"/>
    <w:rsid w:val="000C1C32"/>
    <w:rsid w:val="000C3753"/>
    <w:rsid w:val="000C5ED5"/>
    <w:rsid w:val="000E5A48"/>
    <w:rsid w:val="000F0AA9"/>
    <w:rsid w:val="000F5FB0"/>
    <w:rsid w:val="00102D38"/>
    <w:rsid w:val="00107AC5"/>
    <w:rsid w:val="00113E75"/>
    <w:rsid w:val="001144A3"/>
    <w:rsid w:val="001204D8"/>
    <w:rsid w:val="001222D0"/>
    <w:rsid w:val="0012398A"/>
    <w:rsid w:val="00126CA5"/>
    <w:rsid w:val="00134496"/>
    <w:rsid w:val="001356D3"/>
    <w:rsid w:val="00142DE2"/>
    <w:rsid w:val="001442A6"/>
    <w:rsid w:val="00146426"/>
    <w:rsid w:val="00153372"/>
    <w:rsid w:val="001621FB"/>
    <w:rsid w:val="0016676D"/>
    <w:rsid w:val="00172C20"/>
    <w:rsid w:val="00180C8B"/>
    <w:rsid w:val="00181B8B"/>
    <w:rsid w:val="00183939"/>
    <w:rsid w:val="001846F1"/>
    <w:rsid w:val="001848EB"/>
    <w:rsid w:val="00185624"/>
    <w:rsid w:val="00186CD0"/>
    <w:rsid w:val="001903F9"/>
    <w:rsid w:val="00191630"/>
    <w:rsid w:val="001917DE"/>
    <w:rsid w:val="00196AA4"/>
    <w:rsid w:val="00196D96"/>
    <w:rsid w:val="001A12AD"/>
    <w:rsid w:val="001A3280"/>
    <w:rsid w:val="001A3AEF"/>
    <w:rsid w:val="001A6F8C"/>
    <w:rsid w:val="001B0D88"/>
    <w:rsid w:val="001B7ED4"/>
    <w:rsid w:val="001C08DC"/>
    <w:rsid w:val="001C23B3"/>
    <w:rsid w:val="001D300B"/>
    <w:rsid w:val="001D4361"/>
    <w:rsid w:val="001D4389"/>
    <w:rsid w:val="001E0954"/>
    <w:rsid w:val="001E11B1"/>
    <w:rsid w:val="001E21CF"/>
    <w:rsid w:val="001E2B4C"/>
    <w:rsid w:val="001E5009"/>
    <w:rsid w:val="001E5AB6"/>
    <w:rsid w:val="001F154B"/>
    <w:rsid w:val="001F1879"/>
    <w:rsid w:val="001F6236"/>
    <w:rsid w:val="002232F9"/>
    <w:rsid w:val="002242AC"/>
    <w:rsid w:val="00224F87"/>
    <w:rsid w:val="00230D0E"/>
    <w:rsid w:val="00236017"/>
    <w:rsid w:val="00241244"/>
    <w:rsid w:val="00252EF5"/>
    <w:rsid w:val="00252FBA"/>
    <w:rsid w:val="00255944"/>
    <w:rsid w:val="002621D2"/>
    <w:rsid w:val="00266245"/>
    <w:rsid w:val="00266837"/>
    <w:rsid w:val="002730DB"/>
    <w:rsid w:val="00274E93"/>
    <w:rsid w:val="00283D6A"/>
    <w:rsid w:val="00292A7C"/>
    <w:rsid w:val="002975CF"/>
    <w:rsid w:val="002A00CB"/>
    <w:rsid w:val="002A231E"/>
    <w:rsid w:val="002A268F"/>
    <w:rsid w:val="002A7841"/>
    <w:rsid w:val="002B131F"/>
    <w:rsid w:val="002B2DB1"/>
    <w:rsid w:val="002B6401"/>
    <w:rsid w:val="002B771E"/>
    <w:rsid w:val="002C2DF1"/>
    <w:rsid w:val="00301FC9"/>
    <w:rsid w:val="00302A08"/>
    <w:rsid w:val="00302B38"/>
    <w:rsid w:val="003044C9"/>
    <w:rsid w:val="00313405"/>
    <w:rsid w:val="00313B7C"/>
    <w:rsid w:val="00317F15"/>
    <w:rsid w:val="00320A35"/>
    <w:rsid w:val="003269C5"/>
    <w:rsid w:val="00334F65"/>
    <w:rsid w:val="00341176"/>
    <w:rsid w:val="00341D6A"/>
    <w:rsid w:val="003443DC"/>
    <w:rsid w:val="00345047"/>
    <w:rsid w:val="003454CF"/>
    <w:rsid w:val="00347210"/>
    <w:rsid w:val="00352949"/>
    <w:rsid w:val="00355CF8"/>
    <w:rsid w:val="00360917"/>
    <w:rsid w:val="00365A74"/>
    <w:rsid w:val="00371035"/>
    <w:rsid w:val="0038491E"/>
    <w:rsid w:val="00387F64"/>
    <w:rsid w:val="00391C89"/>
    <w:rsid w:val="003926D5"/>
    <w:rsid w:val="00393979"/>
    <w:rsid w:val="00394021"/>
    <w:rsid w:val="00395493"/>
    <w:rsid w:val="003958DB"/>
    <w:rsid w:val="003A1FA3"/>
    <w:rsid w:val="003A687E"/>
    <w:rsid w:val="003B0E91"/>
    <w:rsid w:val="003C199F"/>
    <w:rsid w:val="003C2990"/>
    <w:rsid w:val="003C727B"/>
    <w:rsid w:val="003C77CF"/>
    <w:rsid w:val="003C782F"/>
    <w:rsid w:val="003D2746"/>
    <w:rsid w:val="003D28F1"/>
    <w:rsid w:val="003D6269"/>
    <w:rsid w:val="003D6683"/>
    <w:rsid w:val="003E067F"/>
    <w:rsid w:val="003E1936"/>
    <w:rsid w:val="003E2F13"/>
    <w:rsid w:val="003E3B89"/>
    <w:rsid w:val="003F26CB"/>
    <w:rsid w:val="004034AF"/>
    <w:rsid w:val="00405BC4"/>
    <w:rsid w:val="0040767A"/>
    <w:rsid w:val="00407FC6"/>
    <w:rsid w:val="004175B1"/>
    <w:rsid w:val="00417DD4"/>
    <w:rsid w:val="00422C29"/>
    <w:rsid w:val="004267C0"/>
    <w:rsid w:val="004409F7"/>
    <w:rsid w:val="00440D37"/>
    <w:rsid w:val="004429D7"/>
    <w:rsid w:val="00443CF7"/>
    <w:rsid w:val="0044471F"/>
    <w:rsid w:val="004475AB"/>
    <w:rsid w:val="00454F42"/>
    <w:rsid w:val="0045653F"/>
    <w:rsid w:val="00465180"/>
    <w:rsid w:val="00465563"/>
    <w:rsid w:val="0046753D"/>
    <w:rsid w:val="00467A71"/>
    <w:rsid w:val="00471A81"/>
    <w:rsid w:val="0048195B"/>
    <w:rsid w:val="0048490B"/>
    <w:rsid w:val="004879C5"/>
    <w:rsid w:val="004928C2"/>
    <w:rsid w:val="00492B94"/>
    <w:rsid w:val="004A469A"/>
    <w:rsid w:val="004A7453"/>
    <w:rsid w:val="004B0226"/>
    <w:rsid w:val="004B0248"/>
    <w:rsid w:val="004B539E"/>
    <w:rsid w:val="004B755A"/>
    <w:rsid w:val="004C1148"/>
    <w:rsid w:val="004C4825"/>
    <w:rsid w:val="004C5B0D"/>
    <w:rsid w:val="004D1D14"/>
    <w:rsid w:val="004D33C9"/>
    <w:rsid w:val="004D4023"/>
    <w:rsid w:val="004D7F4B"/>
    <w:rsid w:val="004E473A"/>
    <w:rsid w:val="004E505F"/>
    <w:rsid w:val="004F444A"/>
    <w:rsid w:val="004F546D"/>
    <w:rsid w:val="004F5A3B"/>
    <w:rsid w:val="004F5FDE"/>
    <w:rsid w:val="004F648F"/>
    <w:rsid w:val="0050175F"/>
    <w:rsid w:val="005117DD"/>
    <w:rsid w:val="00511D4F"/>
    <w:rsid w:val="00513BE9"/>
    <w:rsid w:val="00514CE7"/>
    <w:rsid w:val="00525D66"/>
    <w:rsid w:val="0052755A"/>
    <w:rsid w:val="00532D2A"/>
    <w:rsid w:val="0053612A"/>
    <w:rsid w:val="005501F9"/>
    <w:rsid w:val="005501FC"/>
    <w:rsid w:val="00556EA6"/>
    <w:rsid w:val="005626F1"/>
    <w:rsid w:val="00570043"/>
    <w:rsid w:val="005708BA"/>
    <w:rsid w:val="005709FA"/>
    <w:rsid w:val="00570EE6"/>
    <w:rsid w:val="00576F49"/>
    <w:rsid w:val="005771E0"/>
    <w:rsid w:val="005845FF"/>
    <w:rsid w:val="00592C43"/>
    <w:rsid w:val="005943D7"/>
    <w:rsid w:val="00595619"/>
    <w:rsid w:val="00595A53"/>
    <w:rsid w:val="005A01D7"/>
    <w:rsid w:val="005A5088"/>
    <w:rsid w:val="005B0B55"/>
    <w:rsid w:val="005B2107"/>
    <w:rsid w:val="005B71F5"/>
    <w:rsid w:val="005C22E2"/>
    <w:rsid w:val="005C4B50"/>
    <w:rsid w:val="005C577A"/>
    <w:rsid w:val="005C6ED0"/>
    <w:rsid w:val="005D12AB"/>
    <w:rsid w:val="005D5DB9"/>
    <w:rsid w:val="005D6EB6"/>
    <w:rsid w:val="005E08A5"/>
    <w:rsid w:val="005E4A16"/>
    <w:rsid w:val="005E5CF0"/>
    <w:rsid w:val="005F5247"/>
    <w:rsid w:val="005F5F37"/>
    <w:rsid w:val="00605B3A"/>
    <w:rsid w:val="00606068"/>
    <w:rsid w:val="00607524"/>
    <w:rsid w:val="00611C3D"/>
    <w:rsid w:val="00615FCD"/>
    <w:rsid w:val="00616225"/>
    <w:rsid w:val="00624080"/>
    <w:rsid w:val="0062437A"/>
    <w:rsid w:val="0063524A"/>
    <w:rsid w:val="006363B6"/>
    <w:rsid w:val="00641648"/>
    <w:rsid w:val="00645280"/>
    <w:rsid w:val="00645759"/>
    <w:rsid w:val="00646C61"/>
    <w:rsid w:val="00650A97"/>
    <w:rsid w:val="00653F69"/>
    <w:rsid w:val="006608DC"/>
    <w:rsid w:val="00662E9C"/>
    <w:rsid w:val="0067273E"/>
    <w:rsid w:val="006761AA"/>
    <w:rsid w:val="00681459"/>
    <w:rsid w:val="00682774"/>
    <w:rsid w:val="00695CAA"/>
    <w:rsid w:val="006A6A8A"/>
    <w:rsid w:val="006B1B31"/>
    <w:rsid w:val="006B51C6"/>
    <w:rsid w:val="006C1638"/>
    <w:rsid w:val="006D17E7"/>
    <w:rsid w:val="006E4D3B"/>
    <w:rsid w:val="006E6022"/>
    <w:rsid w:val="006E6A87"/>
    <w:rsid w:val="00702969"/>
    <w:rsid w:val="0070693C"/>
    <w:rsid w:val="00707C4D"/>
    <w:rsid w:val="0071308B"/>
    <w:rsid w:val="00713116"/>
    <w:rsid w:val="007177FE"/>
    <w:rsid w:val="0072015F"/>
    <w:rsid w:val="007302C3"/>
    <w:rsid w:val="00730E4B"/>
    <w:rsid w:val="007327E9"/>
    <w:rsid w:val="0074086F"/>
    <w:rsid w:val="00745C91"/>
    <w:rsid w:val="00750A24"/>
    <w:rsid w:val="00754D8B"/>
    <w:rsid w:val="007558B3"/>
    <w:rsid w:val="00755F43"/>
    <w:rsid w:val="00756D97"/>
    <w:rsid w:val="007617E0"/>
    <w:rsid w:val="0077054C"/>
    <w:rsid w:val="00780DE9"/>
    <w:rsid w:val="00784A0B"/>
    <w:rsid w:val="00785D1E"/>
    <w:rsid w:val="00787F3B"/>
    <w:rsid w:val="007900E2"/>
    <w:rsid w:val="00791561"/>
    <w:rsid w:val="007936E5"/>
    <w:rsid w:val="00793EBF"/>
    <w:rsid w:val="007949A8"/>
    <w:rsid w:val="007A118D"/>
    <w:rsid w:val="007A4CDB"/>
    <w:rsid w:val="007A59EC"/>
    <w:rsid w:val="007B013C"/>
    <w:rsid w:val="007B5F23"/>
    <w:rsid w:val="007C4EF8"/>
    <w:rsid w:val="007C5E56"/>
    <w:rsid w:val="007C65D8"/>
    <w:rsid w:val="007C6A2C"/>
    <w:rsid w:val="007D20C3"/>
    <w:rsid w:val="007D7F59"/>
    <w:rsid w:val="007E6E60"/>
    <w:rsid w:val="007F6B25"/>
    <w:rsid w:val="007F6F82"/>
    <w:rsid w:val="007F7B8A"/>
    <w:rsid w:val="0080783C"/>
    <w:rsid w:val="00816403"/>
    <w:rsid w:val="00822E6F"/>
    <w:rsid w:val="00824AF7"/>
    <w:rsid w:val="008276FC"/>
    <w:rsid w:val="0083018E"/>
    <w:rsid w:val="008332E7"/>
    <w:rsid w:val="00834AC5"/>
    <w:rsid w:val="00834BC1"/>
    <w:rsid w:val="0083627B"/>
    <w:rsid w:val="008375F9"/>
    <w:rsid w:val="00840895"/>
    <w:rsid w:val="0084364E"/>
    <w:rsid w:val="00854846"/>
    <w:rsid w:val="00856591"/>
    <w:rsid w:val="008704C5"/>
    <w:rsid w:val="00876063"/>
    <w:rsid w:val="00880E32"/>
    <w:rsid w:val="008826F1"/>
    <w:rsid w:val="00884D0C"/>
    <w:rsid w:val="008861F7"/>
    <w:rsid w:val="008A1E4B"/>
    <w:rsid w:val="008A2357"/>
    <w:rsid w:val="008A6BC2"/>
    <w:rsid w:val="008B0482"/>
    <w:rsid w:val="008B1324"/>
    <w:rsid w:val="008B4FDB"/>
    <w:rsid w:val="008B502A"/>
    <w:rsid w:val="008B660F"/>
    <w:rsid w:val="008C324F"/>
    <w:rsid w:val="008C5CF2"/>
    <w:rsid w:val="008C709B"/>
    <w:rsid w:val="008D68A5"/>
    <w:rsid w:val="008D6FF5"/>
    <w:rsid w:val="008E5317"/>
    <w:rsid w:val="008E678A"/>
    <w:rsid w:val="008F3C85"/>
    <w:rsid w:val="008F6E64"/>
    <w:rsid w:val="00901275"/>
    <w:rsid w:val="00901601"/>
    <w:rsid w:val="00901830"/>
    <w:rsid w:val="009069C0"/>
    <w:rsid w:val="00911A65"/>
    <w:rsid w:val="009147DD"/>
    <w:rsid w:val="00914EC9"/>
    <w:rsid w:val="00916917"/>
    <w:rsid w:val="00920663"/>
    <w:rsid w:val="0092244D"/>
    <w:rsid w:val="009263E4"/>
    <w:rsid w:val="00934368"/>
    <w:rsid w:val="00940CEE"/>
    <w:rsid w:val="00942F83"/>
    <w:rsid w:val="00945FF7"/>
    <w:rsid w:val="0095592E"/>
    <w:rsid w:val="00956173"/>
    <w:rsid w:val="00956750"/>
    <w:rsid w:val="009577FA"/>
    <w:rsid w:val="00965E7F"/>
    <w:rsid w:val="00967E5B"/>
    <w:rsid w:val="00973762"/>
    <w:rsid w:val="009758DF"/>
    <w:rsid w:val="00975D7F"/>
    <w:rsid w:val="0098110C"/>
    <w:rsid w:val="009867C3"/>
    <w:rsid w:val="00992917"/>
    <w:rsid w:val="009B35A5"/>
    <w:rsid w:val="009B39B2"/>
    <w:rsid w:val="009C146B"/>
    <w:rsid w:val="009C493F"/>
    <w:rsid w:val="009C5D72"/>
    <w:rsid w:val="009D4038"/>
    <w:rsid w:val="009D6C06"/>
    <w:rsid w:val="009D6F38"/>
    <w:rsid w:val="009E16DD"/>
    <w:rsid w:val="009E3EC2"/>
    <w:rsid w:val="009F0D88"/>
    <w:rsid w:val="00A02DF9"/>
    <w:rsid w:val="00A05A2D"/>
    <w:rsid w:val="00A10248"/>
    <w:rsid w:val="00A14C7A"/>
    <w:rsid w:val="00A14DEE"/>
    <w:rsid w:val="00A211D8"/>
    <w:rsid w:val="00A23977"/>
    <w:rsid w:val="00A250E0"/>
    <w:rsid w:val="00A27E14"/>
    <w:rsid w:val="00A30825"/>
    <w:rsid w:val="00A3186E"/>
    <w:rsid w:val="00A31F11"/>
    <w:rsid w:val="00A34295"/>
    <w:rsid w:val="00A42252"/>
    <w:rsid w:val="00A5265D"/>
    <w:rsid w:val="00A564DB"/>
    <w:rsid w:val="00A612C3"/>
    <w:rsid w:val="00A62CE6"/>
    <w:rsid w:val="00A74304"/>
    <w:rsid w:val="00A95910"/>
    <w:rsid w:val="00AA2B65"/>
    <w:rsid w:val="00AA435D"/>
    <w:rsid w:val="00AA7EF0"/>
    <w:rsid w:val="00AB07E7"/>
    <w:rsid w:val="00AB64ED"/>
    <w:rsid w:val="00AB6A60"/>
    <w:rsid w:val="00AC39B3"/>
    <w:rsid w:val="00AC4557"/>
    <w:rsid w:val="00AD1D49"/>
    <w:rsid w:val="00AD1FAC"/>
    <w:rsid w:val="00AD5FDB"/>
    <w:rsid w:val="00AE0831"/>
    <w:rsid w:val="00AE4589"/>
    <w:rsid w:val="00AE56F2"/>
    <w:rsid w:val="00AF2EA6"/>
    <w:rsid w:val="00AF38E0"/>
    <w:rsid w:val="00AF6951"/>
    <w:rsid w:val="00B047FD"/>
    <w:rsid w:val="00B05110"/>
    <w:rsid w:val="00B1713A"/>
    <w:rsid w:val="00B20655"/>
    <w:rsid w:val="00B20E07"/>
    <w:rsid w:val="00B218AE"/>
    <w:rsid w:val="00B245D9"/>
    <w:rsid w:val="00B249DA"/>
    <w:rsid w:val="00B33AF2"/>
    <w:rsid w:val="00B33F68"/>
    <w:rsid w:val="00B34E88"/>
    <w:rsid w:val="00B3613E"/>
    <w:rsid w:val="00B41B6B"/>
    <w:rsid w:val="00B42E61"/>
    <w:rsid w:val="00B45434"/>
    <w:rsid w:val="00B476FE"/>
    <w:rsid w:val="00B52E51"/>
    <w:rsid w:val="00B53880"/>
    <w:rsid w:val="00B6418E"/>
    <w:rsid w:val="00B657A6"/>
    <w:rsid w:val="00B814AA"/>
    <w:rsid w:val="00B85DB9"/>
    <w:rsid w:val="00B96EE0"/>
    <w:rsid w:val="00BA03DE"/>
    <w:rsid w:val="00BA0CC7"/>
    <w:rsid w:val="00BB1355"/>
    <w:rsid w:val="00BB2F81"/>
    <w:rsid w:val="00BB7154"/>
    <w:rsid w:val="00BC0F2F"/>
    <w:rsid w:val="00BC6A1B"/>
    <w:rsid w:val="00BC6EFD"/>
    <w:rsid w:val="00BD03CE"/>
    <w:rsid w:val="00BD0B65"/>
    <w:rsid w:val="00BD2553"/>
    <w:rsid w:val="00BD3506"/>
    <w:rsid w:val="00BE007A"/>
    <w:rsid w:val="00BE2BDB"/>
    <w:rsid w:val="00BE3F0D"/>
    <w:rsid w:val="00BF25BA"/>
    <w:rsid w:val="00BF3693"/>
    <w:rsid w:val="00BF36B5"/>
    <w:rsid w:val="00BF7AFF"/>
    <w:rsid w:val="00C058C3"/>
    <w:rsid w:val="00C07B20"/>
    <w:rsid w:val="00C12520"/>
    <w:rsid w:val="00C1603F"/>
    <w:rsid w:val="00C16788"/>
    <w:rsid w:val="00C17028"/>
    <w:rsid w:val="00C17F00"/>
    <w:rsid w:val="00C23AF3"/>
    <w:rsid w:val="00C2567E"/>
    <w:rsid w:val="00C414B6"/>
    <w:rsid w:val="00C42B05"/>
    <w:rsid w:val="00C46AAF"/>
    <w:rsid w:val="00C50FA4"/>
    <w:rsid w:val="00C57ABA"/>
    <w:rsid w:val="00C63D2A"/>
    <w:rsid w:val="00C640F3"/>
    <w:rsid w:val="00C74A8C"/>
    <w:rsid w:val="00C75802"/>
    <w:rsid w:val="00C765A4"/>
    <w:rsid w:val="00C83517"/>
    <w:rsid w:val="00C839CB"/>
    <w:rsid w:val="00C95AD5"/>
    <w:rsid w:val="00C9612B"/>
    <w:rsid w:val="00C96512"/>
    <w:rsid w:val="00C96F1C"/>
    <w:rsid w:val="00CA17EC"/>
    <w:rsid w:val="00CA44DE"/>
    <w:rsid w:val="00CA45C0"/>
    <w:rsid w:val="00CA4FA4"/>
    <w:rsid w:val="00CA56BF"/>
    <w:rsid w:val="00CB1616"/>
    <w:rsid w:val="00CC0AEC"/>
    <w:rsid w:val="00CC2E7E"/>
    <w:rsid w:val="00CC67AF"/>
    <w:rsid w:val="00CD5160"/>
    <w:rsid w:val="00CE2A6E"/>
    <w:rsid w:val="00CF1069"/>
    <w:rsid w:val="00CF4B4A"/>
    <w:rsid w:val="00CF5679"/>
    <w:rsid w:val="00CF6A94"/>
    <w:rsid w:val="00CF7341"/>
    <w:rsid w:val="00D03F45"/>
    <w:rsid w:val="00D2162F"/>
    <w:rsid w:val="00D2398F"/>
    <w:rsid w:val="00D258B7"/>
    <w:rsid w:val="00D27C2E"/>
    <w:rsid w:val="00D31B86"/>
    <w:rsid w:val="00D349B8"/>
    <w:rsid w:val="00D34EBA"/>
    <w:rsid w:val="00D3625C"/>
    <w:rsid w:val="00D3650E"/>
    <w:rsid w:val="00D420C8"/>
    <w:rsid w:val="00D443B1"/>
    <w:rsid w:val="00D47F25"/>
    <w:rsid w:val="00D53F88"/>
    <w:rsid w:val="00D60E44"/>
    <w:rsid w:val="00D6711F"/>
    <w:rsid w:val="00D67E1D"/>
    <w:rsid w:val="00D739D6"/>
    <w:rsid w:val="00D8012B"/>
    <w:rsid w:val="00D8037E"/>
    <w:rsid w:val="00D81E92"/>
    <w:rsid w:val="00D837E2"/>
    <w:rsid w:val="00D83BB7"/>
    <w:rsid w:val="00D84A5A"/>
    <w:rsid w:val="00D92135"/>
    <w:rsid w:val="00D92843"/>
    <w:rsid w:val="00D96F46"/>
    <w:rsid w:val="00DA3B54"/>
    <w:rsid w:val="00DA44AB"/>
    <w:rsid w:val="00DA47B6"/>
    <w:rsid w:val="00DA51CF"/>
    <w:rsid w:val="00DA6A78"/>
    <w:rsid w:val="00DC549D"/>
    <w:rsid w:val="00DD0E30"/>
    <w:rsid w:val="00DD41DA"/>
    <w:rsid w:val="00DE052B"/>
    <w:rsid w:val="00DE5A43"/>
    <w:rsid w:val="00E01740"/>
    <w:rsid w:val="00E01BEE"/>
    <w:rsid w:val="00E05307"/>
    <w:rsid w:val="00E062D7"/>
    <w:rsid w:val="00E13ED6"/>
    <w:rsid w:val="00E2401C"/>
    <w:rsid w:val="00E2649F"/>
    <w:rsid w:val="00E31420"/>
    <w:rsid w:val="00E32FD3"/>
    <w:rsid w:val="00E35B40"/>
    <w:rsid w:val="00E35E9D"/>
    <w:rsid w:val="00E37412"/>
    <w:rsid w:val="00E431CA"/>
    <w:rsid w:val="00E443BC"/>
    <w:rsid w:val="00E461EF"/>
    <w:rsid w:val="00E529D9"/>
    <w:rsid w:val="00E56945"/>
    <w:rsid w:val="00E62A70"/>
    <w:rsid w:val="00E64B17"/>
    <w:rsid w:val="00E67913"/>
    <w:rsid w:val="00E73B91"/>
    <w:rsid w:val="00E760AD"/>
    <w:rsid w:val="00E84C10"/>
    <w:rsid w:val="00E86A31"/>
    <w:rsid w:val="00E87F42"/>
    <w:rsid w:val="00E92DA7"/>
    <w:rsid w:val="00E9425A"/>
    <w:rsid w:val="00E97612"/>
    <w:rsid w:val="00EA0491"/>
    <w:rsid w:val="00EA08C6"/>
    <w:rsid w:val="00EA488A"/>
    <w:rsid w:val="00EA540B"/>
    <w:rsid w:val="00EA732C"/>
    <w:rsid w:val="00EB134B"/>
    <w:rsid w:val="00EB4E2F"/>
    <w:rsid w:val="00EB52D0"/>
    <w:rsid w:val="00EB7A79"/>
    <w:rsid w:val="00EC12CF"/>
    <w:rsid w:val="00EC2D4D"/>
    <w:rsid w:val="00EC3496"/>
    <w:rsid w:val="00ED1B66"/>
    <w:rsid w:val="00ED314E"/>
    <w:rsid w:val="00ED3318"/>
    <w:rsid w:val="00ED4119"/>
    <w:rsid w:val="00ED73B5"/>
    <w:rsid w:val="00EE0C52"/>
    <w:rsid w:val="00EE20B8"/>
    <w:rsid w:val="00EE6A85"/>
    <w:rsid w:val="00EE74B0"/>
    <w:rsid w:val="00EF04F7"/>
    <w:rsid w:val="00EF433E"/>
    <w:rsid w:val="00EF68F3"/>
    <w:rsid w:val="00F0088A"/>
    <w:rsid w:val="00F00C1F"/>
    <w:rsid w:val="00F058FE"/>
    <w:rsid w:val="00F06BEB"/>
    <w:rsid w:val="00F073C8"/>
    <w:rsid w:val="00F11F9E"/>
    <w:rsid w:val="00F13C73"/>
    <w:rsid w:val="00F142E8"/>
    <w:rsid w:val="00F231FC"/>
    <w:rsid w:val="00F27AE9"/>
    <w:rsid w:val="00F30E94"/>
    <w:rsid w:val="00F350C9"/>
    <w:rsid w:val="00F42913"/>
    <w:rsid w:val="00F521AB"/>
    <w:rsid w:val="00F55FCE"/>
    <w:rsid w:val="00F61EF3"/>
    <w:rsid w:val="00F64F36"/>
    <w:rsid w:val="00F64F53"/>
    <w:rsid w:val="00F667A1"/>
    <w:rsid w:val="00F67AAE"/>
    <w:rsid w:val="00F73559"/>
    <w:rsid w:val="00F74719"/>
    <w:rsid w:val="00F777EB"/>
    <w:rsid w:val="00F77A07"/>
    <w:rsid w:val="00F8710E"/>
    <w:rsid w:val="00F96034"/>
    <w:rsid w:val="00FA1C04"/>
    <w:rsid w:val="00FB0853"/>
    <w:rsid w:val="00FB44E5"/>
    <w:rsid w:val="00FB7888"/>
    <w:rsid w:val="00FC38BF"/>
    <w:rsid w:val="00FC4568"/>
    <w:rsid w:val="00FC75FE"/>
    <w:rsid w:val="00FD23B7"/>
    <w:rsid w:val="00FD5798"/>
    <w:rsid w:val="00FD7006"/>
    <w:rsid w:val="00FE04B6"/>
    <w:rsid w:val="00FE3D32"/>
    <w:rsid w:val="00FE5D18"/>
    <w:rsid w:val="00FF0604"/>
    <w:rsid w:val="00FF175C"/>
    <w:rsid w:val="00FF23DB"/>
    <w:rsid w:val="00FF3C06"/>
    <w:rsid w:val="00FF6490"/>
    <w:rsid w:val="5464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3814"/>
  <w15:chartTrackingRefBased/>
  <w15:docId w15:val="{EB533502-32E4-4ED0-B2E4-06BA61E7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FD"/>
    <w:pPr>
      <w:spacing w:line="259" w:lineRule="auto"/>
      <w:jc w:val="both"/>
    </w:pPr>
    <w:rPr>
      <w:rFonts w:ascii="Aptos" w:eastAsia="Aptos" w:hAnsi="Aptos" w:cs="Times New Roman"/>
      <w:kern w:val="2"/>
      <w:sz w:val="22"/>
      <w:szCs w:val="22"/>
      <w:lang w:val="en-GB" w:eastAsia="en-US"/>
      <w14:ligatures w14:val="standardContextual"/>
    </w:rPr>
  </w:style>
  <w:style w:type="paragraph" w:styleId="Heading1">
    <w:name w:val="heading 1"/>
    <w:basedOn w:val="Normal"/>
    <w:next w:val="Normal"/>
    <w:link w:val="Heading1Char"/>
    <w:uiPriority w:val="9"/>
    <w:qFormat/>
    <w:rsid w:val="007327E9"/>
    <w:pPr>
      <w:outlineLvl w:val="0"/>
    </w:pPr>
    <w:rPr>
      <w:b/>
      <w:bCs/>
      <w:color w:val="156082"/>
      <w:sz w:val="28"/>
      <w:szCs w:val="28"/>
    </w:rPr>
  </w:style>
  <w:style w:type="paragraph" w:styleId="Heading2">
    <w:name w:val="heading 2"/>
    <w:basedOn w:val="Normal"/>
    <w:next w:val="Normal"/>
    <w:link w:val="Heading2Char"/>
    <w:uiPriority w:val="9"/>
    <w:unhideWhenUsed/>
    <w:qFormat/>
    <w:rsid w:val="00B047FD"/>
    <w:pPr>
      <w:keepNext/>
      <w:keepLines/>
      <w:spacing w:before="160" w:after="80" w:line="360" w:lineRule="auto"/>
      <w:outlineLvl w:val="1"/>
    </w:pPr>
    <w:rPr>
      <w:rFonts w:ascii="Aptos Display" w:eastAsia="Times New Roman" w:hAnsi="Aptos Display"/>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E9"/>
    <w:rPr>
      <w:rFonts w:ascii="Aptos" w:eastAsia="Aptos" w:hAnsi="Aptos" w:cs="Times New Roman"/>
      <w:b/>
      <w:bCs/>
      <w:color w:val="156082"/>
      <w:kern w:val="2"/>
      <w:sz w:val="28"/>
      <w:szCs w:val="28"/>
      <w:lang w:val="en-GB" w:eastAsia="en-US"/>
      <w14:ligatures w14:val="standardContextual"/>
    </w:rPr>
  </w:style>
  <w:style w:type="character" w:customStyle="1" w:styleId="Heading2Char">
    <w:name w:val="Heading 2 Char"/>
    <w:basedOn w:val="DefaultParagraphFont"/>
    <w:link w:val="Heading2"/>
    <w:uiPriority w:val="9"/>
    <w:rsid w:val="00B047FD"/>
    <w:rPr>
      <w:rFonts w:ascii="Aptos Display" w:eastAsia="Times New Roman" w:hAnsi="Aptos Display" w:cs="Times New Roman"/>
      <w:b/>
      <w:bCs/>
      <w:kern w:val="2"/>
      <w:sz w:val="22"/>
      <w:szCs w:val="22"/>
      <w:lang w:val="en-GB" w:eastAsia="en-US"/>
      <w14:ligatures w14:val="standardContextual"/>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unhideWhenUsed/>
    <w:rsid w:val="00B047FD"/>
    <w:pPr>
      <w:spacing w:after="0" w:line="240" w:lineRule="auto"/>
    </w:pPr>
    <w:rPr>
      <w:sz w:val="20"/>
      <w:szCs w:val="20"/>
    </w:rPr>
  </w:style>
  <w:style w:type="character" w:customStyle="1" w:styleId="FootnoteTextChar">
    <w:name w:val="Footnote Text Char"/>
    <w:basedOn w:val="DefaultParagraphFont"/>
    <w:link w:val="FootnoteText"/>
    <w:uiPriority w:val="99"/>
    <w:rsid w:val="00B047FD"/>
    <w:rPr>
      <w:rFonts w:ascii="Aptos" w:eastAsia="Aptos" w:hAnsi="Aptos" w:cs="Times New Roman"/>
      <w:kern w:val="2"/>
      <w:sz w:val="20"/>
      <w:szCs w:val="20"/>
      <w:lang w:val="en-GB" w:eastAsia="en-US"/>
      <w14:ligatures w14:val="standardContextual"/>
    </w:rPr>
  </w:style>
  <w:style w:type="character" w:styleId="FootnoteReference">
    <w:name w:val="footnote reference"/>
    <w:basedOn w:val="DefaultParagraphFont"/>
    <w:uiPriority w:val="99"/>
    <w:unhideWhenUsed/>
    <w:rsid w:val="00B047FD"/>
    <w:rPr>
      <w:vertAlign w:val="superscript"/>
    </w:rPr>
  </w:style>
  <w:style w:type="paragraph" w:styleId="ListParagraph">
    <w:name w:val="List Paragraph"/>
    <w:basedOn w:val="Normal"/>
    <w:uiPriority w:val="34"/>
    <w:qFormat/>
    <w:rsid w:val="00B047FD"/>
    <w:pPr>
      <w:ind w:left="720"/>
      <w:contextualSpacing/>
    </w:pPr>
  </w:style>
  <w:style w:type="paragraph" w:styleId="Header">
    <w:name w:val="header"/>
    <w:basedOn w:val="Normal"/>
    <w:link w:val="HeaderChar"/>
    <w:uiPriority w:val="99"/>
    <w:unhideWhenUsed/>
    <w:rsid w:val="00770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54C"/>
    <w:rPr>
      <w:rFonts w:ascii="Aptos" w:eastAsia="Aptos" w:hAnsi="Aptos" w:cs="Times New Roman"/>
      <w:kern w:val="2"/>
      <w:sz w:val="22"/>
      <w:szCs w:val="22"/>
      <w:lang w:val="en-GB" w:eastAsia="en-US"/>
      <w14:ligatures w14:val="standardContextual"/>
    </w:rPr>
  </w:style>
  <w:style w:type="paragraph" w:styleId="Footer">
    <w:name w:val="footer"/>
    <w:basedOn w:val="Normal"/>
    <w:link w:val="FooterChar"/>
    <w:uiPriority w:val="99"/>
    <w:unhideWhenUsed/>
    <w:rsid w:val="00770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54C"/>
    <w:rPr>
      <w:rFonts w:ascii="Aptos" w:eastAsia="Aptos" w:hAnsi="Aptos" w:cs="Times New Roman"/>
      <w:kern w:val="2"/>
      <w:sz w:val="22"/>
      <w:szCs w:val="22"/>
      <w:lang w:val="en-GB" w:eastAsia="en-US"/>
      <w14:ligatures w14:val="standardContextual"/>
    </w:rPr>
  </w:style>
  <w:style w:type="character" w:styleId="Hyperlink">
    <w:name w:val="Hyperlink"/>
    <w:basedOn w:val="DefaultParagraphFont"/>
    <w:uiPriority w:val="99"/>
    <w:unhideWhenUsed/>
    <w:rsid w:val="00BC6A1B"/>
    <w:rPr>
      <w:color w:val="467886" w:themeColor="hyperlink"/>
      <w:u w:val="single"/>
    </w:rPr>
  </w:style>
  <w:style w:type="paragraph" w:styleId="TOCHeading">
    <w:name w:val="TOC Heading"/>
    <w:basedOn w:val="Heading1"/>
    <w:next w:val="Normal"/>
    <w:uiPriority w:val="39"/>
    <w:unhideWhenUsed/>
    <w:qFormat/>
    <w:rsid w:val="00BC6A1B"/>
    <w:pPr>
      <w:spacing w:before="480" w:after="0" w:line="276" w:lineRule="auto"/>
      <w:jc w:val="left"/>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rsid w:val="00BC6A1B"/>
    <w:pPr>
      <w:spacing w:before="120" w:after="120"/>
      <w:jc w:val="left"/>
    </w:pPr>
    <w:rPr>
      <w:rFonts w:asciiTheme="minorHAnsi" w:eastAsiaTheme="minorHAnsi" w:hAnsiTheme="minorHAnsi" w:cstheme="minorBidi"/>
      <w:b/>
      <w:bCs/>
      <w:caps/>
      <w:sz w:val="20"/>
      <w:szCs w:val="20"/>
    </w:rPr>
  </w:style>
  <w:style w:type="paragraph" w:styleId="TOC2">
    <w:name w:val="toc 2"/>
    <w:basedOn w:val="Normal"/>
    <w:next w:val="Normal"/>
    <w:autoRedefine/>
    <w:uiPriority w:val="39"/>
    <w:unhideWhenUsed/>
    <w:rsid w:val="00BC6A1B"/>
    <w:pPr>
      <w:spacing w:after="0"/>
      <w:ind w:left="220"/>
      <w:jc w:val="left"/>
    </w:pPr>
    <w:rPr>
      <w:rFonts w:asciiTheme="minorHAnsi" w:eastAsiaTheme="minorHAnsi" w:hAnsiTheme="minorHAnsi" w:cstheme="minorBidi"/>
      <w:smallCaps/>
      <w:sz w:val="20"/>
      <w:szCs w:val="20"/>
    </w:rPr>
  </w:style>
  <w:style w:type="character" w:styleId="CommentReference">
    <w:name w:val="annotation reference"/>
    <w:basedOn w:val="DefaultParagraphFont"/>
    <w:uiPriority w:val="99"/>
    <w:semiHidden/>
    <w:unhideWhenUsed/>
    <w:rsid w:val="00E31420"/>
    <w:rPr>
      <w:sz w:val="16"/>
      <w:szCs w:val="16"/>
    </w:rPr>
  </w:style>
  <w:style w:type="paragraph" w:styleId="CommentText">
    <w:name w:val="annotation text"/>
    <w:basedOn w:val="Normal"/>
    <w:link w:val="CommentTextChar"/>
    <w:uiPriority w:val="99"/>
    <w:unhideWhenUsed/>
    <w:rsid w:val="00E31420"/>
    <w:pPr>
      <w:spacing w:line="240" w:lineRule="auto"/>
    </w:pPr>
    <w:rPr>
      <w:sz w:val="20"/>
      <w:szCs w:val="20"/>
    </w:rPr>
  </w:style>
  <w:style w:type="character" w:customStyle="1" w:styleId="CommentTextChar">
    <w:name w:val="Comment Text Char"/>
    <w:basedOn w:val="DefaultParagraphFont"/>
    <w:link w:val="CommentText"/>
    <w:uiPriority w:val="99"/>
    <w:rsid w:val="00E31420"/>
    <w:rPr>
      <w:rFonts w:ascii="Aptos" w:eastAsia="Aptos" w:hAnsi="Aptos" w:cs="Times New Roman"/>
      <w:kern w:val="2"/>
      <w:sz w:val="20"/>
      <w:szCs w:val="20"/>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E31420"/>
    <w:rPr>
      <w:b/>
      <w:bCs/>
    </w:rPr>
  </w:style>
  <w:style w:type="character" w:customStyle="1" w:styleId="CommentSubjectChar">
    <w:name w:val="Comment Subject Char"/>
    <w:basedOn w:val="CommentTextChar"/>
    <w:link w:val="CommentSubject"/>
    <w:uiPriority w:val="99"/>
    <w:semiHidden/>
    <w:rsid w:val="00E31420"/>
    <w:rPr>
      <w:rFonts w:ascii="Aptos" w:eastAsia="Aptos" w:hAnsi="Aptos" w:cs="Times New Roman"/>
      <w:b/>
      <w:bCs/>
      <w:kern w:val="2"/>
      <w:sz w:val="20"/>
      <w:szCs w:val="20"/>
      <w:lang w:val="en-GB" w:eastAsia="en-US"/>
      <w14:ligatures w14:val="standardContextual"/>
    </w:rPr>
  </w:style>
  <w:style w:type="character" w:styleId="UnresolvedMention">
    <w:name w:val="Unresolved Mention"/>
    <w:basedOn w:val="DefaultParagraphFont"/>
    <w:uiPriority w:val="99"/>
    <w:semiHidden/>
    <w:unhideWhenUsed/>
    <w:rsid w:val="00EF433E"/>
    <w:rPr>
      <w:color w:val="605E5C"/>
      <w:shd w:val="clear" w:color="auto" w:fill="E1DFDD"/>
    </w:rPr>
  </w:style>
  <w:style w:type="table" w:styleId="TableGrid">
    <w:name w:val="Table Grid"/>
    <w:basedOn w:val="TableNormal"/>
    <w:uiPriority w:val="59"/>
    <w:rsid w:val="005B0B55"/>
    <w:pPr>
      <w:spacing w:after="0" w:line="240" w:lineRule="auto"/>
    </w:pPr>
    <w:rPr>
      <w:rFonts w:ascii="Calibri" w:eastAsia="Calibri" w:hAnsi="Calibri" w:cs="Times New Roman"/>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B4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736">
      <w:bodyDiv w:val="1"/>
      <w:marLeft w:val="0"/>
      <w:marRight w:val="0"/>
      <w:marTop w:val="0"/>
      <w:marBottom w:val="0"/>
      <w:divBdr>
        <w:top w:val="none" w:sz="0" w:space="0" w:color="auto"/>
        <w:left w:val="none" w:sz="0" w:space="0" w:color="auto"/>
        <w:bottom w:val="none" w:sz="0" w:space="0" w:color="auto"/>
        <w:right w:val="none" w:sz="0" w:space="0" w:color="auto"/>
      </w:divBdr>
    </w:div>
    <w:div w:id="73935050">
      <w:bodyDiv w:val="1"/>
      <w:marLeft w:val="0"/>
      <w:marRight w:val="0"/>
      <w:marTop w:val="0"/>
      <w:marBottom w:val="0"/>
      <w:divBdr>
        <w:top w:val="none" w:sz="0" w:space="0" w:color="auto"/>
        <w:left w:val="none" w:sz="0" w:space="0" w:color="auto"/>
        <w:bottom w:val="none" w:sz="0" w:space="0" w:color="auto"/>
        <w:right w:val="none" w:sz="0" w:space="0" w:color="auto"/>
      </w:divBdr>
    </w:div>
    <w:div w:id="104928328">
      <w:bodyDiv w:val="1"/>
      <w:marLeft w:val="0"/>
      <w:marRight w:val="0"/>
      <w:marTop w:val="0"/>
      <w:marBottom w:val="0"/>
      <w:divBdr>
        <w:top w:val="none" w:sz="0" w:space="0" w:color="auto"/>
        <w:left w:val="none" w:sz="0" w:space="0" w:color="auto"/>
        <w:bottom w:val="none" w:sz="0" w:space="0" w:color="auto"/>
        <w:right w:val="none" w:sz="0" w:space="0" w:color="auto"/>
      </w:divBdr>
    </w:div>
    <w:div w:id="151458754">
      <w:bodyDiv w:val="1"/>
      <w:marLeft w:val="0"/>
      <w:marRight w:val="0"/>
      <w:marTop w:val="0"/>
      <w:marBottom w:val="0"/>
      <w:divBdr>
        <w:top w:val="none" w:sz="0" w:space="0" w:color="auto"/>
        <w:left w:val="none" w:sz="0" w:space="0" w:color="auto"/>
        <w:bottom w:val="none" w:sz="0" w:space="0" w:color="auto"/>
        <w:right w:val="none" w:sz="0" w:space="0" w:color="auto"/>
      </w:divBdr>
    </w:div>
    <w:div w:id="207038837">
      <w:bodyDiv w:val="1"/>
      <w:marLeft w:val="0"/>
      <w:marRight w:val="0"/>
      <w:marTop w:val="0"/>
      <w:marBottom w:val="0"/>
      <w:divBdr>
        <w:top w:val="none" w:sz="0" w:space="0" w:color="auto"/>
        <w:left w:val="none" w:sz="0" w:space="0" w:color="auto"/>
        <w:bottom w:val="none" w:sz="0" w:space="0" w:color="auto"/>
        <w:right w:val="none" w:sz="0" w:space="0" w:color="auto"/>
      </w:divBdr>
    </w:div>
    <w:div w:id="228999295">
      <w:bodyDiv w:val="1"/>
      <w:marLeft w:val="0"/>
      <w:marRight w:val="0"/>
      <w:marTop w:val="0"/>
      <w:marBottom w:val="0"/>
      <w:divBdr>
        <w:top w:val="none" w:sz="0" w:space="0" w:color="auto"/>
        <w:left w:val="none" w:sz="0" w:space="0" w:color="auto"/>
        <w:bottom w:val="none" w:sz="0" w:space="0" w:color="auto"/>
        <w:right w:val="none" w:sz="0" w:space="0" w:color="auto"/>
      </w:divBdr>
      <w:divsChild>
        <w:div w:id="843472136">
          <w:marLeft w:val="0"/>
          <w:marRight w:val="0"/>
          <w:marTop w:val="0"/>
          <w:marBottom w:val="0"/>
          <w:divBdr>
            <w:top w:val="single" w:sz="2" w:space="0" w:color="auto"/>
            <w:left w:val="single" w:sz="2" w:space="4" w:color="auto"/>
            <w:bottom w:val="single" w:sz="2" w:space="0" w:color="auto"/>
            <w:right w:val="single" w:sz="2" w:space="4" w:color="auto"/>
          </w:divBdr>
        </w:div>
      </w:divsChild>
    </w:div>
    <w:div w:id="308286572">
      <w:bodyDiv w:val="1"/>
      <w:marLeft w:val="0"/>
      <w:marRight w:val="0"/>
      <w:marTop w:val="0"/>
      <w:marBottom w:val="0"/>
      <w:divBdr>
        <w:top w:val="none" w:sz="0" w:space="0" w:color="auto"/>
        <w:left w:val="none" w:sz="0" w:space="0" w:color="auto"/>
        <w:bottom w:val="none" w:sz="0" w:space="0" w:color="auto"/>
        <w:right w:val="none" w:sz="0" w:space="0" w:color="auto"/>
      </w:divBdr>
    </w:div>
    <w:div w:id="506599881">
      <w:bodyDiv w:val="1"/>
      <w:marLeft w:val="0"/>
      <w:marRight w:val="0"/>
      <w:marTop w:val="0"/>
      <w:marBottom w:val="0"/>
      <w:divBdr>
        <w:top w:val="none" w:sz="0" w:space="0" w:color="auto"/>
        <w:left w:val="none" w:sz="0" w:space="0" w:color="auto"/>
        <w:bottom w:val="none" w:sz="0" w:space="0" w:color="auto"/>
        <w:right w:val="none" w:sz="0" w:space="0" w:color="auto"/>
      </w:divBdr>
    </w:div>
    <w:div w:id="540673751">
      <w:bodyDiv w:val="1"/>
      <w:marLeft w:val="0"/>
      <w:marRight w:val="0"/>
      <w:marTop w:val="0"/>
      <w:marBottom w:val="0"/>
      <w:divBdr>
        <w:top w:val="none" w:sz="0" w:space="0" w:color="auto"/>
        <w:left w:val="none" w:sz="0" w:space="0" w:color="auto"/>
        <w:bottom w:val="none" w:sz="0" w:space="0" w:color="auto"/>
        <w:right w:val="none" w:sz="0" w:space="0" w:color="auto"/>
      </w:divBdr>
      <w:divsChild>
        <w:div w:id="1356728628">
          <w:marLeft w:val="0"/>
          <w:marRight w:val="0"/>
          <w:marTop w:val="0"/>
          <w:marBottom w:val="0"/>
          <w:divBdr>
            <w:top w:val="single" w:sz="2" w:space="0" w:color="auto"/>
            <w:left w:val="single" w:sz="2" w:space="4" w:color="auto"/>
            <w:bottom w:val="single" w:sz="2" w:space="0" w:color="auto"/>
            <w:right w:val="single" w:sz="2" w:space="4" w:color="auto"/>
          </w:divBdr>
        </w:div>
      </w:divsChild>
    </w:div>
    <w:div w:id="551422455">
      <w:bodyDiv w:val="1"/>
      <w:marLeft w:val="0"/>
      <w:marRight w:val="0"/>
      <w:marTop w:val="0"/>
      <w:marBottom w:val="0"/>
      <w:divBdr>
        <w:top w:val="none" w:sz="0" w:space="0" w:color="auto"/>
        <w:left w:val="none" w:sz="0" w:space="0" w:color="auto"/>
        <w:bottom w:val="none" w:sz="0" w:space="0" w:color="auto"/>
        <w:right w:val="none" w:sz="0" w:space="0" w:color="auto"/>
      </w:divBdr>
    </w:div>
    <w:div w:id="604701079">
      <w:bodyDiv w:val="1"/>
      <w:marLeft w:val="0"/>
      <w:marRight w:val="0"/>
      <w:marTop w:val="0"/>
      <w:marBottom w:val="0"/>
      <w:divBdr>
        <w:top w:val="none" w:sz="0" w:space="0" w:color="auto"/>
        <w:left w:val="none" w:sz="0" w:space="0" w:color="auto"/>
        <w:bottom w:val="none" w:sz="0" w:space="0" w:color="auto"/>
        <w:right w:val="none" w:sz="0" w:space="0" w:color="auto"/>
      </w:divBdr>
    </w:div>
    <w:div w:id="702098359">
      <w:bodyDiv w:val="1"/>
      <w:marLeft w:val="0"/>
      <w:marRight w:val="0"/>
      <w:marTop w:val="0"/>
      <w:marBottom w:val="0"/>
      <w:divBdr>
        <w:top w:val="none" w:sz="0" w:space="0" w:color="auto"/>
        <w:left w:val="none" w:sz="0" w:space="0" w:color="auto"/>
        <w:bottom w:val="none" w:sz="0" w:space="0" w:color="auto"/>
        <w:right w:val="none" w:sz="0" w:space="0" w:color="auto"/>
      </w:divBdr>
    </w:div>
    <w:div w:id="837038005">
      <w:bodyDiv w:val="1"/>
      <w:marLeft w:val="0"/>
      <w:marRight w:val="0"/>
      <w:marTop w:val="0"/>
      <w:marBottom w:val="0"/>
      <w:divBdr>
        <w:top w:val="none" w:sz="0" w:space="0" w:color="auto"/>
        <w:left w:val="none" w:sz="0" w:space="0" w:color="auto"/>
        <w:bottom w:val="none" w:sz="0" w:space="0" w:color="auto"/>
        <w:right w:val="none" w:sz="0" w:space="0" w:color="auto"/>
      </w:divBdr>
    </w:div>
    <w:div w:id="875434688">
      <w:bodyDiv w:val="1"/>
      <w:marLeft w:val="0"/>
      <w:marRight w:val="0"/>
      <w:marTop w:val="0"/>
      <w:marBottom w:val="0"/>
      <w:divBdr>
        <w:top w:val="none" w:sz="0" w:space="0" w:color="auto"/>
        <w:left w:val="none" w:sz="0" w:space="0" w:color="auto"/>
        <w:bottom w:val="none" w:sz="0" w:space="0" w:color="auto"/>
        <w:right w:val="none" w:sz="0" w:space="0" w:color="auto"/>
      </w:divBdr>
    </w:div>
    <w:div w:id="1044015107">
      <w:bodyDiv w:val="1"/>
      <w:marLeft w:val="0"/>
      <w:marRight w:val="0"/>
      <w:marTop w:val="0"/>
      <w:marBottom w:val="0"/>
      <w:divBdr>
        <w:top w:val="none" w:sz="0" w:space="0" w:color="auto"/>
        <w:left w:val="none" w:sz="0" w:space="0" w:color="auto"/>
        <w:bottom w:val="none" w:sz="0" w:space="0" w:color="auto"/>
        <w:right w:val="none" w:sz="0" w:space="0" w:color="auto"/>
      </w:divBdr>
    </w:div>
    <w:div w:id="1318026891">
      <w:bodyDiv w:val="1"/>
      <w:marLeft w:val="0"/>
      <w:marRight w:val="0"/>
      <w:marTop w:val="0"/>
      <w:marBottom w:val="0"/>
      <w:divBdr>
        <w:top w:val="none" w:sz="0" w:space="0" w:color="auto"/>
        <w:left w:val="none" w:sz="0" w:space="0" w:color="auto"/>
        <w:bottom w:val="none" w:sz="0" w:space="0" w:color="auto"/>
        <w:right w:val="none" w:sz="0" w:space="0" w:color="auto"/>
      </w:divBdr>
    </w:div>
    <w:div w:id="1725055987">
      <w:bodyDiv w:val="1"/>
      <w:marLeft w:val="0"/>
      <w:marRight w:val="0"/>
      <w:marTop w:val="0"/>
      <w:marBottom w:val="0"/>
      <w:divBdr>
        <w:top w:val="none" w:sz="0" w:space="0" w:color="auto"/>
        <w:left w:val="none" w:sz="0" w:space="0" w:color="auto"/>
        <w:bottom w:val="none" w:sz="0" w:space="0" w:color="auto"/>
        <w:right w:val="none" w:sz="0" w:space="0" w:color="auto"/>
      </w:divBdr>
    </w:div>
    <w:div w:id="1864321928">
      <w:bodyDiv w:val="1"/>
      <w:marLeft w:val="0"/>
      <w:marRight w:val="0"/>
      <w:marTop w:val="0"/>
      <w:marBottom w:val="0"/>
      <w:divBdr>
        <w:top w:val="none" w:sz="0" w:space="0" w:color="auto"/>
        <w:left w:val="none" w:sz="0" w:space="0" w:color="auto"/>
        <w:bottom w:val="none" w:sz="0" w:space="0" w:color="auto"/>
        <w:right w:val="none" w:sz="0" w:space="0" w:color="auto"/>
      </w:divBdr>
    </w:div>
    <w:div w:id="21377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ain.un.org/securitycouncil/en/content/un-sc-consolidated-list" TargetMode="External"/><Relationship Id="rId2" Type="http://schemas.openxmlformats.org/officeDocument/2006/relationships/hyperlink" Target="https://unsdg.un.org/sites/default/files/2020-03/Annex-1-UNSDG-Common-Approach-to-Due-Diligence.pdf" TargetMode="External"/><Relationship Id="rId1" Type="http://schemas.openxmlformats.org/officeDocument/2006/relationships/hyperlink" Target="https://unsdg.un.org/sites/default/files/2020-03/Annex-1-UNSDG-Common-Approach-to-Due-Dilig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20C32195C5BB4EA6809AE16C01284F" ma:contentTypeVersion="15" ma:contentTypeDescription="Create a new document." ma:contentTypeScope="" ma:versionID="0cd752097d6f97dc8f6536fe4a908e00">
  <xsd:schema xmlns:xsd="http://www.w3.org/2001/XMLSchema" xmlns:xs="http://www.w3.org/2001/XMLSchema" xmlns:p="http://schemas.microsoft.com/office/2006/metadata/properties" xmlns:ns2="23a29819-272f-427e-8043-4ac47f343e31" xmlns:ns3="9089e427-211e-46d3-8bd4-8da494dc1f01" targetNamespace="http://schemas.microsoft.com/office/2006/metadata/properties" ma:root="true" ma:fieldsID="0d3b26211c5d45f02b21e4585ffd8768" ns2:_="" ns3:_="">
    <xsd:import namespace="23a29819-272f-427e-8043-4ac47f343e31"/>
    <xsd:import namespace="9089e427-211e-46d3-8bd4-8da494dc1f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29819-272f-427e-8043-4ac47f34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01118a-a63c-4fce-bb4e-c310eccc16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9e427-211e-46d3-8bd4-8da494dc1f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9e0b9b-46fa-4e00-a309-18af0ee1d1ac}" ma:internalName="TaxCatchAll" ma:showField="CatchAllData" ma:web="9089e427-211e-46d3-8bd4-8da494dc1f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89e427-211e-46d3-8bd4-8da494dc1f01" xsi:nil="true"/>
    <lcf76f155ced4ddcb4097134ff3c332f xmlns="23a29819-272f-427e-8043-4ac47f343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19C9CA-A582-49A9-BEAC-01F3DA118794}">
  <ds:schemaRefs>
    <ds:schemaRef ds:uri="http://schemas.microsoft.com/sharepoint/v3/contenttype/forms"/>
  </ds:schemaRefs>
</ds:datastoreItem>
</file>

<file path=customXml/itemProps2.xml><?xml version="1.0" encoding="utf-8"?>
<ds:datastoreItem xmlns:ds="http://schemas.openxmlformats.org/officeDocument/2006/customXml" ds:itemID="{AEF8A985-1008-456D-8059-3FCAAA6643AE}">
  <ds:schemaRefs>
    <ds:schemaRef ds:uri="http://schemas.openxmlformats.org/officeDocument/2006/bibliography"/>
  </ds:schemaRefs>
</ds:datastoreItem>
</file>

<file path=customXml/itemProps3.xml><?xml version="1.0" encoding="utf-8"?>
<ds:datastoreItem xmlns:ds="http://schemas.openxmlformats.org/officeDocument/2006/customXml" ds:itemID="{793F95AC-1CF0-4960-81D0-DDF803FA1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29819-272f-427e-8043-4ac47f343e31"/>
    <ds:schemaRef ds:uri="9089e427-211e-46d3-8bd4-8da494dc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FFCE2-95C6-47BC-B737-949F7EB8D8F7}">
  <ds:schemaRefs>
    <ds:schemaRef ds:uri="http://schemas.microsoft.com/office/2006/metadata/properties"/>
    <ds:schemaRef ds:uri="http://schemas.microsoft.com/office/infopath/2007/PartnerControls"/>
    <ds:schemaRef ds:uri="9089e427-211e-46d3-8bd4-8da494dc1f01"/>
    <ds:schemaRef ds:uri="23a29819-272f-427e-8043-4ac47f343e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5464</Words>
  <Characters>31149</Characters>
  <Application>Microsoft Office Word</Application>
  <DocSecurity>0</DocSecurity>
  <Lines>259</Lines>
  <Paragraphs>73</Paragraphs>
  <ScaleCrop>false</ScaleCrop>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Steel Pascual</dc:creator>
  <cp:keywords/>
  <dc:description/>
  <cp:lastModifiedBy>david annandale</cp:lastModifiedBy>
  <cp:revision>2</cp:revision>
  <dcterms:created xsi:type="dcterms:W3CDTF">2024-11-19T14:22:00Z</dcterms:created>
  <dcterms:modified xsi:type="dcterms:W3CDTF">2024-11-19T14:22:00Z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0x0101004C20C32195C5BB4EA6809AE16C01284F</vt:lpwstr>
  </property>
  <property fmtid="{D5CDD505-2E9C-101B-9397-08002B2CF9AE}" pid="3" name="MediaServiceImageTags">
    <vt:lpwstr/>
  </property>
</Properties>
</file>