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F9BA1E" w14:textId="77777777" w:rsidR="008F541C" w:rsidRPr="00C505DF" w:rsidRDefault="008F541C" w:rsidP="008F541C">
      <w:pPr>
        <w:jc w:val="center"/>
        <w:rPr>
          <w:b/>
          <w:bCs/>
          <w:sz w:val="28"/>
          <w:szCs w:val="28"/>
        </w:rPr>
      </w:pPr>
      <w:r w:rsidRPr="00C505DF">
        <w:rPr>
          <w:b/>
          <w:bCs/>
          <w:sz w:val="28"/>
          <w:szCs w:val="28"/>
        </w:rPr>
        <w:t>Global Fund for Coral Reefs (GFCR)</w:t>
      </w:r>
    </w:p>
    <w:p w14:paraId="5765C19A" w14:textId="6912F44E" w:rsidR="008F541C" w:rsidRPr="00C505DF" w:rsidRDefault="008F541C" w:rsidP="008F541C">
      <w:pPr>
        <w:jc w:val="center"/>
        <w:rPr>
          <w:sz w:val="40"/>
          <w:szCs w:val="40"/>
        </w:rPr>
      </w:pPr>
      <w:r>
        <w:rPr>
          <w:sz w:val="40"/>
          <w:szCs w:val="40"/>
        </w:rPr>
        <w:t>Indigenous People</w:t>
      </w:r>
      <w:r w:rsidRPr="00C505DF">
        <w:rPr>
          <w:sz w:val="40"/>
          <w:szCs w:val="40"/>
        </w:rPr>
        <w:t xml:space="preserve"> </w:t>
      </w:r>
      <w:r w:rsidR="008E502F">
        <w:rPr>
          <w:sz w:val="40"/>
          <w:szCs w:val="40"/>
        </w:rPr>
        <w:t xml:space="preserve">and Local Communities </w:t>
      </w:r>
      <w:r w:rsidRPr="00C505DF">
        <w:rPr>
          <w:sz w:val="40"/>
          <w:szCs w:val="40"/>
        </w:rPr>
        <w:t>Policy</w:t>
      </w:r>
    </w:p>
    <w:p w14:paraId="75C10D54" w14:textId="17C2B441" w:rsidR="008F541C" w:rsidRPr="00C505DF" w:rsidRDefault="008F541C" w:rsidP="008F541C">
      <w:pPr>
        <w:jc w:val="center"/>
      </w:pPr>
      <w:r w:rsidRPr="00C505DF">
        <w:t xml:space="preserve">(Draft – </w:t>
      </w:r>
      <w:r w:rsidR="00C842E8">
        <w:t>October 16,</w:t>
      </w:r>
      <w:r w:rsidRPr="00C505DF">
        <w:t xml:space="preserve"> 2024)</w:t>
      </w:r>
    </w:p>
    <w:sdt>
      <w:sdtPr>
        <w:rPr>
          <w:rFonts w:asciiTheme="minorHAnsi" w:eastAsiaTheme="minorEastAsia" w:hAnsiTheme="minorHAnsi" w:cstheme="minorBidi"/>
          <w:b w:val="0"/>
          <w:bCs w:val="0"/>
          <w:color w:val="auto"/>
          <w:kern w:val="2"/>
          <w:sz w:val="22"/>
          <w:szCs w:val="22"/>
          <w:lang w:val="en-GB"/>
          <w14:ligatures w14:val="standardContextual"/>
        </w:rPr>
        <w:id w:val="-792440877"/>
        <w:docPartObj>
          <w:docPartGallery w:val="Table of Contents"/>
          <w:docPartUnique/>
        </w:docPartObj>
      </w:sdtPr>
      <w:sdtEndPr>
        <w:rPr>
          <w:noProof/>
        </w:rPr>
      </w:sdtEndPr>
      <w:sdtContent>
        <w:p w14:paraId="46E4EB3B" w14:textId="77777777" w:rsidR="00322AE3" w:rsidRDefault="00322AE3" w:rsidP="00322AE3">
          <w:pPr>
            <w:pStyle w:val="TOCHeading"/>
            <w:jc w:val="center"/>
          </w:pPr>
          <w:r>
            <w:t>Table of Contents</w:t>
          </w:r>
        </w:p>
        <w:p w14:paraId="1E1DD98D" w14:textId="481720BB" w:rsidR="008E502F" w:rsidRDefault="00322AE3">
          <w:pPr>
            <w:pStyle w:val="TOC1"/>
            <w:tabs>
              <w:tab w:val="right" w:leader="dot" w:pos="9016"/>
            </w:tabs>
            <w:rPr>
              <w:rFonts w:eastAsiaTheme="minorEastAsia"/>
              <w:b w:val="0"/>
              <w:bCs w:val="0"/>
              <w:caps w:val="0"/>
              <w:noProof/>
              <w:sz w:val="24"/>
              <w:szCs w:val="24"/>
              <w:lang w:eastAsia="en-GB"/>
            </w:rPr>
          </w:pPr>
          <w:r>
            <w:rPr>
              <w:b w:val="0"/>
              <w:bCs w:val="0"/>
            </w:rPr>
            <w:fldChar w:fldCharType="begin"/>
          </w:r>
          <w:r>
            <w:instrText xml:space="preserve"> TOC \o "1-3" \h \z \u </w:instrText>
          </w:r>
          <w:r>
            <w:rPr>
              <w:b w:val="0"/>
              <w:bCs w:val="0"/>
            </w:rPr>
            <w:fldChar w:fldCharType="separate"/>
          </w:r>
          <w:hyperlink w:anchor="_Toc179971754" w:history="1">
            <w:r w:rsidR="008E502F" w:rsidRPr="004764ED">
              <w:rPr>
                <w:rStyle w:val="Hyperlink"/>
                <w:noProof/>
              </w:rPr>
              <w:t>1. Introduction</w:t>
            </w:r>
            <w:r w:rsidR="008E502F">
              <w:rPr>
                <w:noProof/>
                <w:webHidden/>
              </w:rPr>
              <w:tab/>
            </w:r>
            <w:r w:rsidR="008E502F">
              <w:rPr>
                <w:noProof/>
                <w:webHidden/>
              </w:rPr>
              <w:fldChar w:fldCharType="begin"/>
            </w:r>
            <w:r w:rsidR="008E502F">
              <w:rPr>
                <w:noProof/>
                <w:webHidden/>
              </w:rPr>
              <w:instrText xml:space="preserve"> PAGEREF _Toc179971754 \h </w:instrText>
            </w:r>
            <w:r w:rsidR="008E502F">
              <w:rPr>
                <w:noProof/>
                <w:webHidden/>
              </w:rPr>
            </w:r>
            <w:r w:rsidR="008E502F">
              <w:rPr>
                <w:noProof/>
                <w:webHidden/>
              </w:rPr>
              <w:fldChar w:fldCharType="separate"/>
            </w:r>
            <w:r w:rsidR="008E502F">
              <w:rPr>
                <w:noProof/>
                <w:webHidden/>
              </w:rPr>
              <w:t>1</w:t>
            </w:r>
            <w:r w:rsidR="008E502F">
              <w:rPr>
                <w:noProof/>
                <w:webHidden/>
              </w:rPr>
              <w:fldChar w:fldCharType="end"/>
            </w:r>
          </w:hyperlink>
        </w:p>
        <w:p w14:paraId="7A2FA713" w14:textId="61201C80" w:rsidR="008E502F" w:rsidRDefault="008E502F">
          <w:pPr>
            <w:pStyle w:val="TOC1"/>
            <w:tabs>
              <w:tab w:val="right" w:leader="dot" w:pos="9016"/>
            </w:tabs>
            <w:rPr>
              <w:rFonts w:eastAsiaTheme="minorEastAsia"/>
              <w:b w:val="0"/>
              <w:bCs w:val="0"/>
              <w:caps w:val="0"/>
              <w:noProof/>
              <w:sz w:val="24"/>
              <w:szCs w:val="24"/>
              <w:lang w:eastAsia="en-GB"/>
            </w:rPr>
          </w:pPr>
          <w:hyperlink w:anchor="_Toc179971755" w:history="1">
            <w:r w:rsidRPr="004764ED">
              <w:rPr>
                <w:rStyle w:val="Hyperlink"/>
                <w:noProof/>
              </w:rPr>
              <w:t>2. Purpose and Scope</w:t>
            </w:r>
            <w:r>
              <w:rPr>
                <w:noProof/>
                <w:webHidden/>
              </w:rPr>
              <w:tab/>
            </w:r>
            <w:r>
              <w:rPr>
                <w:noProof/>
                <w:webHidden/>
              </w:rPr>
              <w:fldChar w:fldCharType="begin"/>
            </w:r>
            <w:r>
              <w:rPr>
                <w:noProof/>
                <w:webHidden/>
              </w:rPr>
              <w:instrText xml:space="preserve"> PAGEREF _Toc179971755 \h </w:instrText>
            </w:r>
            <w:r>
              <w:rPr>
                <w:noProof/>
                <w:webHidden/>
              </w:rPr>
            </w:r>
            <w:r>
              <w:rPr>
                <w:noProof/>
                <w:webHidden/>
              </w:rPr>
              <w:fldChar w:fldCharType="separate"/>
            </w:r>
            <w:r>
              <w:rPr>
                <w:noProof/>
                <w:webHidden/>
              </w:rPr>
              <w:t>2</w:t>
            </w:r>
            <w:r>
              <w:rPr>
                <w:noProof/>
                <w:webHidden/>
              </w:rPr>
              <w:fldChar w:fldCharType="end"/>
            </w:r>
          </w:hyperlink>
        </w:p>
        <w:p w14:paraId="11296E3B" w14:textId="72A79EFF" w:rsidR="008E502F" w:rsidRDefault="008E502F">
          <w:pPr>
            <w:pStyle w:val="TOC2"/>
            <w:tabs>
              <w:tab w:val="right" w:leader="dot" w:pos="9016"/>
            </w:tabs>
            <w:rPr>
              <w:rFonts w:eastAsiaTheme="minorEastAsia"/>
              <w:smallCaps w:val="0"/>
              <w:noProof/>
              <w:sz w:val="24"/>
              <w:szCs w:val="24"/>
              <w:lang w:eastAsia="en-GB"/>
            </w:rPr>
          </w:pPr>
          <w:hyperlink w:anchor="_Toc179971756" w:history="1">
            <w:r w:rsidRPr="004764ED">
              <w:rPr>
                <w:rStyle w:val="Hyperlink"/>
                <w:noProof/>
              </w:rPr>
              <w:t>Who are indigenous peoples?</w:t>
            </w:r>
            <w:r>
              <w:rPr>
                <w:noProof/>
                <w:webHidden/>
              </w:rPr>
              <w:tab/>
            </w:r>
            <w:r>
              <w:rPr>
                <w:noProof/>
                <w:webHidden/>
              </w:rPr>
              <w:fldChar w:fldCharType="begin"/>
            </w:r>
            <w:r>
              <w:rPr>
                <w:noProof/>
                <w:webHidden/>
              </w:rPr>
              <w:instrText xml:space="preserve"> PAGEREF _Toc179971756 \h </w:instrText>
            </w:r>
            <w:r>
              <w:rPr>
                <w:noProof/>
                <w:webHidden/>
              </w:rPr>
            </w:r>
            <w:r>
              <w:rPr>
                <w:noProof/>
                <w:webHidden/>
              </w:rPr>
              <w:fldChar w:fldCharType="separate"/>
            </w:r>
            <w:r>
              <w:rPr>
                <w:noProof/>
                <w:webHidden/>
              </w:rPr>
              <w:t>2</w:t>
            </w:r>
            <w:r>
              <w:rPr>
                <w:noProof/>
                <w:webHidden/>
              </w:rPr>
              <w:fldChar w:fldCharType="end"/>
            </w:r>
          </w:hyperlink>
        </w:p>
        <w:p w14:paraId="7D767751" w14:textId="22B641B1" w:rsidR="008E502F" w:rsidRDefault="008E502F">
          <w:pPr>
            <w:pStyle w:val="TOC2"/>
            <w:tabs>
              <w:tab w:val="right" w:leader="dot" w:pos="9016"/>
            </w:tabs>
            <w:rPr>
              <w:rFonts w:eastAsiaTheme="minorEastAsia"/>
              <w:smallCaps w:val="0"/>
              <w:noProof/>
              <w:sz w:val="24"/>
              <w:szCs w:val="24"/>
              <w:lang w:eastAsia="en-GB"/>
            </w:rPr>
          </w:pPr>
          <w:hyperlink w:anchor="_Toc179971757" w:history="1">
            <w:r w:rsidRPr="004764ED">
              <w:rPr>
                <w:rStyle w:val="Hyperlink"/>
                <w:noProof/>
              </w:rPr>
              <w:t>Why engage with indigenous peoples?</w:t>
            </w:r>
            <w:r>
              <w:rPr>
                <w:noProof/>
                <w:webHidden/>
              </w:rPr>
              <w:tab/>
            </w:r>
            <w:r>
              <w:rPr>
                <w:noProof/>
                <w:webHidden/>
              </w:rPr>
              <w:fldChar w:fldCharType="begin"/>
            </w:r>
            <w:r>
              <w:rPr>
                <w:noProof/>
                <w:webHidden/>
              </w:rPr>
              <w:instrText xml:space="preserve"> PAGEREF _Toc179971757 \h </w:instrText>
            </w:r>
            <w:r>
              <w:rPr>
                <w:noProof/>
                <w:webHidden/>
              </w:rPr>
            </w:r>
            <w:r>
              <w:rPr>
                <w:noProof/>
                <w:webHidden/>
              </w:rPr>
              <w:fldChar w:fldCharType="separate"/>
            </w:r>
            <w:r>
              <w:rPr>
                <w:noProof/>
                <w:webHidden/>
              </w:rPr>
              <w:t>2</w:t>
            </w:r>
            <w:r>
              <w:rPr>
                <w:noProof/>
                <w:webHidden/>
              </w:rPr>
              <w:fldChar w:fldCharType="end"/>
            </w:r>
          </w:hyperlink>
        </w:p>
        <w:p w14:paraId="44CC4CDF" w14:textId="23417E29" w:rsidR="008E502F" w:rsidRDefault="008E502F">
          <w:pPr>
            <w:pStyle w:val="TOC2"/>
            <w:tabs>
              <w:tab w:val="right" w:leader="dot" w:pos="9016"/>
            </w:tabs>
            <w:rPr>
              <w:rFonts w:eastAsiaTheme="minorEastAsia"/>
              <w:smallCaps w:val="0"/>
              <w:noProof/>
              <w:sz w:val="24"/>
              <w:szCs w:val="24"/>
              <w:lang w:eastAsia="en-GB"/>
            </w:rPr>
          </w:pPr>
          <w:hyperlink w:anchor="_Toc179971758" w:history="1">
            <w:r w:rsidRPr="004764ED">
              <w:rPr>
                <w:rStyle w:val="Hyperlink"/>
                <w:noProof/>
              </w:rPr>
              <w:t>Rights and interests of indigenous peoples</w:t>
            </w:r>
            <w:r>
              <w:rPr>
                <w:noProof/>
                <w:webHidden/>
              </w:rPr>
              <w:tab/>
            </w:r>
            <w:r>
              <w:rPr>
                <w:noProof/>
                <w:webHidden/>
              </w:rPr>
              <w:fldChar w:fldCharType="begin"/>
            </w:r>
            <w:r>
              <w:rPr>
                <w:noProof/>
                <w:webHidden/>
              </w:rPr>
              <w:instrText xml:space="preserve"> PAGEREF _Toc179971758 \h </w:instrText>
            </w:r>
            <w:r>
              <w:rPr>
                <w:noProof/>
                <w:webHidden/>
              </w:rPr>
            </w:r>
            <w:r>
              <w:rPr>
                <w:noProof/>
                <w:webHidden/>
              </w:rPr>
              <w:fldChar w:fldCharType="separate"/>
            </w:r>
            <w:r>
              <w:rPr>
                <w:noProof/>
                <w:webHidden/>
              </w:rPr>
              <w:t>3</w:t>
            </w:r>
            <w:r>
              <w:rPr>
                <w:noProof/>
                <w:webHidden/>
              </w:rPr>
              <w:fldChar w:fldCharType="end"/>
            </w:r>
          </w:hyperlink>
        </w:p>
        <w:p w14:paraId="6CADD6F5" w14:textId="234B1794" w:rsidR="008E502F" w:rsidRDefault="008E502F">
          <w:pPr>
            <w:pStyle w:val="TOC2"/>
            <w:tabs>
              <w:tab w:val="right" w:leader="dot" w:pos="9016"/>
            </w:tabs>
            <w:rPr>
              <w:rFonts w:eastAsiaTheme="minorEastAsia"/>
              <w:smallCaps w:val="0"/>
              <w:noProof/>
              <w:sz w:val="24"/>
              <w:szCs w:val="24"/>
              <w:lang w:eastAsia="en-GB"/>
            </w:rPr>
          </w:pPr>
          <w:hyperlink w:anchor="_Toc179971759" w:history="1">
            <w:r w:rsidRPr="004764ED">
              <w:rPr>
                <w:rStyle w:val="Hyperlink"/>
                <w:noProof/>
              </w:rPr>
              <w:t>Applicability of the Policy</w:t>
            </w:r>
            <w:r>
              <w:rPr>
                <w:noProof/>
                <w:webHidden/>
              </w:rPr>
              <w:tab/>
            </w:r>
            <w:r>
              <w:rPr>
                <w:noProof/>
                <w:webHidden/>
              </w:rPr>
              <w:fldChar w:fldCharType="begin"/>
            </w:r>
            <w:r>
              <w:rPr>
                <w:noProof/>
                <w:webHidden/>
              </w:rPr>
              <w:instrText xml:space="preserve"> PAGEREF _Toc179971759 \h </w:instrText>
            </w:r>
            <w:r>
              <w:rPr>
                <w:noProof/>
                <w:webHidden/>
              </w:rPr>
            </w:r>
            <w:r>
              <w:rPr>
                <w:noProof/>
                <w:webHidden/>
              </w:rPr>
              <w:fldChar w:fldCharType="separate"/>
            </w:r>
            <w:r>
              <w:rPr>
                <w:noProof/>
                <w:webHidden/>
              </w:rPr>
              <w:t>4</w:t>
            </w:r>
            <w:r>
              <w:rPr>
                <w:noProof/>
                <w:webHidden/>
              </w:rPr>
              <w:fldChar w:fldCharType="end"/>
            </w:r>
          </w:hyperlink>
        </w:p>
        <w:p w14:paraId="641C6DF0" w14:textId="6335CE0F" w:rsidR="008E502F" w:rsidRDefault="008E502F">
          <w:pPr>
            <w:pStyle w:val="TOC1"/>
            <w:tabs>
              <w:tab w:val="right" w:leader="dot" w:pos="9016"/>
            </w:tabs>
            <w:rPr>
              <w:rFonts w:eastAsiaTheme="minorEastAsia"/>
              <w:b w:val="0"/>
              <w:bCs w:val="0"/>
              <w:caps w:val="0"/>
              <w:noProof/>
              <w:sz w:val="24"/>
              <w:szCs w:val="24"/>
              <w:lang w:eastAsia="en-GB"/>
            </w:rPr>
          </w:pPr>
          <w:hyperlink w:anchor="_Toc179971760" w:history="1">
            <w:r w:rsidRPr="004764ED">
              <w:rPr>
                <w:rStyle w:val="Hyperlink"/>
                <w:noProof/>
              </w:rPr>
              <w:t>3. Principles</w:t>
            </w:r>
            <w:r>
              <w:rPr>
                <w:noProof/>
                <w:webHidden/>
              </w:rPr>
              <w:tab/>
            </w:r>
            <w:r>
              <w:rPr>
                <w:noProof/>
                <w:webHidden/>
              </w:rPr>
              <w:fldChar w:fldCharType="begin"/>
            </w:r>
            <w:r>
              <w:rPr>
                <w:noProof/>
                <w:webHidden/>
              </w:rPr>
              <w:instrText xml:space="preserve"> PAGEREF _Toc179971760 \h </w:instrText>
            </w:r>
            <w:r>
              <w:rPr>
                <w:noProof/>
                <w:webHidden/>
              </w:rPr>
            </w:r>
            <w:r>
              <w:rPr>
                <w:noProof/>
                <w:webHidden/>
              </w:rPr>
              <w:fldChar w:fldCharType="separate"/>
            </w:r>
            <w:r>
              <w:rPr>
                <w:noProof/>
                <w:webHidden/>
              </w:rPr>
              <w:t>4</w:t>
            </w:r>
            <w:r>
              <w:rPr>
                <w:noProof/>
                <w:webHidden/>
              </w:rPr>
              <w:fldChar w:fldCharType="end"/>
            </w:r>
          </w:hyperlink>
        </w:p>
        <w:p w14:paraId="31B2709F" w14:textId="06697D54" w:rsidR="008E502F" w:rsidRDefault="008E502F">
          <w:pPr>
            <w:pStyle w:val="TOC1"/>
            <w:tabs>
              <w:tab w:val="right" w:leader="dot" w:pos="9016"/>
            </w:tabs>
            <w:rPr>
              <w:rFonts w:eastAsiaTheme="minorEastAsia"/>
              <w:b w:val="0"/>
              <w:bCs w:val="0"/>
              <w:caps w:val="0"/>
              <w:noProof/>
              <w:sz w:val="24"/>
              <w:szCs w:val="24"/>
              <w:lang w:eastAsia="en-GB"/>
            </w:rPr>
          </w:pPr>
          <w:hyperlink w:anchor="_Toc179971761" w:history="1">
            <w:r w:rsidRPr="004764ED">
              <w:rPr>
                <w:rStyle w:val="Hyperlink"/>
                <w:noProof/>
              </w:rPr>
              <w:t>4. Requirements</w:t>
            </w:r>
            <w:r>
              <w:rPr>
                <w:noProof/>
                <w:webHidden/>
              </w:rPr>
              <w:tab/>
            </w:r>
            <w:r>
              <w:rPr>
                <w:noProof/>
                <w:webHidden/>
              </w:rPr>
              <w:fldChar w:fldCharType="begin"/>
            </w:r>
            <w:r>
              <w:rPr>
                <w:noProof/>
                <w:webHidden/>
              </w:rPr>
              <w:instrText xml:space="preserve"> PAGEREF _Toc179971761 \h </w:instrText>
            </w:r>
            <w:r>
              <w:rPr>
                <w:noProof/>
                <w:webHidden/>
              </w:rPr>
            </w:r>
            <w:r>
              <w:rPr>
                <w:noProof/>
                <w:webHidden/>
              </w:rPr>
              <w:fldChar w:fldCharType="separate"/>
            </w:r>
            <w:r>
              <w:rPr>
                <w:noProof/>
                <w:webHidden/>
              </w:rPr>
              <w:t>5</w:t>
            </w:r>
            <w:r>
              <w:rPr>
                <w:noProof/>
                <w:webHidden/>
              </w:rPr>
              <w:fldChar w:fldCharType="end"/>
            </w:r>
          </w:hyperlink>
        </w:p>
        <w:p w14:paraId="259754D6" w14:textId="3CA343DE" w:rsidR="008E502F" w:rsidRDefault="008E502F">
          <w:pPr>
            <w:pStyle w:val="TOC2"/>
            <w:tabs>
              <w:tab w:val="right" w:leader="dot" w:pos="9016"/>
            </w:tabs>
            <w:rPr>
              <w:rFonts w:eastAsiaTheme="minorEastAsia"/>
              <w:smallCaps w:val="0"/>
              <w:noProof/>
              <w:sz w:val="24"/>
              <w:szCs w:val="24"/>
              <w:lang w:eastAsia="en-GB"/>
            </w:rPr>
          </w:pPr>
          <w:hyperlink w:anchor="_Toc179971762" w:history="1">
            <w:r w:rsidRPr="004764ED">
              <w:rPr>
                <w:rStyle w:val="Hyperlink"/>
                <w:noProof/>
              </w:rPr>
              <w:t>Step 1: Identification of indigenous peoples</w:t>
            </w:r>
            <w:r>
              <w:rPr>
                <w:noProof/>
                <w:webHidden/>
              </w:rPr>
              <w:tab/>
            </w:r>
            <w:r>
              <w:rPr>
                <w:noProof/>
                <w:webHidden/>
              </w:rPr>
              <w:fldChar w:fldCharType="begin"/>
            </w:r>
            <w:r>
              <w:rPr>
                <w:noProof/>
                <w:webHidden/>
              </w:rPr>
              <w:instrText xml:space="preserve"> PAGEREF _Toc179971762 \h </w:instrText>
            </w:r>
            <w:r>
              <w:rPr>
                <w:noProof/>
                <w:webHidden/>
              </w:rPr>
            </w:r>
            <w:r>
              <w:rPr>
                <w:noProof/>
                <w:webHidden/>
              </w:rPr>
              <w:fldChar w:fldCharType="separate"/>
            </w:r>
            <w:r>
              <w:rPr>
                <w:noProof/>
                <w:webHidden/>
              </w:rPr>
              <w:t>6</w:t>
            </w:r>
            <w:r>
              <w:rPr>
                <w:noProof/>
                <w:webHidden/>
              </w:rPr>
              <w:fldChar w:fldCharType="end"/>
            </w:r>
          </w:hyperlink>
        </w:p>
        <w:p w14:paraId="399E5DC0" w14:textId="37363DC8" w:rsidR="008E502F" w:rsidRDefault="008E502F">
          <w:pPr>
            <w:pStyle w:val="TOC2"/>
            <w:tabs>
              <w:tab w:val="right" w:leader="dot" w:pos="9016"/>
            </w:tabs>
            <w:rPr>
              <w:rFonts w:eastAsiaTheme="minorEastAsia"/>
              <w:smallCaps w:val="0"/>
              <w:noProof/>
              <w:sz w:val="24"/>
              <w:szCs w:val="24"/>
              <w:lang w:eastAsia="en-GB"/>
            </w:rPr>
          </w:pPr>
          <w:hyperlink w:anchor="_Toc179971763" w:history="1">
            <w:r w:rsidRPr="004764ED">
              <w:rPr>
                <w:rStyle w:val="Hyperlink"/>
                <w:noProof/>
              </w:rPr>
              <w:t>Step 2: Meaningful Engagement</w:t>
            </w:r>
            <w:r>
              <w:rPr>
                <w:noProof/>
                <w:webHidden/>
              </w:rPr>
              <w:tab/>
            </w:r>
            <w:r>
              <w:rPr>
                <w:noProof/>
                <w:webHidden/>
              </w:rPr>
              <w:fldChar w:fldCharType="begin"/>
            </w:r>
            <w:r>
              <w:rPr>
                <w:noProof/>
                <w:webHidden/>
              </w:rPr>
              <w:instrText xml:space="preserve"> PAGEREF _Toc179971763 \h </w:instrText>
            </w:r>
            <w:r>
              <w:rPr>
                <w:noProof/>
                <w:webHidden/>
              </w:rPr>
            </w:r>
            <w:r>
              <w:rPr>
                <w:noProof/>
                <w:webHidden/>
              </w:rPr>
              <w:fldChar w:fldCharType="separate"/>
            </w:r>
            <w:r>
              <w:rPr>
                <w:noProof/>
                <w:webHidden/>
              </w:rPr>
              <w:t>7</w:t>
            </w:r>
            <w:r>
              <w:rPr>
                <w:noProof/>
                <w:webHidden/>
              </w:rPr>
              <w:fldChar w:fldCharType="end"/>
            </w:r>
          </w:hyperlink>
        </w:p>
        <w:p w14:paraId="0B7F5795" w14:textId="6B691123" w:rsidR="008E502F" w:rsidRDefault="008E502F">
          <w:pPr>
            <w:pStyle w:val="TOC2"/>
            <w:tabs>
              <w:tab w:val="right" w:leader="dot" w:pos="9016"/>
            </w:tabs>
            <w:rPr>
              <w:rFonts w:eastAsiaTheme="minorEastAsia"/>
              <w:smallCaps w:val="0"/>
              <w:noProof/>
              <w:sz w:val="24"/>
              <w:szCs w:val="24"/>
              <w:lang w:eastAsia="en-GB"/>
            </w:rPr>
          </w:pPr>
          <w:hyperlink w:anchor="_Toc179971764" w:history="1">
            <w:r w:rsidRPr="004764ED">
              <w:rPr>
                <w:rStyle w:val="Hyperlink"/>
                <w:noProof/>
              </w:rPr>
              <w:t>Step 3: Free, Prior, and Informed Consent (FPIC)</w:t>
            </w:r>
            <w:r>
              <w:rPr>
                <w:noProof/>
                <w:webHidden/>
              </w:rPr>
              <w:tab/>
            </w:r>
            <w:r>
              <w:rPr>
                <w:noProof/>
                <w:webHidden/>
              </w:rPr>
              <w:fldChar w:fldCharType="begin"/>
            </w:r>
            <w:r>
              <w:rPr>
                <w:noProof/>
                <w:webHidden/>
              </w:rPr>
              <w:instrText xml:space="preserve"> PAGEREF _Toc179971764 \h </w:instrText>
            </w:r>
            <w:r>
              <w:rPr>
                <w:noProof/>
                <w:webHidden/>
              </w:rPr>
            </w:r>
            <w:r>
              <w:rPr>
                <w:noProof/>
                <w:webHidden/>
              </w:rPr>
              <w:fldChar w:fldCharType="separate"/>
            </w:r>
            <w:r>
              <w:rPr>
                <w:noProof/>
                <w:webHidden/>
              </w:rPr>
              <w:t>8</w:t>
            </w:r>
            <w:r>
              <w:rPr>
                <w:noProof/>
                <w:webHidden/>
              </w:rPr>
              <w:fldChar w:fldCharType="end"/>
            </w:r>
          </w:hyperlink>
        </w:p>
        <w:p w14:paraId="2F4FB7E3" w14:textId="10897726" w:rsidR="008E502F" w:rsidRDefault="008E502F">
          <w:pPr>
            <w:pStyle w:val="TOC2"/>
            <w:tabs>
              <w:tab w:val="right" w:leader="dot" w:pos="9016"/>
            </w:tabs>
            <w:rPr>
              <w:rFonts w:eastAsiaTheme="minorEastAsia"/>
              <w:smallCaps w:val="0"/>
              <w:noProof/>
              <w:sz w:val="24"/>
              <w:szCs w:val="24"/>
              <w:lang w:eastAsia="en-GB"/>
            </w:rPr>
          </w:pPr>
          <w:hyperlink w:anchor="_Toc179971765" w:history="1">
            <w:r w:rsidRPr="004764ED">
              <w:rPr>
                <w:rStyle w:val="Hyperlink"/>
                <w:noProof/>
              </w:rPr>
              <w:t>Step 4: Indigenous Peoples Plans and Planning Frameworks</w:t>
            </w:r>
            <w:r>
              <w:rPr>
                <w:noProof/>
                <w:webHidden/>
              </w:rPr>
              <w:tab/>
            </w:r>
            <w:r>
              <w:rPr>
                <w:noProof/>
                <w:webHidden/>
              </w:rPr>
              <w:fldChar w:fldCharType="begin"/>
            </w:r>
            <w:r>
              <w:rPr>
                <w:noProof/>
                <w:webHidden/>
              </w:rPr>
              <w:instrText xml:space="preserve"> PAGEREF _Toc179971765 \h </w:instrText>
            </w:r>
            <w:r>
              <w:rPr>
                <w:noProof/>
                <w:webHidden/>
              </w:rPr>
            </w:r>
            <w:r>
              <w:rPr>
                <w:noProof/>
                <w:webHidden/>
              </w:rPr>
              <w:fldChar w:fldCharType="separate"/>
            </w:r>
            <w:r>
              <w:rPr>
                <w:noProof/>
                <w:webHidden/>
              </w:rPr>
              <w:t>9</w:t>
            </w:r>
            <w:r>
              <w:rPr>
                <w:noProof/>
                <w:webHidden/>
              </w:rPr>
              <w:fldChar w:fldCharType="end"/>
            </w:r>
          </w:hyperlink>
        </w:p>
        <w:p w14:paraId="204E4141" w14:textId="2AC36F2F" w:rsidR="008E502F" w:rsidRDefault="008E502F">
          <w:pPr>
            <w:pStyle w:val="TOC2"/>
            <w:tabs>
              <w:tab w:val="right" w:leader="dot" w:pos="9016"/>
            </w:tabs>
            <w:rPr>
              <w:rFonts w:eastAsiaTheme="minorEastAsia"/>
              <w:smallCaps w:val="0"/>
              <w:noProof/>
              <w:sz w:val="24"/>
              <w:szCs w:val="24"/>
              <w:lang w:eastAsia="en-GB"/>
            </w:rPr>
          </w:pPr>
          <w:hyperlink w:anchor="_Toc179971766" w:history="1">
            <w:r w:rsidRPr="004764ED">
              <w:rPr>
                <w:rStyle w:val="Hyperlink"/>
                <w:noProof/>
              </w:rPr>
              <w:t>Step 5: Grievance Redress Mechanism</w:t>
            </w:r>
            <w:r>
              <w:rPr>
                <w:noProof/>
                <w:webHidden/>
              </w:rPr>
              <w:tab/>
            </w:r>
            <w:r>
              <w:rPr>
                <w:noProof/>
                <w:webHidden/>
              </w:rPr>
              <w:fldChar w:fldCharType="begin"/>
            </w:r>
            <w:r>
              <w:rPr>
                <w:noProof/>
                <w:webHidden/>
              </w:rPr>
              <w:instrText xml:space="preserve"> PAGEREF _Toc179971766 \h </w:instrText>
            </w:r>
            <w:r>
              <w:rPr>
                <w:noProof/>
                <w:webHidden/>
              </w:rPr>
            </w:r>
            <w:r>
              <w:rPr>
                <w:noProof/>
                <w:webHidden/>
              </w:rPr>
              <w:fldChar w:fldCharType="separate"/>
            </w:r>
            <w:r>
              <w:rPr>
                <w:noProof/>
                <w:webHidden/>
              </w:rPr>
              <w:t>10</w:t>
            </w:r>
            <w:r>
              <w:rPr>
                <w:noProof/>
                <w:webHidden/>
              </w:rPr>
              <w:fldChar w:fldCharType="end"/>
            </w:r>
          </w:hyperlink>
        </w:p>
        <w:p w14:paraId="752A2085" w14:textId="7BC2B356" w:rsidR="008E502F" w:rsidRDefault="008E502F">
          <w:pPr>
            <w:pStyle w:val="TOC1"/>
            <w:tabs>
              <w:tab w:val="right" w:leader="dot" w:pos="9016"/>
            </w:tabs>
            <w:rPr>
              <w:rFonts w:eastAsiaTheme="minorEastAsia"/>
              <w:b w:val="0"/>
              <w:bCs w:val="0"/>
              <w:caps w:val="0"/>
              <w:noProof/>
              <w:sz w:val="24"/>
              <w:szCs w:val="24"/>
              <w:lang w:eastAsia="en-GB"/>
            </w:rPr>
          </w:pPr>
          <w:hyperlink w:anchor="_Toc179971767" w:history="1">
            <w:r w:rsidRPr="004764ED">
              <w:rPr>
                <w:rStyle w:val="Hyperlink"/>
                <w:noProof/>
              </w:rPr>
              <w:t>5. Specialised Expertise</w:t>
            </w:r>
            <w:r>
              <w:rPr>
                <w:noProof/>
                <w:webHidden/>
              </w:rPr>
              <w:tab/>
            </w:r>
            <w:r>
              <w:rPr>
                <w:noProof/>
                <w:webHidden/>
              </w:rPr>
              <w:fldChar w:fldCharType="begin"/>
            </w:r>
            <w:r>
              <w:rPr>
                <w:noProof/>
                <w:webHidden/>
              </w:rPr>
              <w:instrText xml:space="preserve"> PAGEREF _Toc179971767 \h </w:instrText>
            </w:r>
            <w:r>
              <w:rPr>
                <w:noProof/>
                <w:webHidden/>
              </w:rPr>
            </w:r>
            <w:r>
              <w:rPr>
                <w:noProof/>
                <w:webHidden/>
              </w:rPr>
              <w:fldChar w:fldCharType="separate"/>
            </w:r>
            <w:r>
              <w:rPr>
                <w:noProof/>
                <w:webHidden/>
              </w:rPr>
              <w:t>10</w:t>
            </w:r>
            <w:r>
              <w:rPr>
                <w:noProof/>
                <w:webHidden/>
              </w:rPr>
              <w:fldChar w:fldCharType="end"/>
            </w:r>
          </w:hyperlink>
        </w:p>
        <w:p w14:paraId="6C2E7A36" w14:textId="418D7A29" w:rsidR="008E502F" w:rsidRDefault="008E502F">
          <w:pPr>
            <w:pStyle w:val="TOC1"/>
            <w:tabs>
              <w:tab w:val="right" w:leader="dot" w:pos="9016"/>
            </w:tabs>
            <w:rPr>
              <w:rFonts w:eastAsiaTheme="minorEastAsia"/>
              <w:b w:val="0"/>
              <w:bCs w:val="0"/>
              <w:caps w:val="0"/>
              <w:noProof/>
              <w:sz w:val="24"/>
              <w:szCs w:val="24"/>
              <w:lang w:eastAsia="en-GB"/>
            </w:rPr>
          </w:pPr>
          <w:hyperlink w:anchor="_Toc179971768" w:history="1">
            <w:r w:rsidRPr="004764ED">
              <w:rPr>
                <w:rStyle w:val="Hyperlink"/>
                <w:noProof/>
              </w:rPr>
              <w:t>6. Monitoring and Evaluation</w:t>
            </w:r>
            <w:r>
              <w:rPr>
                <w:noProof/>
                <w:webHidden/>
              </w:rPr>
              <w:tab/>
            </w:r>
            <w:r>
              <w:rPr>
                <w:noProof/>
                <w:webHidden/>
              </w:rPr>
              <w:fldChar w:fldCharType="begin"/>
            </w:r>
            <w:r>
              <w:rPr>
                <w:noProof/>
                <w:webHidden/>
              </w:rPr>
              <w:instrText xml:space="preserve"> PAGEREF _Toc179971768 \h </w:instrText>
            </w:r>
            <w:r>
              <w:rPr>
                <w:noProof/>
                <w:webHidden/>
              </w:rPr>
            </w:r>
            <w:r>
              <w:rPr>
                <w:noProof/>
                <w:webHidden/>
              </w:rPr>
              <w:fldChar w:fldCharType="separate"/>
            </w:r>
            <w:r>
              <w:rPr>
                <w:noProof/>
                <w:webHidden/>
              </w:rPr>
              <w:t>11</w:t>
            </w:r>
            <w:r>
              <w:rPr>
                <w:noProof/>
                <w:webHidden/>
              </w:rPr>
              <w:fldChar w:fldCharType="end"/>
            </w:r>
          </w:hyperlink>
        </w:p>
        <w:p w14:paraId="4E135909" w14:textId="3AFA85DB" w:rsidR="008E502F" w:rsidRDefault="008E502F">
          <w:pPr>
            <w:pStyle w:val="TOC1"/>
            <w:tabs>
              <w:tab w:val="right" w:leader="dot" w:pos="9016"/>
            </w:tabs>
            <w:rPr>
              <w:rFonts w:eastAsiaTheme="minorEastAsia"/>
              <w:b w:val="0"/>
              <w:bCs w:val="0"/>
              <w:caps w:val="0"/>
              <w:noProof/>
              <w:sz w:val="24"/>
              <w:szCs w:val="24"/>
              <w:lang w:eastAsia="en-GB"/>
            </w:rPr>
          </w:pPr>
          <w:hyperlink w:anchor="_Toc179971769" w:history="1">
            <w:r w:rsidRPr="004764ED">
              <w:rPr>
                <w:rStyle w:val="Hyperlink"/>
                <w:noProof/>
              </w:rPr>
              <w:t>7. Adaptive Management</w:t>
            </w:r>
            <w:r>
              <w:rPr>
                <w:noProof/>
                <w:webHidden/>
              </w:rPr>
              <w:tab/>
            </w:r>
            <w:r>
              <w:rPr>
                <w:noProof/>
                <w:webHidden/>
              </w:rPr>
              <w:fldChar w:fldCharType="begin"/>
            </w:r>
            <w:r>
              <w:rPr>
                <w:noProof/>
                <w:webHidden/>
              </w:rPr>
              <w:instrText xml:space="preserve"> PAGEREF _Toc179971769 \h </w:instrText>
            </w:r>
            <w:r>
              <w:rPr>
                <w:noProof/>
                <w:webHidden/>
              </w:rPr>
            </w:r>
            <w:r>
              <w:rPr>
                <w:noProof/>
                <w:webHidden/>
              </w:rPr>
              <w:fldChar w:fldCharType="separate"/>
            </w:r>
            <w:r>
              <w:rPr>
                <w:noProof/>
                <w:webHidden/>
              </w:rPr>
              <w:t>11</w:t>
            </w:r>
            <w:r>
              <w:rPr>
                <w:noProof/>
                <w:webHidden/>
              </w:rPr>
              <w:fldChar w:fldCharType="end"/>
            </w:r>
          </w:hyperlink>
        </w:p>
        <w:p w14:paraId="75B8A81C" w14:textId="574B8C01" w:rsidR="005805B2" w:rsidRDefault="00322AE3" w:rsidP="008F541C">
          <w:pPr>
            <w:rPr>
              <w:noProof/>
            </w:rPr>
          </w:pPr>
          <w:r>
            <w:rPr>
              <w:b/>
              <w:bCs/>
              <w:noProof/>
            </w:rPr>
            <w:fldChar w:fldCharType="end"/>
          </w:r>
        </w:p>
      </w:sdtContent>
    </w:sdt>
    <w:p w14:paraId="0B6ABE6D" w14:textId="77777777" w:rsidR="008F541C" w:rsidRDefault="008F541C" w:rsidP="008F541C">
      <w:pPr>
        <w:pStyle w:val="Heading1"/>
      </w:pPr>
      <w:bookmarkStart w:id="0" w:name="_Toc176452087"/>
      <w:bookmarkStart w:id="1" w:name="_Toc179971754"/>
      <w:r w:rsidRPr="008F541C">
        <w:t>1. Introduction</w:t>
      </w:r>
      <w:bookmarkEnd w:id="0"/>
      <w:bookmarkEnd w:id="1"/>
    </w:p>
    <w:p w14:paraId="39E3E9C8" w14:textId="5691C65B" w:rsidR="00CC012C" w:rsidRDefault="008F541C" w:rsidP="003E7119">
      <w:r w:rsidRPr="00C505DF">
        <w:t xml:space="preserve">The </w:t>
      </w:r>
      <w:r w:rsidRPr="00C505DF">
        <w:rPr>
          <w:b/>
          <w:bCs/>
        </w:rPr>
        <w:t>Global Fund for Coral Reefs (GFCR)</w:t>
      </w:r>
      <w:r w:rsidRPr="00C505DF">
        <w:t xml:space="preserve"> is committed to </w:t>
      </w:r>
      <w:r w:rsidR="003E7119" w:rsidRPr="003E7119">
        <w:t>protecting and restoring coral reef ecosystems while respecting the rights, knowledge, and practices of indigenous peoples.</w:t>
      </w:r>
      <w:r w:rsidR="003E7119">
        <w:t xml:space="preserve"> </w:t>
      </w:r>
      <w:r w:rsidRPr="00C505DF">
        <w:t xml:space="preserve">This </w:t>
      </w:r>
      <w:r>
        <w:rPr>
          <w:b/>
          <w:bCs/>
        </w:rPr>
        <w:t>Indigenous People</w:t>
      </w:r>
      <w:r w:rsidR="007F4344">
        <w:rPr>
          <w:b/>
          <w:bCs/>
        </w:rPr>
        <w:t xml:space="preserve"> and Local Communities</w:t>
      </w:r>
      <w:r>
        <w:rPr>
          <w:b/>
          <w:bCs/>
        </w:rPr>
        <w:t xml:space="preserve"> Policy </w:t>
      </w:r>
      <w:r>
        <w:t xml:space="preserve">establishes </w:t>
      </w:r>
      <w:r w:rsidR="00CC012C" w:rsidRPr="00CC012C">
        <w:t xml:space="preserve">a framework for meaningful engagement with indigenous </w:t>
      </w:r>
      <w:r w:rsidR="000923C7">
        <w:t>peoples</w:t>
      </w:r>
      <w:r w:rsidR="00CC012C" w:rsidRPr="00CC012C">
        <w:t xml:space="preserve"> in </w:t>
      </w:r>
      <w:r w:rsidR="009378DE">
        <w:t xml:space="preserve">GFCR’s </w:t>
      </w:r>
      <w:r w:rsidR="00CC012C" w:rsidRPr="00CC012C">
        <w:t>coral reef conservation efforts</w:t>
      </w:r>
      <w:r w:rsidR="00CC012C">
        <w:t>.</w:t>
      </w:r>
    </w:p>
    <w:p w14:paraId="76AAAF50" w14:textId="5BDB9313" w:rsidR="00832F3B" w:rsidRDefault="003E7119" w:rsidP="00B81942">
      <w:r>
        <w:t>The Policy aims to integrate indigenous perspectives and traditional ecological knowledge into coral reef protection strategies, acknowledging the intricate relationships between indigenous cultures and their environments. It supports the GFCR</w:t>
      </w:r>
      <w:r w:rsidR="00B81942">
        <w:t>’</w:t>
      </w:r>
      <w:r>
        <w:t>s commitment to transforming the livelihoods of coral reef-dependent communities and ensuring their resilience to major shocks.</w:t>
      </w:r>
      <w:r w:rsidR="00B81942">
        <w:t xml:space="preserve"> </w:t>
      </w:r>
    </w:p>
    <w:p w14:paraId="39DF0349" w14:textId="4C5403EC" w:rsidR="003E7119" w:rsidRDefault="003E7119" w:rsidP="003E7119">
      <w:r>
        <w:t>By implementing this Policy, the GFCR seeks to enhance the effectiveness and sustainability of its coral reef conservation initiatives while safeguarding the rights and interests of indigenous peoples who have been stewards of these ecosystems for generations.</w:t>
      </w:r>
      <w:r w:rsidR="007A5869">
        <w:t xml:space="preserve"> </w:t>
      </w:r>
      <w:r w:rsidR="00EE5532" w:rsidRPr="00EE5532">
        <w:t>The Policy ensures GFCR-supported program</w:t>
      </w:r>
      <w:r w:rsidR="00EE5532">
        <w:t>me</w:t>
      </w:r>
      <w:r w:rsidR="00EE5532" w:rsidRPr="00EE5532">
        <w:t xml:space="preserve">s </w:t>
      </w:r>
      <w:r w:rsidR="00EE5532">
        <w:t xml:space="preserve">and projects </w:t>
      </w:r>
      <w:r w:rsidR="00EE5532" w:rsidRPr="00EE5532">
        <w:t xml:space="preserve">create opportunities for </w:t>
      </w:r>
      <w:r w:rsidR="00EE5532">
        <w:t>indigenous peoples</w:t>
      </w:r>
      <w:r w:rsidR="00EE5532" w:rsidRPr="00EE5532">
        <w:t xml:space="preserve"> to participate in and benefit from </w:t>
      </w:r>
      <w:r w:rsidR="009E68D4">
        <w:t>activities</w:t>
      </w:r>
      <w:r w:rsidR="00EE5532" w:rsidRPr="00EE5532">
        <w:t xml:space="preserve"> without compromising their cultural identities and well-being.</w:t>
      </w:r>
    </w:p>
    <w:p w14:paraId="45AD2EB2" w14:textId="30AA1A0D" w:rsidR="00F53763" w:rsidRDefault="00680821" w:rsidP="00F53763">
      <w:r w:rsidRPr="00680821">
        <w:t>This Policy outlines GFCR's expectations for Convening Agents to fully respect the human rights, cultural heritage, and traditional knowledge of indigenous peoples. It details</w:t>
      </w:r>
      <w:r>
        <w:t>:</w:t>
      </w:r>
      <w:r w:rsidRPr="00680821">
        <w:t xml:space="preserve"> </w:t>
      </w:r>
      <w:r w:rsidR="00E837E0">
        <w:t>its</w:t>
      </w:r>
      <w:r w:rsidRPr="00680821">
        <w:t xml:space="preserve"> purpose and </w:t>
      </w:r>
      <w:r w:rsidRPr="00680821">
        <w:lastRenderedPageBreak/>
        <w:t>scope</w:t>
      </w:r>
      <w:r w:rsidR="00AB4EAB">
        <w:t>;</w:t>
      </w:r>
      <w:r w:rsidRPr="00680821">
        <w:t xml:space="preserve"> principles for engagement</w:t>
      </w:r>
      <w:r w:rsidR="00AB4EAB">
        <w:t>;</w:t>
      </w:r>
      <w:r w:rsidRPr="00680821">
        <w:t xml:space="preserve"> requirements for effective collaboration</w:t>
      </w:r>
      <w:r>
        <w:t xml:space="preserve"> – </w:t>
      </w:r>
      <w:r w:rsidRPr="00680821">
        <w:t xml:space="preserve">including </w:t>
      </w:r>
      <w:r w:rsidR="00E837E0">
        <w:t xml:space="preserve">identification, meaningful engagement, </w:t>
      </w:r>
      <w:r w:rsidRPr="00680821">
        <w:t>free, prior, and informed consent</w:t>
      </w:r>
      <w:r w:rsidR="00086085">
        <w:t xml:space="preserve"> (FPIC)</w:t>
      </w:r>
      <w:r w:rsidRPr="00680821">
        <w:t>, grievance redress mechanisms, and Indigenous Peoples Plans and Planning Frameworks</w:t>
      </w:r>
      <w:r>
        <w:t xml:space="preserve"> –</w:t>
      </w:r>
      <w:r w:rsidR="00831188">
        <w:t xml:space="preserve"> </w:t>
      </w:r>
      <w:r w:rsidRPr="00680821">
        <w:t>monitoring and reporting procedures</w:t>
      </w:r>
      <w:r w:rsidR="002F3BBB" w:rsidRPr="002F3BBB">
        <w:t xml:space="preserve">; and </w:t>
      </w:r>
      <w:r w:rsidR="00831188">
        <w:t>specialised expertise and adaptative management statements</w:t>
      </w:r>
      <w:r w:rsidR="002F3BBB" w:rsidRPr="002F3BBB">
        <w:t>.</w:t>
      </w:r>
    </w:p>
    <w:p w14:paraId="5D57F5F4" w14:textId="0BE812BC" w:rsidR="0092503C" w:rsidRDefault="0092503C" w:rsidP="00F53763">
      <w:r>
        <w:t xml:space="preserve">The Policy addresses the GFCR’s Investment Principle 8 (Equitable Outcomes), which states that: </w:t>
      </w:r>
      <w:r w:rsidRPr="0092503C">
        <w:rPr>
          <w:i/>
          <w:iCs/>
        </w:rPr>
        <w:t>“the GFCR supports interventions with positive and equitable outcomes and that protect the rights of stakeholders particularly indigenous peoples and local communities and regardless of gender, ethnicity, culture, political or socio-economic status”.</w:t>
      </w:r>
    </w:p>
    <w:p w14:paraId="2A9F7D51" w14:textId="6BC913D4" w:rsidR="008F541C" w:rsidRDefault="008F541C" w:rsidP="008F541C">
      <w:pPr>
        <w:pStyle w:val="Heading1"/>
      </w:pPr>
      <w:bookmarkStart w:id="2" w:name="_Toc179971755"/>
      <w:r>
        <w:t>2. Purpose and Scope</w:t>
      </w:r>
      <w:bookmarkEnd w:id="2"/>
    </w:p>
    <w:p w14:paraId="2F016C82" w14:textId="76F1B688" w:rsidR="00AC05FD" w:rsidRDefault="00DD15BF" w:rsidP="00DD15BF">
      <w:pPr>
        <w:pStyle w:val="Heading2"/>
      </w:pPr>
      <w:bookmarkStart w:id="3" w:name="_Toc179971756"/>
      <w:r>
        <w:t>W</w:t>
      </w:r>
      <w:r w:rsidR="00981F90">
        <w:t xml:space="preserve">ho are </w:t>
      </w:r>
      <w:r w:rsidR="00D42D38">
        <w:t>indigenous peoples</w:t>
      </w:r>
      <w:r w:rsidR="00981F90">
        <w:t>?</w:t>
      </w:r>
      <w:bookmarkEnd w:id="3"/>
    </w:p>
    <w:p w14:paraId="66293DDF" w14:textId="47494D21" w:rsidR="00961246" w:rsidRDefault="00961246" w:rsidP="00961246">
      <w:r>
        <w:t xml:space="preserve">Indigenous peoples are distinct social and cultural groups </w:t>
      </w:r>
      <w:r w:rsidR="00B2738D">
        <w:t xml:space="preserve">characterised by several key attributes, </w:t>
      </w:r>
      <w:r>
        <w:t>to varying degrees:</w:t>
      </w:r>
    </w:p>
    <w:p w14:paraId="53DEC3F3" w14:textId="71297D7A" w:rsidR="00961246" w:rsidRDefault="00961246" w:rsidP="00C1725B">
      <w:pPr>
        <w:pStyle w:val="ListParagraph"/>
        <w:numPr>
          <w:ilvl w:val="0"/>
          <w:numId w:val="2"/>
        </w:numPr>
      </w:pPr>
      <w:r w:rsidRPr="00961246">
        <w:rPr>
          <w:b/>
          <w:bCs/>
        </w:rPr>
        <w:t>Self-identification</w:t>
      </w:r>
      <w:r w:rsidR="0006510D">
        <w:t>: M</w:t>
      </w:r>
      <w:r>
        <w:t xml:space="preserve">embers </w:t>
      </w:r>
      <w:r w:rsidR="0006510D">
        <w:t>identify as part of a</w:t>
      </w:r>
      <w:r>
        <w:t xml:space="preserve"> unique indigenous social and cultural group</w:t>
      </w:r>
      <w:r w:rsidR="00E825CA" w:rsidRPr="00E825CA">
        <w:t xml:space="preserve"> and </w:t>
      </w:r>
      <w:r w:rsidR="00866873" w:rsidRPr="00866873">
        <w:t>are recognised as such</w:t>
      </w:r>
      <w:r w:rsidR="00866873">
        <w:rPr>
          <w:b/>
          <w:bCs/>
        </w:rPr>
        <w:t xml:space="preserve"> </w:t>
      </w:r>
      <w:r w:rsidR="00E825CA" w:rsidRPr="00E825CA">
        <w:t>by others</w:t>
      </w:r>
      <w:r>
        <w:t>.</w:t>
      </w:r>
    </w:p>
    <w:p w14:paraId="5AA34400" w14:textId="4C7A3F08" w:rsidR="00E6235F" w:rsidRDefault="00961246" w:rsidP="00961246">
      <w:pPr>
        <w:pStyle w:val="ListParagraph"/>
        <w:numPr>
          <w:ilvl w:val="0"/>
          <w:numId w:val="2"/>
        </w:numPr>
      </w:pPr>
      <w:r w:rsidRPr="00E6235F">
        <w:rPr>
          <w:b/>
          <w:bCs/>
        </w:rPr>
        <w:t>Collective attachment</w:t>
      </w:r>
      <w:r w:rsidR="00866873">
        <w:t xml:space="preserve">: </w:t>
      </w:r>
      <w:r w:rsidR="007F3C60" w:rsidRPr="007F3C60">
        <w:t>There is a strong connection</w:t>
      </w:r>
      <w:r w:rsidR="007F3C60">
        <w:t xml:space="preserve"> </w:t>
      </w:r>
      <w:r>
        <w:t xml:space="preserve">to geographically distinct habitats, ancestral territories, or areas of seasonal use, </w:t>
      </w:r>
      <w:r w:rsidR="007F3C60" w:rsidRPr="007F3C60">
        <w:t>along with an attachment to the natural resources found there.</w:t>
      </w:r>
    </w:p>
    <w:p w14:paraId="0C47BB8A" w14:textId="1E09064B" w:rsidR="00E6235F" w:rsidRPr="00B730F1" w:rsidRDefault="00B730F1" w:rsidP="00961246">
      <w:pPr>
        <w:pStyle w:val="ListParagraph"/>
        <w:numPr>
          <w:ilvl w:val="0"/>
          <w:numId w:val="2"/>
        </w:numPr>
      </w:pPr>
      <w:r>
        <w:rPr>
          <w:b/>
          <w:bCs/>
        </w:rPr>
        <w:t xml:space="preserve">Distinct systems: </w:t>
      </w:r>
      <w:r>
        <w:t>They maintain c</w:t>
      </w:r>
      <w:r w:rsidR="00961246" w:rsidRPr="00B730F1">
        <w:t xml:space="preserve">ustomary cultural, economic, social, or political systems that </w:t>
      </w:r>
      <w:r>
        <w:t>differ</w:t>
      </w:r>
      <w:r w:rsidR="00961246" w:rsidRPr="00B730F1">
        <w:t xml:space="preserve"> from those of mainstream society.</w:t>
      </w:r>
    </w:p>
    <w:p w14:paraId="1D43907E" w14:textId="2A7998D2" w:rsidR="00961246" w:rsidRDefault="00B730F1" w:rsidP="00961246">
      <w:pPr>
        <w:pStyle w:val="ListParagraph"/>
        <w:numPr>
          <w:ilvl w:val="0"/>
          <w:numId w:val="2"/>
        </w:numPr>
      </w:pPr>
      <w:r w:rsidRPr="00684DDF">
        <w:rPr>
          <w:b/>
          <w:bCs/>
        </w:rPr>
        <w:t>Language</w:t>
      </w:r>
      <w:r>
        <w:t xml:space="preserve">: </w:t>
      </w:r>
      <w:r w:rsidR="00684DDF" w:rsidRPr="00684DDF">
        <w:t>Indigenous peoples often speak</w:t>
      </w:r>
      <w:r w:rsidR="00684DDF">
        <w:t xml:space="preserve"> a</w:t>
      </w:r>
      <w:r w:rsidR="00961246">
        <w:t xml:space="preserve"> </w:t>
      </w:r>
      <w:r w:rsidR="00961246" w:rsidRPr="0008011A">
        <w:t>distinct language or dialect</w:t>
      </w:r>
      <w:r w:rsidR="00961246">
        <w:t xml:space="preserve">, </w:t>
      </w:r>
      <w:r w:rsidR="00684DDF">
        <w:t xml:space="preserve">which </w:t>
      </w:r>
      <w:r w:rsidR="00F35282">
        <w:t>may be</w:t>
      </w:r>
      <w:r w:rsidR="00961246">
        <w:t xml:space="preserve"> different from the official language(s) of their country or regio</w:t>
      </w:r>
      <w:r w:rsidR="0BABDC9C">
        <w:t>n</w:t>
      </w:r>
      <w:r w:rsidRPr="67B7F88F">
        <w:rPr>
          <w:rStyle w:val="FootnoteReference"/>
        </w:rPr>
        <w:footnoteReference w:id="1"/>
      </w:r>
      <w:r w:rsidR="0BABDC9C">
        <w:t>.</w:t>
      </w:r>
    </w:p>
    <w:p w14:paraId="570A8870" w14:textId="6015EDF9" w:rsidR="00F154E0" w:rsidRDefault="007A09C4" w:rsidP="00A638B0">
      <w:r w:rsidRPr="007A09C4">
        <w:t>While these characteristics are common, there is no universally accepted definition</w:t>
      </w:r>
      <w:r>
        <w:rPr>
          <w:rStyle w:val="FootnoteReference"/>
        </w:rPr>
        <w:footnoteReference w:id="2"/>
      </w:r>
      <w:r>
        <w:t xml:space="preserve"> </w:t>
      </w:r>
      <w:r w:rsidRPr="007A09C4">
        <w:t xml:space="preserve">that fully captures the diversity of indigenous peoples. </w:t>
      </w:r>
      <w:r w:rsidR="00CA6838">
        <w:t>T</w:t>
      </w:r>
      <w:r w:rsidRPr="007A09C4">
        <w:t xml:space="preserve">erminology varies globally, reflecting national contexts. </w:t>
      </w:r>
      <w:r w:rsidR="006E3247" w:rsidRPr="006E3247">
        <w:t xml:space="preserve">Terms may include </w:t>
      </w:r>
      <w:r w:rsidR="00A3375A" w:rsidRPr="0094348C">
        <w:t>“indigenous peoples and local communities”, “local communities”, “sub-Saharan African historically underserved traditional local communities”, “indigenous ethnic minorities”, “Afro-descendent communities of South America and the Caribbean”, “ethnic groups”, “aboriginals”, “hill tribes”, “vulnerable and marginalized groups”, “minority nationalities”, “scheduled tribes”, “first nations”, “tribal groups”, “pastoralists”, “hunter-gatherers”, “nomadic groups” or “forest dwellers”</w:t>
      </w:r>
      <w:r w:rsidR="00C43BB3">
        <w:t xml:space="preserve">, among others. </w:t>
      </w:r>
    </w:p>
    <w:p w14:paraId="54FE1BB6" w14:textId="3D9B2156" w:rsidR="0008240C" w:rsidRDefault="00412FF8" w:rsidP="00961246">
      <w:r w:rsidRPr="00412FF8">
        <w:t xml:space="preserve">GFCR considers self-identification as the fundamental criterion for definition. This Policy applies to all groups meeting the defining criteria, regardless of the specific term used. </w:t>
      </w:r>
      <w:r w:rsidR="00EB4A96">
        <w:t xml:space="preserve">Convening Agents may request the use of alternative terms that align with the national context </w:t>
      </w:r>
      <w:r w:rsidR="00730FD0">
        <w:t>relevant to</w:t>
      </w:r>
      <w:r w:rsidR="00EB4A96">
        <w:t xml:space="preserve"> their programmes and projects.</w:t>
      </w:r>
    </w:p>
    <w:p w14:paraId="60015B4E" w14:textId="2D21CACD" w:rsidR="005E2188" w:rsidRDefault="004A5684" w:rsidP="00FF778A">
      <w:pPr>
        <w:pStyle w:val="Heading2"/>
      </w:pPr>
      <w:bookmarkStart w:id="4" w:name="_Toc179971757"/>
      <w:r>
        <w:t>Why engage with indigenous peoples?</w:t>
      </w:r>
      <w:bookmarkEnd w:id="4"/>
    </w:p>
    <w:p w14:paraId="5BEE8035" w14:textId="77777777" w:rsidR="00E25F35" w:rsidRDefault="00F20333" w:rsidP="00F20333">
      <w:r w:rsidRPr="00F20333">
        <w:t>Indigenous peoples are unique and distinct stakeholders of the GFCR, with invaluable contributions to make in coral reef conservation and climate change adaptation.</w:t>
      </w:r>
      <w:r w:rsidR="00F23CCF">
        <w:t xml:space="preserve"> </w:t>
      </w:r>
      <w:r w:rsidR="001F5840" w:rsidRPr="001F5840">
        <w:t xml:space="preserve">Their traditional </w:t>
      </w:r>
      <w:r w:rsidR="001F5840" w:rsidRPr="001F5840">
        <w:lastRenderedPageBreak/>
        <w:t>ecological knowledge and sustainable practices offer critical insights that can enhance conservation strategies.</w:t>
      </w:r>
      <w:r w:rsidR="003D4B46">
        <w:t xml:space="preserve"> </w:t>
      </w:r>
      <w:r w:rsidR="003D4B46" w:rsidRPr="003D4B46">
        <w:t xml:space="preserve">Engaging with indigenous </w:t>
      </w:r>
      <w:r w:rsidR="003D4B46">
        <w:t>peoples</w:t>
      </w:r>
      <w:r w:rsidR="003D4B46" w:rsidRPr="003D4B46">
        <w:t xml:space="preserve"> allows the GFCR to integrate this knowledge into its conservation efforts, enhancing the resilience of both coral reefs and coastal communities</w:t>
      </w:r>
      <w:r w:rsidR="003D4B46">
        <w:t>.</w:t>
      </w:r>
      <w:r w:rsidR="001F5840" w:rsidRPr="001F5840">
        <w:t xml:space="preserve"> </w:t>
      </w:r>
    </w:p>
    <w:p w14:paraId="6D4FA60C" w14:textId="190DB4F9" w:rsidR="00FB4760" w:rsidRDefault="00E25F35" w:rsidP="00F20333">
      <w:r>
        <w:t xml:space="preserve">Indigenous peoples, however, </w:t>
      </w:r>
      <w:r w:rsidR="001F5840" w:rsidRPr="001F5840">
        <w:t xml:space="preserve">face serious threats to their rights and livelihoods </w:t>
      </w:r>
      <w:r w:rsidR="00F00B60">
        <w:t>from</w:t>
      </w:r>
      <w:r w:rsidR="001F5840" w:rsidRPr="001F5840">
        <w:t xml:space="preserve"> climate change actions </w:t>
      </w:r>
      <w:r w:rsidR="0029404F">
        <w:t>and</w:t>
      </w:r>
      <w:r w:rsidR="001F5840" w:rsidRPr="001F5840">
        <w:t xml:space="preserve"> development projects that overlook their perspectives and needs.</w:t>
      </w:r>
    </w:p>
    <w:p w14:paraId="3EA84504" w14:textId="54243B83" w:rsidR="005B1EFC" w:rsidRDefault="005B1EFC" w:rsidP="00A3673E">
      <w:r w:rsidRPr="005B1EFC">
        <w:t xml:space="preserve">This Policy recognises that indigenous peoples have distinct identities and aspirations, frequently experiencing disadvantages due to traditional development models. </w:t>
      </w:r>
      <w:r w:rsidR="00C610DD">
        <w:t xml:space="preserve">Many </w:t>
      </w:r>
      <w:r w:rsidRPr="005B1EFC">
        <w:t>are among the most economically marginalised and vulnerable populations, with limited capacity to defend their rights to land and resources. Consequently, they may not receive equitable or culturally appropriate benefits from programmes or projects.</w:t>
      </w:r>
      <w:r w:rsidR="00C610DD">
        <w:t xml:space="preserve"> </w:t>
      </w:r>
      <w:r w:rsidR="00BF0948" w:rsidRPr="00BF0948">
        <w:t>The Policy also acknowledges that gender roles in indigenous cultures often differ from mainstream societies, with women and children facing potential marginali</w:t>
      </w:r>
      <w:r w:rsidR="00BF0948">
        <w:t>s</w:t>
      </w:r>
      <w:r w:rsidR="00BF0948" w:rsidRPr="00BF0948">
        <w:t xml:space="preserve">ation </w:t>
      </w:r>
      <w:r w:rsidR="001307DE" w:rsidRPr="001307DE">
        <w:t>both within their communities and because of external developments</w:t>
      </w:r>
      <w:r w:rsidR="00BF0948" w:rsidRPr="00BF0948">
        <w:t>.</w:t>
      </w:r>
    </w:p>
    <w:p w14:paraId="4E3C77E4" w14:textId="37E313AF" w:rsidR="00DD2AF4" w:rsidRDefault="002547AD" w:rsidP="00024397">
      <w:r w:rsidRPr="002547AD">
        <w:t>Engaging with indigenous peoples is essential for recogni</w:t>
      </w:r>
      <w:r>
        <w:t>s</w:t>
      </w:r>
      <w:r w:rsidRPr="002547AD">
        <w:t xml:space="preserve">ing their rights and ensuring effective, equitable conservation efforts. </w:t>
      </w:r>
      <w:r>
        <w:t>T</w:t>
      </w:r>
      <w:r w:rsidR="00DD2AF4" w:rsidRPr="00DD2AF4">
        <w:t>he GFCR is committed to making special efforts to respect, protect, and comply with the collective and individual rights of indigenous peoples, including their customary and resource rights.</w:t>
      </w:r>
      <w:r w:rsidR="00BB1389">
        <w:t xml:space="preserve"> </w:t>
      </w:r>
    </w:p>
    <w:p w14:paraId="337EC571" w14:textId="65FC20BD" w:rsidR="005E2188" w:rsidRDefault="005E2188" w:rsidP="00FF778A">
      <w:pPr>
        <w:pStyle w:val="Heading2"/>
      </w:pPr>
      <w:bookmarkStart w:id="5" w:name="_Toc179971758"/>
      <w:r>
        <w:t>Rights and interests of indigenous peoples</w:t>
      </w:r>
      <w:bookmarkEnd w:id="5"/>
    </w:p>
    <w:p w14:paraId="29707A64" w14:textId="5C39D529" w:rsidR="00142682" w:rsidRDefault="00543F40" w:rsidP="000140E6">
      <w:r w:rsidRPr="00543F40">
        <w:t>The rights and interests of indigenous peoples are increasingly recogni</w:t>
      </w:r>
      <w:r>
        <w:t>s</w:t>
      </w:r>
      <w:r w:rsidRPr="00543F40">
        <w:t>ed in climate change policies and actions, as highlighted by the United Nations Framework Convention on Climate Change</w:t>
      </w:r>
      <w:r w:rsidR="00822F59">
        <w:t>,</w:t>
      </w:r>
      <w:r w:rsidRPr="00543F40">
        <w:t xml:space="preserve"> Paris Agreement</w:t>
      </w:r>
      <w:r w:rsidR="00822F59">
        <w:t xml:space="preserve">, and, most recently, </w:t>
      </w:r>
      <w:r w:rsidR="00822F59" w:rsidRPr="00822F59">
        <w:t>Kunming-Montreal Global Biodiversity Framework</w:t>
      </w:r>
      <w:r w:rsidR="00822F59">
        <w:t>,</w:t>
      </w:r>
      <w:r w:rsidR="00822F59" w:rsidRPr="00822F59">
        <w:t xml:space="preserve"> adopted by the parties to the Convention on Biological Diversity in 2022, </w:t>
      </w:r>
      <w:r w:rsidR="009E164A">
        <w:t xml:space="preserve">which </w:t>
      </w:r>
      <w:r w:rsidR="00822F59" w:rsidRPr="00822F59">
        <w:t xml:space="preserve">commits to a human rights-based approach in achieving its goals, including </w:t>
      </w:r>
      <w:r w:rsidR="009E164A">
        <w:t>conserving</w:t>
      </w:r>
      <w:r w:rsidR="00822F59" w:rsidRPr="00822F59">
        <w:t xml:space="preserve"> </w:t>
      </w:r>
      <w:r w:rsidR="003662E4">
        <w:t>30%</w:t>
      </w:r>
      <w:r w:rsidR="00822F59" w:rsidRPr="00822F59">
        <w:t xml:space="preserve"> of the planet by 2030.</w:t>
      </w:r>
      <w:r w:rsidRPr="00543F40">
        <w:t xml:space="preserve"> These frameworks emphasi</w:t>
      </w:r>
      <w:r w:rsidR="00142682">
        <w:t>s</w:t>
      </w:r>
      <w:r w:rsidRPr="00543F40">
        <w:t>e the importance of respecting and considering the rights of indigenous peoples when addressing climate change</w:t>
      </w:r>
      <w:r w:rsidR="00AA1A36">
        <w:t xml:space="preserve"> and conservation</w:t>
      </w:r>
      <w:r w:rsidRPr="00543F40">
        <w:t xml:space="preserve">. International instruments such as the UN Declaration on the Rights of Indigenous Peoples (UNDRIP) and </w:t>
      </w:r>
      <w:r w:rsidR="002235C0" w:rsidRPr="00FA3B74">
        <w:t>I</w:t>
      </w:r>
      <w:r w:rsidR="002235C0">
        <w:t xml:space="preserve">nternational Labour Organization (ILO) </w:t>
      </w:r>
      <w:r w:rsidR="002235C0" w:rsidRPr="002235C0">
        <w:t xml:space="preserve">Indigenous and Tribal Peoples Convention </w:t>
      </w:r>
      <w:r w:rsidRPr="00543F40">
        <w:t xml:space="preserve">169 affirm their rights to lands, territories, and resources they have traditionally owned or occupied, as well as their right to </w:t>
      </w:r>
      <w:r w:rsidR="00086085">
        <w:t>FPIC</w:t>
      </w:r>
      <w:r w:rsidRPr="00543F40">
        <w:t xml:space="preserve"> regarding </w:t>
      </w:r>
      <w:r w:rsidR="00142682">
        <w:t>programmes and projects</w:t>
      </w:r>
      <w:r w:rsidRPr="00543F40">
        <w:t xml:space="preserve"> affecting these areas.</w:t>
      </w:r>
    </w:p>
    <w:p w14:paraId="4A6A2647" w14:textId="393485D7" w:rsidR="0083685B" w:rsidRDefault="00543F40" w:rsidP="0096313D">
      <w:r w:rsidRPr="00543F40">
        <w:t>The GFCR recogni</w:t>
      </w:r>
      <w:r w:rsidR="00142682">
        <w:t>s</w:t>
      </w:r>
      <w:r w:rsidRPr="00543F40">
        <w:t>es indigenous peoples as rightful partners in conservation efforts, committed to respecting their collective rights and ensuring that their voices are heard.</w:t>
      </w:r>
      <w:r w:rsidR="00142682">
        <w:t xml:space="preserve"> </w:t>
      </w:r>
      <w:r w:rsidR="00FA3B74" w:rsidRPr="00FA3B74">
        <w:t xml:space="preserve">This includes acknowledging their distinct cultural and social needs, the importance of their cultural heritage, and traditional practices. In developing this Policy, the GFCR has been guided by </w:t>
      </w:r>
      <w:r w:rsidR="00AA1F00">
        <w:t xml:space="preserve">the </w:t>
      </w:r>
      <w:r w:rsidR="0066328A">
        <w:t>human rights norms and sta</w:t>
      </w:r>
      <w:r w:rsidR="00AA1F00">
        <w:t>ndards</w:t>
      </w:r>
      <w:r w:rsidR="00FA3B74" w:rsidRPr="00FA3B74">
        <w:t xml:space="preserve"> </w:t>
      </w:r>
      <w:r w:rsidR="00AA1F00">
        <w:t>of</w:t>
      </w:r>
      <w:r w:rsidR="00FA3B74" w:rsidRPr="00FA3B74">
        <w:t xml:space="preserve"> various international</w:t>
      </w:r>
      <w:r w:rsidR="0083685B">
        <w:t>ly recognised</w:t>
      </w:r>
      <w:r w:rsidR="00FA3B74" w:rsidRPr="00FA3B74">
        <w:t xml:space="preserve"> instruments, including </w:t>
      </w:r>
      <w:r w:rsidR="0083685B">
        <w:t xml:space="preserve">those in the International Bill of Rights, </w:t>
      </w:r>
      <w:r w:rsidR="00FA3B74" w:rsidRPr="00FA3B74">
        <w:t xml:space="preserve">UNDRIP, </w:t>
      </w:r>
      <w:r w:rsidR="0083685B">
        <w:t xml:space="preserve">ILO Indigenous and Tribal Peoples </w:t>
      </w:r>
      <w:r w:rsidR="00FA3B74" w:rsidRPr="00FA3B74">
        <w:t xml:space="preserve">Convention 169, </w:t>
      </w:r>
      <w:r w:rsidR="00A73AD9">
        <w:t xml:space="preserve">International </w:t>
      </w:r>
      <w:r w:rsidR="00A73AD9" w:rsidRPr="00FB2799">
        <w:t>Covenant on Economic, Social and Cultural Rights</w:t>
      </w:r>
      <w:r w:rsidR="00A73AD9">
        <w:t>,</w:t>
      </w:r>
      <w:r w:rsidR="00A73AD9" w:rsidRPr="00FB2799">
        <w:t xml:space="preserve"> International Convention on the Elimination of All Forms of Racial Discrimination</w:t>
      </w:r>
      <w:r w:rsidR="00A73AD9">
        <w:t>,</w:t>
      </w:r>
      <w:r w:rsidR="00A73AD9" w:rsidRPr="00FB2799">
        <w:t xml:space="preserve"> International Covenant on Civil and Political Rights</w:t>
      </w:r>
      <w:r w:rsidR="0035114F">
        <w:t xml:space="preserve">, Guiding Principles on Business and Human Rights, United </w:t>
      </w:r>
      <w:r w:rsidR="0083685B">
        <w:t>Nations Declaration on Human</w:t>
      </w:r>
      <w:r w:rsidR="0035114F">
        <w:t xml:space="preserve"> </w:t>
      </w:r>
      <w:r w:rsidR="0083685B">
        <w:t>Rights Defenders</w:t>
      </w:r>
      <w:r w:rsidR="0035114F">
        <w:t xml:space="preserve">, </w:t>
      </w:r>
      <w:r w:rsidR="0083685B">
        <w:t>United Nations Declaration on the Rights of Peasants and Other People</w:t>
      </w:r>
      <w:r w:rsidR="0035114F">
        <w:t xml:space="preserve"> </w:t>
      </w:r>
      <w:r w:rsidR="0083685B">
        <w:t>Working in Rural Areas</w:t>
      </w:r>
      <w:r w:rsidR="003B116C">
        <w:t xml:space="preserve">, </w:t>
      </w:r>
      <w:r w:rsidR="00AF6552" w:rsidRPr="00AF6552">
        <w:t xml:space="preserve">United Nations Convention on the Elimination of All Forms of Discrimination against Women, and </w:t>
      </w:r>
      <w:r w:rsidR="0096313D">
        <w:t>United Nations Core Human Rights Principles for Private Conservation Organizations and Funders</w:t>
      </w:r>
      <w:r w:rsidR="0035114F">
        <w:t>.</w:t>
      </w:r>
    </w:p>
    <w:p w14:paraId="69F8F53B" w14:textId="0CBB303E" w:rsidR="00381834" w:rsidRPr="000140E6" w:rsidRDefault="00AE67C8" w:rsidP="000140E6">
      <w:r w:rsidRPr="00AE67C8">
        <w:lastRenderedPageBreak/>
        <w:t>Importantly, the GFCR recogni</w:t>
      </w:r>
      <w:r>
        <w:t>s</w:t>
      </w:r>
      <w:r w:rsidRPr="00AE67C8">
        <w:t>es indigenous peoples</w:t>
      </w:r>
      <w:r w:rsidR="0035114F">
        <w:t>’</w:t>
      </w:r>
      <w:r w:rsidRPr="00AE67C8">
        <w:t xml:space="preserve"> right to remain on their territories. Any relocation, considered only as an exceptional measure, must occur with their </w:t>
      </w:r>
      <w:r w:rsidR="00086085">
        <w:t>FPIC</w:t>
      </w:r>
      <w:r w:rsidRPr="00AE67C8">
        <w:t xml:space="preserve"> and in full compliance with relevant laws and conventions. The GFCR also respects the rights of indigenous peoples living in voluntary isolation</w:t>
      </w:r>
      <w:r w:rsidR="00F95448">
        <w:rPr>
          <w:rStyle w:val="FootnoteReference"/>
        </w:rPr>
        <w:footnoteReference w:id="3"/>
      </w:r>
      <w:r w:rsidRPr="00AE67C8">
        <w:t xml:space="preserve"> to maintain their chosen lifestyle and decide if and how they wish to engage with the </w:t>
      </w:r>
      <w:r>
        <w:t>mainstream</w:t>
      </w:r>
      <w:r w:rsidRPr="00AE67C8">
        <w:t xml:space="preserve"> world.</w:t>
      </w:r>
      <w:r w:rsidR="00381834" w:rsidRPr="00381834">
        <w:t xml:space="preserve"> </w:t>
      </w:r>
    </w:p>
    <w:p w14:paraId="373DFD20" w14:textId="60B08166" w:rsidR="00524A2B" w:rsidRDefault="00524A2B" w:rsidP="00FF778A">
      <w:pPr>
        <w:pStyle w:val="Heading2"/>
      </w:pPr>
      <w:bookmarkStart w:id="6" w:name="_Toc179971759"/>
      <w:r>
        <w:t>Applicability of the Policy</w:t>
      </w:r>
      <w:bookmarkEnd w:id="6"/>
    </w:p>
    <w:p w14:paraId="45E01E23" w14:textId="515A5D69" w:rsidR="00BD246F" w:rsidRDefault="00BD246F" w:rsidP="00BD246F">
      <w:r>
        <w:t xml:space="preserve">This Policy applies to all situations where indigenous peoples are present in, have, or had a collective attachment or right to areas where GFCR-financed activities will be implemented. </w:t>
      </w:r>
      <w:r w:rsidR="007C131A" w:rsidRPr="007C131A">
        <w:t>This includes groups who, within living memory, have been disconnected from their traditional lands due to circumstances such as</w:t>
      </w:r>
      <w:r>
        <w:t xml:space="preserve"> </w:t>
      </w:r>
      <w:r w:rsidR="00C33A1C">
        <w:t>involuntary relocation</w:t>
      </w:r>
      <w:r w:rsidRPr="00BD246F">
        <w:t xml:space="preserve">, conflict, </w:t>
      </w:r>
      <w:r w:rsidR="007C131A">
        <w:t>government-mandated resettlement</w:t>
      </w:r>
      <w:r w:rsidRPr="00BD246F">
        <w:t xml:space="preserve">, </w:t>
      </w:r>
      <w:r w:rsidR="00C33A1C">
        <w:t xml:space="preserve">land </w:t>
      </w:r>
      <w:r w:rsidRPr="00BD246F">
        <w:t xml:space="preserve">dispossession, natural disasters, or </w:t>
      </w:r>
      <w:r w:rsidR="00C33A1C">
        <w:t>urbanisation of their ancestral territories.</w:t>
      </w:r>
    </w:p>
    <w:p w14:paraId="41F10261" w14:textId="6CEBD76F" w:rsidR="00BD246F" w:rsidRDefault="00C33A1C" w:rsidP="00BD246F">
      <w:r w:rsidRPr="00C33A1C">
        <w:t xml:space="preserve">The application of this Policy </w:t>
      </w:r>
      <w:r w:rsidR="00BD246F">
        <w:t>is not contingent on the legal recognition of indigenous peoples by a state, nor on the legal status of their lands and resources. It applies regardless of whether the impacts on indigenous peoples are positive or negative, and irrespective of the significance of these impacts.</w:t>
      </w:r>
    </w:p>
    <w:p w14:paraId="5E7C516A" w14:textId="11CDBAF7" w:rsidR="00EB4A96" w:rsidRDefault="00BD246F" w:rsidP="00FF778A">
      <w:r>
        <w:t>Furthermore, the Policy applies regardless of the presence or absence of discernible vulnerabilities among indigenous peoples, although the nature and extent of vulnerability will inform the design of plans to promote equitable access to benefits or mitigate adverse impacts.</w:t>
      </w:r>
    </w:p>
    <w:p w14:paraId="6F0D4EBA" w14:textId="550EC65E" w:rsidR="00AF44AA" w:rsidRPr="00FF778A" w:rsidRDefault="004A06E0" w:rsidP="00FF778A">
      <w:r w:rsidRPr="004A06E0">
        <w:t>In cases of mixed communities or where indigenous peoples coexist closely with other social or ethnic groups, this Policy will be applied to benefit both indigenous peoples and neighbouring communities.</w:t>
      </w:r>
    </w:p>
    <w:p w14:paraId="460FA141" w14:textId="0CE43B61" w:rsidR="003E4010" w:rsidRDefault="008F541C" w:rsidP="00EA720C">
      <w:pPr>
        <w:pStyle w:val="Heading1"/>
      </w:pPr>
      <w:bookmarkStart w:id="7" w:name="_Toc179971760"/>
      <w:r>
        <w:t>3. Principles</w:t>
      </w:r>
      <w:bookmarkEnd w:id="7"/>
    </w:p>
    <w:p w14:paraId="33B4B690" w14:textId="2EF90CA5" w:rsidR="00EA720C" w:rsidRPr="00EA720C" w:rsidRDefault="00E9335A" w:rsidP="009F3C0F">
      <w:r w:rsidRPr="00E9335A">
        <w:t xml:space="preserve">Key principles </w:t>
      </w:r>
      <w:r w:rsidR="00AE047C">
        <w:t>that should guide</w:t>
      </w:r>
      <w:r w:rsidRPr="00E9335A">
        <w:t xml:space="preserve"> </w:t>
      </w:r>
      <w:r w:rsidR="00E233E4" w:rsidRPr="00E233E4">
        <w:t>GFCR-financed activities</w:t>
      </w:r>
      <w:r w:rsidR="00E233E4">
        <w:t xml:space="preserve"> involving indigenous </w:t>
      </w:r>
      <w:r w:rsidR="00017D45">
        <w:t xml:space="preserve">peoples, </w:t>
      </w:r>
      <w:r w:rsidR="005731ED">
        <w:t xml:space="preserve">including </w:t>
      </w:r>
      <w:r w:rsidR="00017D45">
        <w:t xml:space="preserve">where they live, </w:t>
      </w:r>
      <w:r w:rsidR="008A1F58">
        <w:t>have collective attachment</w:t>
      </w:r>
      <w:r w:rsidR="00017D45" w:rsidRPr="00017D45">
        <w:t xml:space="preserve">, </w:t>
      </w:r>
      <w:r w:rsidR="008A1F58" w:rsidRPr="008A1F58">
        <w:t>or historically held rights</w:t>
      </w:r>
      <w:r w:rsidR="008A1F58">
        <w:t xml:space="preserve">, </w:t>
      </w:r>
      <w:r w:rsidR="00017D45" w:rsidRPr="00017D45">
        <w:t>include</w:t>
      </w:r>
      <w:r w:rsidR="002F61B8">
        <w:t>:</w:t>
      </w:r>
    </w:p>
    <w:p w14:paraId="3085DC39" w14:textId="70FA35D7" w:rsidR="00051562" w:rsidRDefault="00D20DFC" w:rsidP="009F3C0F">
      <w:pPr>
        <w:pStyle w:val="ListParagraph"/>
        <w:numPr>
          <w:ilvl w:val="0"/>
          <w:numId w:val="4"/>
        </w:numPr>
      </w:pPr>
      <w:r w:rsidRPr="00051562">
        <w:rPr>
          <w:b/>
          <w:bCs/>
        </w:rPr>
        <w:t xml:space="preserve">Free, </w:t>
      </w:r>
      <w:r w:rsidR="0076537B">
        <w:rPr>
          <w:b/>
          <w:bCs/>
        </w:rPr>
        <w:t>p</w:t>
      </w:r>
      <w:r w:rsidRPr="00051562">
        <w:rPr>
          <w:b/>
          <w:bCs/>
        </w:rPr>
        <w:t xml:space="preserve">rior, and </w:t>
      </w:r>
      <w:r w:rsidR="0076537B">
        <w:rPr>
          <w:b/>
          <w:bCs/>
        </w:rPr>
        <w:t>i</w:t>
      </w:r>
      <w:r w:rsidRPr="00051562">
        <w:rPr>
          <w:b/>
          <w:bCs/>
        </w:rPr>
        <w:t xml:space="preserve">nformed </w:t>
      </w:r>
      <w:r w:rsidR="0076537B">
        <w:rPr>
          <w:b/>
          <w:bCs/>
        </w:rPr>
        <w:t>c</w:t>
      </w:r>
      <w:r w:rsidRPr="00051562">
        <w:rPr>
          <w:b/>
          <w:bCs/>
        </w:rPr>
        <w:t>onsent</w:t>
      </w:r>
      <w:r w:rsidR="00BB3645">
        <w:rPr>
          <w:b/>
          <w:bCs/>
        </w:rPr>
        <w:t xml:space="preserve"> (FPIC)</w:t>
      </w:r>
      <w:r>
        <w:t xml:space="preserve">: </w:t>
      </w:r>
      <w:r w:rsidR="00380126" w:rsidRPr="00380126">
        <w:t>Requir</w:t>
      </w:r>
      <w:r w:rsidR="00E11329">
        <w:t>ing</w:t>
      </w:r>
      <w:r w:rsidR="00380126" w:rsidRPr="00380126">
        <w:t xml:space="preserve"> Convening Agents to conduct meaningful consultations and obtain </w:t>
      </w:r>
      <w:r w:rsidR="00A21DFD">
        <w:t>FPIC</w:t>
      </w:r>
      <w:r w:rsidR="00A21DFD" w:rsidRPr="00A21DFD">
        <w:t xml:space="preserve"> </w:t>
      </w:r>
      <w:r w:rsidR="00380126" w:rsidRPr="00380126">
        <w:t>for any initiatives that impact indigenous peoples' lands, territories, resources, livelihoods, cultures, or that necessitate relocation.</w:t>
      </w:r>
    </w:p>
    <w:p w14:paraId="301A8148" w14:textId="4B7A144D" w:rsidR="002839E1" w:rsidRDefault="002839E1" w:rsidP="009F3C0F">
      <w:pPr>
        <w:pStyle w:val="ListParagraph"/>
        <w:numPr>
          <w:ilvl w:val="0"/>
          <w:numId w:val="4"/>
        </w:numPr>
      </w:pPr>
      <w:r>
        <w:rPr>
          <w:b/>
          <w:bCs/>
        </w:rPr>
        <w:t>Meaningful and cultural</w:t>
      </w:r>
      <w:r w:rsidR="0079365F">
        <w:rPr>
          <w:b/>
          <w:bCs/>
        </w:rPr>
        <w:t>ly</w:t>
      </w:r>
      <w:r>
        <w:rPr>
          <w:b/>
          <w:bCs/>
        </w:rPr>
        <w:t xml:space="preserve"> appropriate engagement</w:t>
      </w:r>
      <w:r w:rsidRPr="002839E1">
        <w:t>:</w:t>
      </w:r>
      <w:r>
        <w:t xml:space="preserve"> </w:t>
      </w:r>
      <w:r w:rsidR="00C730A5" w:rsidRPr="00C730A5">
        <w:t>Ensuring all interactions and processes are culturally appropriate, respectful of indigenous peoples' customs and traditions, and foster genuine communication using preferred languages and communication methods</w:t>
      </w:r>
      <w:r w:rsidR="00465A05">
        <w:t>.</w:t>
      </w:r>
    </w:p>
    <w:p w14:paraId="72276FDF" w14:textId="66DB529C" w:rsidR="00896228" w:rsidRPr="00850A29" w:rsidRDefault="00850A29" w:rsidP="00B32943">
      <w:pPr>
        <w:pStyle w:val="ListParagraph"/>
        <w:numPr>
          <w:ilvl w:val="0"/>
          <w:numId w:val="4"/>
        </w:numPr>
      </w:pPr>
      <w:r w:rsidRPr="00850A29">
        <w:rPr>
          <w:b/>
          <w:bCs/>
        </w:rPr>
        <w:t>Recognition and respect of indigenous and community rights</w:t>
      </w:r>
      <w:r w:rsidRPr="00850A29">
        <w:t xml:space="preserve">: Acknowledging and respecting the rights of indigenous peoples, local communities, and vulnerable groups to their lands, resources, cultural heritage, and traditional knowledge, in accordance with UNDRIP and </w:t>
      </w:r>
      <w:r>
        <w:t xml:space="preserve">other </w:t>
      </w:r>
      <w:r w:rsidRPr="00850A29">
        <w:t>international human rights standards, while considering the specific needs and risks of marginali</w:t>
      </w:r>
      <w:r w:rsidR="00BD6BA0">
        <w:t>s</w:t>
      </w:r>
      <w:r w:rsidRPr="00850A29">
        <w:t>ed populations</w:t>
      </w:r>
      <w:r w:rsidR="00C378D7" w:rsidRPr="00850A29">
        <w:t>.</w:t>
      </w:r>
    </w:p>
    <w:p w14:paraId="59AC40C1" w14:textId="6223D0A7" w:rsidR="0075046D" w:rsidRDefault="00D20DFC" w:rsidP="009F3C0F">
      <w:pPr>
        <w:pStyle w:val="ListParagraph"/>
        <w:numPr>
          <w:ilvl w:val="0"/>
          <w:numId w:val="4"/>
        </w:numPr>
      </w:pPr>
      <w:r w:rsidRPr="0075046D">
        <w:rPr>
          <w:b/>
          <w:bCs/>
        </w:rPr>
        <w:t xml:space="preserve">Equitable </w:t>
      </w:r>
      <w:r w:rsidR="00A21DFD">
        <w:rPr>
          <w:b/>
          <w:bCs/>
        </w:rPr>
        <w:t>b</w:t>
      </w:r>
      <w:r w:rsidRPr="0075046D">
        <w:rPr>
          <w:b/>
          <w:bCs/>
        </w:rPr>
        <w:t>enefit</w:t>
      </w:r>
      <w:r w:rsidR="00833206">
        <w:rPr>
          <w:b/>
          <w:bCs/>
        </w:rPr>
        <w:t>-</w:t>
      </w:r>
      <w:r w:rsidR="00A21DFD">
        <w:rPr>
          <w:b/>
          <w:bCs/>
        </w:rPr>
        <w:t>s</w:t>
      </w:r>
      <w:r w:rsidRPr="0075046D">
        <w:rPr>
          <w:b/>
          <w:bCs/>
        </w:rPr>
        <w:t>haring</w:t>
      </w:r>
      <w:r>
        <w:t xml:space="preserve">: </w:t>
      </w:r>
      <w:r w:rsidR="0075046D" w:rsidRPr="0075046D">
        <w:t>Ensur</w:t>
      </w:r>
      <w:r w:rsidR="001821F2">
        <w:t>ing the</w:t>
      </w:r>
      <w:r w:rsidR="0075046D" w:rsidRPr="0075046D">
        <w:t xml:space="preserve"> fair distribution of benefits from </w:t>
      </w:r>
      <w:r w:rsidR="0075046D">
        <w:t>programmes and projects</w:t>
      </w:r>
      <w:r w:rsidR="0075046D" w:rsidRPr="0075046D">
        <w:t xml:space="preserve"> among indigenous </w:t>
      </w:r>
      <w:r w:rsidR="000923C7">
        <w:t>peoples</w:t>
      </w:r>
      <w:r w:rsidR="0075046D" w:rsidRPr="0075046D">
        <w:t>, facilitating meaningful consultations and negotiations regarding benefit sharing</w:t>
      </w:r>
      <w:r w:rsidR="00630509">
        <w:t>, financial or otherwise</w:t>
      </w:r>
      <w:r w:rsidR="0075046D" w:rsidRPr="0075046D">
        <w:t>.</w:t>
      </w:r>
    </w:p>
    <w:p w14:paraId="49E8807D" w14:textId="7B0757A3" w:rsidR="008439F2" w:rsidRDefault="00D20DFC" w:rsidP="009F3C0F">
      <w:pPr>
        <w:pStyle w:val="ListParagraph"/>
        <w:numPr>
          <w:ilvl w:val="0"/>
          <w:numId w:val="4"/>
        </w:numPr>
      </w:pPr>
      <w:r w:rsidRPr="008439F2">
        <w:rPr>
          <w:b/>
          <w:bCs/>
        </w:rPr>
        <w:lastRenderedPageBreak/>
        <w:t xml:space="preserve">Participation in </w:t>
      </w:r>
      <w:r w:rsidR="00630509" w:rsidRPr="008439F2">
        <w:rPr>
          <w:b/>
          <w:bCs/>
        </w:rPr>
        <w:t>d</w:t>
      </w:r>
      <w:r w:rsidRPr="008439F2">
        <w:rPr>
          <w:b/>
          <w:bCs/>
        </w:rPr>
        <w:t>ecision-</w:t>
      </w:r>
      <w:r w:rsidR="00630509" w:rsidRPr="008439F2">
        <w:rPr>
          <w:b/>
          <w:bCs/>
        </w:rPr>
        <w:t>m</w:t>
      </w:r>
      <w:r w:rsidRPr="008439F2">
        <w:rPr>
          <w:b/>
          <w:bCs/>
        </w:rPr>
        <w:t>aking</w:t>
      </w:r>
      <w:r>
        <w:t xml:space="preserve">: Actively </w:t>
      </w:r>
      <w:r w:rsidR="008439F2">
        <w:t xml:space="preserve">involving </w:t>
      </w:r>
      <w:r w:rsidR="008439F2" w:rsidRPr="008439F2">
        <w:t xml:space="preserve">indigenous peoples in decision-making processes related to </w:t>
      </w:r>
      <w:r w:rsidR="008439F2">
        <w:t xml:space="preserve">programmes and </w:t>
      </w:r>
      <w:r w:rsidR="008439F2" w:rsidRPr="008439F2">
        <w:t xml:space="preserve">projects that affect their communities, respecting their systems of self-government. </w:t>
      </w:r>
    </w:p>
    <w:p w14:paraId="361DFE17" w14:textId="6BC69A7A" w:rsidR="008E49EF" w:rsidRDefault="008E49EF" w:rsidP="008E49EF">
      <w:pPr>
        <w:pStyle w:val="ListParagraph"/>
        <w:numPr>
          <w:ilvl w:val="0"/>
          <w:numId w:val="4"/>
        </w:numPr>
      </w:pPr>
      <w:r w:rsidRPr="008E49EF">
        <w:rPr>
          <w:b/>
          <w:bCs/>
        </w:rPr>
        <w:t>Indigenous leadership</w:t>
      </w:r>
      <w:r w:rsidRPr="008E49EF">
        <w:t>: Promoting and supporting indigenous-led initiatives and decision-making processes in coral reef conservation efforts, recogni</w:t>
      </w:r>
      <w:r>
        <w:t>s</w:t>
      </w:r>
      <w:r w:rsidRPr="008E49EF">
        <w:t>ing the value of traditional governance structures and knowledge systems.</w:t>
      </w:r>
    </w:p>
    <w:p w14:paraId="0D7DA1C6" w14:textId="68FFED73" w:rsidR="00D20DFC" w:rsidRDefault="00D20DFC" w:rsidP="009F3C0F">
      <w:pPr>
        <w:pStyle w:val="ListParagraph"/>
        <w:numPr>
          <w:ilvl w:val="0"/>
          <w:numId w:val="4"/>
        </w:numPr>
      </w:pPr>
      <w:r w:rsidRPr="008439F2">
        <w:rPr>
          <w:b/>
          <w:bCs/>
        </w:rPr>
        <w:t xml:space="preserve">Protection of </w:t>
      </w:r>
      <w:r w:rsidR="00A83557">
        <w:rPr>
          <w:b/>
          <w:bCs/>
        </w:rPr>
        <w:t>t</w:t>
      </w:r>
      <w:r w:rsidRPr="008439F2">
        <w:rPr>
          <w:b/>
          <w:bCs/>
        </w:rPr>
        <w:t xml:space="preserve">raditional </w:t>
      </w:r>
      <w:r w:rsidR="00A83557">
        <w:rPr>
          <w:b/>
          <w:bCs/>
        </w:rPr>
        <w:t>k</w:t>
      </w:r>
      <w:r w:rsidRPr="008439F2">
        <w:rPr>
          <w:b/>
          <w:bCs/>
        </w:rPr>
        <w:t>nowledge</w:t>
      </w:r>
      <w:r>
        <w:t xml:space="preserve">: </w:t>
      </w:r>
      <w:r w:rsidR="003D60A8" w:rsidRPr="003D60A8">
        <w:t>Recogni</w:t>
      </w:r>
      <w:r w:rsidR="003D60A8">
        <w:t>sing</w:t>
      </w:r>
      <w:r w:rsidR="003D60A8" w:rsidRPr="003D60A8">
        <w:t xml:space="preserve"> and safeguard</w:t>
      </w:r>
      <w:r w:rsidR="003D60A8">
        <w:t xml:space="preserve">ing </w:t>
      </w:r>
      <w:r w:rsidR="003D60A8" w:rsidRPr="003D60A8">
        <w:t>the traditional knowledge and cultural heritage of indigenous peoples,</w:t>
      </w:r>
      <w:r w:rsidR="003D60A8">
        <w:t xml:space="preserve"> including</w:t>
      </w:r>
      <w:r w:rsidR="003D60A8" w:rsidRPr="00603C4A">
        <w:t xml:space="preserve"> indigenous ways of ownership and knowledge transmission</w:t>
      </w:r>
      <w:r w:rsidR="003D60A8">
        <w:t>,</w:t>
      </w:r>
      <w:r w:rsidR="003D60A8" w:rsidRPr="003D60A8">
        <w:t xml:space="preserve"> promoting </w:t>
      </w:r>
      <w:r w:rsidR="00DD7794">
        <w:t>the</w:t>
      </w:r>
      <w:r w:rsidR="003D60A8" w:rsidRPr="003D60A8">
        <w:t xml:space="preserve"> participation </w:t>
      </w:r>
      <w:r w:rsidR="00DD7794" w:rsidRPr="00603C4A">
        <w:t xml:space="preserve">and leadership of traditional knowledge holders </w:t>
      </w:r>
      <w:r w:rsidR="003D60A8" w:rsidRPr="003D60A8">
        <w:t xml:space="preserve">in GFCR-financed activities. </w:t>
      </w:r>
    </w:p>
    <w:p w14:paraId="2EA780A9" w14:textId="0582AFC2" w:rsidR="00A83557" w:rsidRPr="00AE6859" w:rsidRDefault="00A83557" w:rsidP="009F3C0F">
      <w:pPr>
        <w:pStyle w:val="ListParagraph"/>
        <w:numPr>
          <w:ilvl w:val="0"/>
          <w:numId w:val="4"/>
        </w:numPr>
        <w:spacing w:line="278" w:lineRule="auto"/>
      </w:pPr>
      <w:r w:rsidRPr="00A83557">
        <w:rPr>
          <w:b/>
          <w:bCs/>
        </w:rPr>
        <w:t xml:space="preserve">Support for </w:t>
      </w:r>
      <w:r>
        <w:rPr>
          <w:b/>
          <w:bCs/>
        </w:rPr>
        <w:t>i</w:t>
      </w:r>
      <w:r w:rsidRPr="00A83557">
        <w:rPr>
          <w:b/>
          <w:bCs/>
        </w:rPr>
        <w:t xml:space="preserve">ndigenous </w:t>
      </w:r>
      <w:r>
        <w:rPr>
          <w:b/>
          <w:bCs/>
        </w:rPr>
        <w:t>l</w:t>
      </w:r>
      <w:r w:rsidRPr="00A83557">
        <w:rPr>
          <w:b/>
          <w:bCs/>
        </w:rPr>
        <w:t>ivelihoods</w:t>
      </w:r>
      <w:r>
        <w:t xml:space="preserve">: </w:t>
      </w:r>
      <w:r w:rsidR="004002DB" w:rsidRPr="004002DB">
        <w:t>Supporting and improving the quality of life and livelihoods of indigenous peoples in coastal communities through GFCR's coral reef conservation programmes, projects, and promotion of sustainable resource use</w:t>
      </w:r>
      <w:r w:rsidR="009F3C0F">
        <w:t>.</w:t>
      </w:r>
    </w:p>
    <w:p w14:paraId="3C239C0C" w14:textId="64C3EC45" w:rsidR="00D20DFC" w:rsidRDefault="00D20DFC" w:rsidP="005E10AF">
      <w:pPr>
        <w:pStyle w:val="ListParagraph"/>
        <w:numPr>
          <w:ilvl w:val="0"/>
          <w:numId w:val="4"/>
        </w:numPr>
      </w:pPr>
      <w:r w:rsidRPr="008A56EF">
        <w:rPr>
          <w:b/>
          <w:bCs/>
        </w:rPr>
        <w:t xml:space="preserve">Gender </w:t>
      </w:r>
      <w:r w:rsidR="00A671FA">
        <w:rPr>
          <w:b/>
          <w:bCs/>
        </w:rPr>
        <w:t>responsiveness</w:t>
      </w:r>
      <w:r>
        <w:t xml:space="preserve">: </w:t>
      </w:r>
      <w:r w:rsidR="003711FB">
        <w:t>P</w:t>
      </w:r>
      <w:r w:rsidR="005A4A7E" w:rsidRPr="005A4A7E">
        <w:t>rioriti</w:t>
      </w:r>
      <w:r w:rsidR="0009684D">
        <w:t>sing</w:t>
      </w:r>
      <w:r w:rsidR="005A4A7E" w:rsidRPr="005A4A7E">
        <w:t xml:space="preserve"> </w:t>
      </w:r>
      <w:r w:rsidR="00DF4690">
        <w:t xml:space="preserve">the </w:t>
      </w:r>
      <w:r w:rsidR="00DF4690" w:rsidRPr="00DF4690">
        <w:t xml:space="preserve">empowerment of indigenous women within communities by </w:t>
      </w:r>
      <w:r w:rsidR="00231A87">
        <w:t xml:space="preserve">meaningfully engaging, </w:t>
      </w:r>
      <w:r w:rsidR="00DF4690" w:rsidRPr="00DF4690">
        <w:t>enhancing their access to resources, strengthening their decision-making roles, and recogni</w:t>
      </w:r>
      <w:r w:rsidR="00DF4690">
        <w:t>s</w:t>
      </w:r>
      <w:r w:rsidR="00DF4690" w:rsidRPr="00DF4690">
        <w:t>ing their contributions as stewards of natural resources and traditional knowledge</w:t>
      </w:r>
      <w:r w:rsidR="00DB475D" w:rsidRPr="00DB475D">
        <w:t>.</w:t>
      </w:r>
    </w:p>
    <w:p w14:paraId="388EBB89" w14:textId="27280D46" w:rsidR="00602349" w:rsidRDefault="00602349" w:rsidP="00D20DFC">
      <w:pPr>
        <w:pStyle w:val="ListParagraph"/>
        <w:numPr>
          <w:ilvl w:val="0"/>
          <w:numId w:val="4"/>
        </w:numPr>
      </w:pPr>
      <w:r w:rsidRPr="00217A35">
        <w:rPr>
          <w:b/>
          <w:bCs/>
        </w:rPr>
        <w:t>Empowerment</w:t>
      </w:r>
      <w:r>
        <w:t xml:space="preserve">: </w:t>
      </w:r>
      <w:r w:rsidR="00217A35">
        <w:t>Providing</w:t>
      </w:r>
      <w:r w:rsidR="004225C9" w:rsidRPr="004225C9">
        <w:t xml:space="preserve"> resources for capacity-building to empower </w:t>
      </w:r>
      <w:r w:rsidR="00217A35">
        <w:t>indigenous peoples in coastal communities</w:t>
      </w:r>
      <w:r w:rsidR="004225C9" w:rsidRPr="004225C9">
        <w:t xml:space="preserve"> to effectively interact and negotiate with local and national governments</w:t>
      </w:r>
      <w:r w:rsidR="00217A35">
        <w:t xml:space="preserve"> and other stakeholders, </w:t>
      </w:r>
      <w:r w:rsidR="00217A35" w:rsidRPr="00217A35">
        <w:t>addressing inequalities and supporting indigenous youth.</w:t>
      </w:r>
    </w:p>
    <w:p w14:paraId="7D5E7FC2" w14:textId="27CD5F27" w:rsidR="003E4010" w:rsidRDefault="003E4010" w:rsidP="009F6722">
      <w:pPr>
        <w:pStyle w:val="ListParagraph"/>
        <w:numPr>
          <w:ilvl w:val="0"/>
          <w:numId w:val="4"/>
        </w:numPr>
      </w:pPr>
      <w:r w:rsidRPr="00237D79">
        <w:rPr>
          <w:b/>
          <w:bCs/>
        </w:rPr>
        <w:t xml:space="preserve">Respect for </w:t>
      </w:r>
      <w:r w:rsidR="00237D79">
        <w:rPr>
          <w:b/>
          <w:bCs/>
        </w:rPr>
        <w:t>v</w:t>
      </w:r>
      <w:r w:rsidRPr="00237D79">
        <w:rPr>
          <w:b/>
          <w:bCs/>
        </w:rPr>
        <w:t xml:space="preserve">oluntary </w:t>
      </w:r>
      <w:r w:rsidR="00237D79">
        <w:rPr>
          <w:b/>
          <w:bCs/>
        </w:rPr>
        <w:t>i</w:t>
      </w:r>
      <w:r w:rsidRPr="00237D79">
        <w:rPr>
          <w:b/>
          <w:bCs/>
        </w:rPr>
        <w:t>solation</w:t>
      </w:r>
      <w:r>
        <w:t>:</w:t>
      </w:r>
      <w:r w:rsidR="00D20DFC">
        <w:t xml:space="preserve"> </w:t>
      </w:r>
      <w:r w:rsidR="00237D79">
        <w:t>Respecting t</w:t>
      </w:r>
      <w:r w:rsidR="00237D79" w:rsidRPr="00237D79">
        <w:t xml:space="preserve">he rights of indigenous peoples living in voluntary isolation, </w:t>
      </w:r>
      <w:r w:rsidR="00B253D5" w:rsidRPr="00B253D5">
        <w:t xml:space="preserve">ensuring their choice to remain isolated and </w:t>
      </w:r>
      <w:r w:rsidR="00237D79" w:rsidRPr="00237D79">
        <w:t>live according to their cultural practices</w:t>
      </w:r>
      <w:r w:rsidR="00B253D5">
        <w:t xml:space="preserve"> is honoured</w:t>
      </w:r>
      <w:r w:rsidR="00237D79" w:rsidRPr="00237D79">
        <w:t>.</w:t>
      </w:r>
    </w:p>
    <w:p w14:paraId="0BE6E563" w14:textId="534B6331" w:rsidR="00952DDA" w:rsidRDefault="00952DDA" w:rsidP="009F6722">
      <w:pPr>
        <w:pStyle w:val="ListParagraph"/>
        <w:numPr>
          <w:ilvl w:val="0"/>
          <w:numId w:val="4"/>
        </w:numPr>
      </w:pPr>
      <w:r>
        <w:rPr>
          <w:b/>
          <w:bCs/>
        </w:rPr>
        <w:t>Grievance redress</w:t>
      </w:r>
      <w:r w:rsidRPr="00952DDA">
        <w:t>:</w:t>
      </w:r>
      <w:r>
        <w:t xml:space="preserve"> </w:t>
      </w:r>
      <w:r w:rsidRPr="00952DDA">
        <w:t>Establishing accessible and culturally appropriate grievance redress mechanisms</w:t>
      </w:r>
      <w:r w:rsidR="00AF5561">
        <w:t xml:space="preserve"> </w:t>
      </w:r>
      <w:r w:rsidRPr="00952DDA">
        <w:t>for indigenous peoples affected by GFCR-financed activities</w:t>
      </w:r>
      <w:r>
        <w:t>.</w:t>
      </w:r>
    </w:p>
    <w:p w14:paraId="473F5E98" w14:textId="3B17AC11" w:rsidR="00B47D1D" w:rsidRDefault="00B47D1D" w:rsidP="00B47D1D">
      <w:pPr>
        <w:pStyle w:val="ListParagraph"/>
        <w:numPr>
          <w:ilvl w:val="0"/>
          <w:numId w:val="4"/>
        </w:numPr>
      </w:pPr>
      <w:r>
        <w:rPr>
          <w:b/>
          <w:bCs/>
        </w:rPr>
        <w:t>Prevention of human rights violations and abuses</w:t>
      </w:r>
      <w:r w:rsidRPr="00F91EB4">
        <w:t>:</w:t>
      </w:r>
      <w:r>
        <w:t xml:space="preserve"> P</w:t>
      </w:r>
      <w:r w:rsidRPr="0083139C">
        <w:t>revent</w:t>
      </w:r>
      <w:r>
        <w:t>ing</w:t>
      </w:r>
      <w:r w:rsidRPr="0083139C">
        <w:t xml:space="preserve"> and address</w:t>
      </w:r>
      <w:r>
        <w:t>ing</w:t>
      </w:r>
      <w:r w:rsidRPr="0083139C">
        <w:t xml:space="preserve"> human rights abuses by ceasing any adverse impacts they cause</w:t>
      </w:r>
      <w:r>
        <w:t xml:space="preserve"> and</w:t>
      </w:r>
      <w:r w:rsidRPr="0083139C">
        <w:t xml:space="preserve"> ensuring that relationships with governments and other entities do not lead to violations, taking decisive action, including restricting or terminating support, when necessary.</w:t>
      </w:r>
    </w:p>
    <w:p w14:paraId="3F466C18" w14:textId="2E261C6D" w:rsidR="00E56273" w:rsidRDefault="00E56273" w:rsidP="00E56273">
      <w:r w:rsidRPr="00E56273">
        <w:t xml:space="preserve">These principles </w:t>
      </w:r>
      <w:r>
        <w:t>aim to</w:t>
      </w:r>
      <w:r w:rsidRPr="00E56273">
        <w:t xml:space="preserve"> ensure that GFCR-financed activities respect and uphold the rights, cultures, and livelihoods of indigenous peoples, fostering meaningful engagement, equitable benefit-sharing, and sustainable development in coastal communities.</w:t>
      </w:r>
    </w:p>
    <w:p w14:paraId="7E2F979A" w14:textId="338DE132" w:rsidR="008F541C" w:rsidRDefault="00AA476A" w:rsidP="00522F9B">
      <w:pPr>
        <w:pStyle w:val="Heading1"/>
      </w:pPr>
      <w:bookmarkStart w:id="8" w:name="_Toc179971761"/>
      <w:r>
        <w:t xml:space="preserve">4. </w:t>
      </w:r>
      <w:r w:rsidR="00B94A99">
        <w:t>Requirements</w:t>
      </w:r>
      <w:bookmarkEnd w:id="8"/>
      <w:r w:rsidR="000D4D7E">
        <w:t xml:space="preserve"> </w:t>
      </w:r>
    </w:p>
    <w:p w14:paraId="7E3FE571" w14:textId="0A5DA9AD" w:rsidR="008B49F1" w:rsidRDefault="009A0BF7" w:rsidP="00836977">
      <w:r w:rsidRPr="009A0BF7">
        <w:t>The GFCR has established essential requirements to ensure the rights of indigenous peoples are effectively considered in its financed activities.</w:t>
      </w:r>
      <w:r w:rsidR="00CA3B4C">
        <w:t xml:space="preserve"> These </w:t>
      </w:r>
      <w:r w:rsidR="003F448D" w:rsidRPr="003F448D">
        <w:t xml:space="preserve">requirements are designed to guide GFCR Convening Agents, </w:t>
      </w:r>
      <w:r w:rsidR="003F448D">
        <w:t>co-implementer</w:t>
      </w:r>
      <w:r w:rsidR="00F1094C">
        <w:t>s</w:t>
      </w:r>
      <w:r w:rsidR="003F448D" w:rsidRPr="003F448D">
        <w:t>, and other stakeholders through the process of engaging with indigenous peoples across all stages of programme</w:t>
      </w:r>
      <w:r w:rsidR="008B49F1">
        <w:t xml:space="preserve"> and project</w:t>
      </w:r>
      <w:r w:rsidR="003F448D" w:rsidRPr="003F448D">
        <w:t xml:space="preserve"> design, preparation, and implementation</w:t>
      </w:r>
      <w:r w:rsidR="0009707C">
        <w:t>.</w:t>
      </w:r>
      <w:r w:rsidR="005F49CB">
        <w:t xml:space="preserve"> </w:t>
      </w:r>
    </w:p>
    <w:p w14:paraId="3317C493" w14:textId="77777777" w:rsidR="004A06E0" w:rsidRDefault="004A06E0" w:rsidP="004A06E0">
      <w:r w:rsidRPr="008464B6">
        <w:t xml:space="preserve">These requirements should be applied in conjunction with other relevant GFCR policies and guidelines, as well as applicable national laws and international agreements concerning </w:t>
      </w:r>
      <w:r w:rsidRPr="00B64D4D">
        <w:t>the rights of indigenous peoples.</w:t>
      </w:r>
    </w:p>
    <w:p w14:paraId="0B762732" w14:textId="2A8ACA08" w:rsidR="00D27E28" w:rsidRDefault="00D27E28" w:rsidP="004A06E0">
      <w:r>
        <w:t>Key steps and activities include:</w:t>
      </w:r>
    </w:p>
    <w:p w14:paraId="14815DC9" w14:textId="02AE2674" w:rsidR="00BB03D3" w:rsidRDefault="00A0739A" w:rsidP="00836977">
      <w:r w:rsidRPr="00A0739A">
        <w:rPr>
          <w:noProof/>
        </w:rPr>
        <w:lastRenderedPageBreak/>
        <w:drawing>
          <wp:inline distT="0" distB="0" distL="0" distR="0" wp14:anchorId="6E05D215" wp14:editId="3FF42748">
            <wp:extent cx="5407621" cy="6407451"/>
            <wp:effectExtent l="0" t="0" r="3175" b="0"/>
            <wp:docPr id="4" name="Picture 3" descr="A screenshot of a diagram&#10;&#10;Description automatically generated">
              <a:extLst xmlns:a="http://schemas.openxmlformats.org/drawingml/2006/main">
                <a:ext uri="{FF2B5EF4-FFF2-40B4-BE49-F238E27FC236}">
                  <a16:creationId xmlns:a16="http://schemas.microsoft.com/office/drawing/2014/main" id="{AFBDD622-71F0-4E4B-6C67-2608F03646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screenshot of a diagram&#10;&#10;Description automatically generated">
                      <a:extLst>
                        <a:ext uri="{FF2B5EF4-FFF2-40B4-BE49-F238E27FC236}">
                          <a16:creationId xmlns:a16="http://schemas.microsoft.com/office/drawing/2014/main" id="{AFBDD622-71F0-4E4B-6C67-2608F036468D}"/>
                        </a:ext>
                      </a:extLst>
                    </pic:cNvPr>
                    <pic:cNvPicPr>
                      <a:picLocks noChangeAspect="1"/>
                    </pic:cNvPicPr>
                  </pic:nvPicPr>
                  <pic:blipFill>
                    <a:blip r:embed="rId11"/>
                    <a:stretch>
                      <a:fillRect/>
                    </a:stretch>
                  </pic:blipFill>
                  <pic:spPr>
                    <a:xfrm>
                      <a:off x="0" y="0"/>
                      <a:ext cx="5407621" cy="6407451"/>
                    </a:xfrm>
                    <a:prstGeom prst="rect">
                      <a:avLst/>
                    </a:prstGeom>
                  </pic:spPr>
                </pic:pic>
              </a:graphicData>
            </a:graphic>
          </wp:inline>
        </w:drawing>
      </w:r>
    </w:p>
    <w:p w14:paraId="0322F936" w14:textId="77777777" w:rsidR="00A0739A" w:rsidRDefault="00A0739A" w:rsidP="00836977"/>
    <w:p w14:paraId="062718BB" w14:textId="234F56D7" w:rsidR="00522F9B" w:rsidRDefault="00C24DE5" w:rsidP="00522F9B">
      <w:pPr>
        <w:pStyle w:val="Heading2"/>
      </w:pPr>
      <w:bookmarkStart w:id="9" w:name="_Toc179971762"/>
      <w:r>
        <w:t xml:space="preserve">Step 1: </w:t>
      </w:r>
      <w:r w:rsidR="00C72AB4">
        <w:t>Identification</w:t>
      </w:r>
      <w:r w:rsidR="0002566F">
        <w:t xml:space="preserve"> of indigenous peoples</w:t>
      </w:r>
      <w:bookmarkEnd w:id="9"/>
    </w:p>
    <w:p w14:paraId="14E72A8F" w14:textId="406C5ABE" w:rsidR="008A04F0" w:rsidRDefault="0000365D" w:rsidP="008954F6">
      <w:r w:rsidRPr="0000365D">
        <w:t>The GFCR emphasi</w:t>
      </w:r>
      <w:r>
        <w:t>s</w:t>
      </w:r>
      <w:r w:rsidRPr="0000365D">
        <w:t>es the need for early and accurate identification of indigenous peoples potentially impacted by its financed activities</w:t>
      </w:r>
      <w:r w:rsidR="00920D68">
        <w:t xml:space="preserve">. </w:t>
      </w:r>
      <w:r w:rsidR="007C15F3" w:rsidRPr="007C15F3">
        <w:t>This identification stage lays the groundwork for meaningful consultation, FPIC, and the development of Indigenous Peoples Plans</w:t>
      </w:r>
      <w:r w:rsidR="008A04F0">
        <w:t xml:space="preserve"> and Planning Frameworks</w:t>
      </w:r>
      <w:r w:rsidR="007C15F3" w:rsidRPr="007C15F3">
        <w:t xml:space="preserve"> in subsequent steps. It also informs the establishment of appropriate grievance redress mechanisms and monitoring processes.</w:t>
      </w:r>
      <w:r w:rsidR="00C03712">
        <w:t xml:space="preserve"> </w:t>
      </w:r>
    </w:p>
    <w:p w14:paraId="05C8E797" w14:textId="5092D757" w:rsidR="008954F6" w:rsidRDefault="009601BF" w:rsidP="008954F6">
      <w:r>
        <w:t xml:space="preserve">Key </w:t>
      </w:r>
      <w:r w:rsidR="00EA136C">
        <w:t>requirements</w:t>
      </w:r>
      <w:r w:rsidR="008954F6">
        <w:t xml:space="preserve"> for Convening Agents include:</w:t>
      </w:r>
    </w:p>
    <w:p w14:paraId="287E457B" w14:textId="1BAB0A08" w:rsidR="000D1F3F" w:rsidRDefault="008954F6" w:rsidP="006A1EBA">
      <w:pPr>
        <w:pStyle w:val="ListParagraph"/>
        <w:numPr>
          <w:ilvl w:val="0"/>
          <w:numId w:val="28"/>
        </w:numPr>
      </w:pPr>
      <w:r w:rsidRPr="00922191">
        <w:rPr>
          <w:b/>
          <w:bCs/>
        </w:rPr>
        <w:t>Screening and mapping</w:t>
      </w:r>
      <w:r>
        <w:t xml:space="preserve">: </w:t>
      </w:r>
      <w:r w:rsidR="00922191" w:rsidRPr="00922191">
        <w:t>Conduct</w:t>
      </w:r>
      <w:r w:rsidR="000526CB">
        <w:t>ing</w:t>
      </w:r>
      <w:r w:rsidR="00922191" w:rsidRPr="00922191">
        <w:t xml:space="preserve"> thorough social and environmental screening to identify indigenous peoples in or with collective attachment to </w:t>
      </w:r>
      <w:r w:rsidR="00922191">
        <w:t>a programme or project</w:t>
      </w:r>
      <w:r w:rsidR="00922191" w:rsidRPr="00922191">
        <w:t xml:space="preserve"> </w:t>
      </w:r>
      <w:r w:rsidR="00922191" w:rsidRPr="00922191">
        <w:lastRenderedPageBreak/>
        <w:t>area. Perform</w:t>
      </w:r>
      <w:r w:rsidR="000526CB">
        <w:t>ing</w:t>
      </w:r>
      <w:r w:rsidR="00922191" w:rsidRPr="00922191">
        <w:t xml:space="preserve"> comprehensive stakeholder mapping to identify all relevant indigenous </w:t>
      </w:r>
      <w:r w:rsidR="008A04F0">
        <w:t>peoples’</w:t>
      </w:r>
      <w:r w:rsidR="00A11F08">
        <w:t xml:space="preserve"> groups</w:t>
      </w:r>
      <w:r w:rsidR="00922191" w:rsidRPr="00922191">
        <w:t xml:space="preserve">, </w:t>
      </w:r>
      <w:r w:rsidR="00514DA6">
        <w:t xml:space="preserve">formal and informal </w:t>
      </w:r>
      <w:r w:rsidR="00922191" w:rsidRPr="00922191">
        <w:t>leadership structures,</w:t>
      </w:r>
      <w:r w:rsidR="00726E39">
        <w:t xml:space="preserve"> community organisations or representation bodies,</w:t>
      </w:r>
      <w:r w:rsidR="00605EB1">
        <w:t xml:space="preserve"> </w:t>
      </w:r>
      <w:r w:rsidR="00C108A7">
        <w:t xml:space="preserve">and </w:t>
      </w:r>
      <w:r w:rsidR="00605EB1">
        <w:t>vulnerable sub-groups</w:t>
      </w:r>
      <w:r w:rsidR="00922191" w:rsidRPr="00922191">
        <w:t xml:space="preserve"> </w:t>
      </w:r>
      <w:r w:rsidR="00C108A7">
        <w:t>within communities</w:t>
      </w:r>
      <w:r w:rsidR="00922191" w:rsidRPr="00922191">
        <w:t>.</w:t>
      </w:r>
    </w:p>
    <w:p w14:paraId="2A344320" w14:textId="68CB7A21" w:rsidR="006A1EBA" w:rsidRDefault="006A1EBA" w:rsidP="00017E97">
      <w:pPr>
        <w:pStyle w:val="ListParagraph"/>
        <w:numPr>
          <w:ilvl w:val="0"/>
          <w:numId w:val="28"/>
        </w:numPr>
      </w:pPr>
      <w:r w:rsidRPr="0042101E">
        <w:rPr>
          <w:b/>
          <w:bCs/>
        </w:rPr>
        <w:t xml:space="preserve">Identification </w:t>
      </w:r>
      <w:r w:rsidR="000D1F3F" w:rsidRPr="0042101E">
        <w:rPr>
          <w:b/>
          <w:bCs/>
        </w:rPr>
        <w:t>criteria and process</w:t>
      </w:r>
      <w:r>
        <w:t>:</w:t>
      </w:r>
      <w:r w:rsidR="000D1F3F">
        <w:t xml:space="preserve"> </w:t>
      </w:r>
      <w:r w:rsidR="00943A0F">
        <w:t>Utilis</w:t>
      </w:r>
      <w:r w:rsidR="008D693A">
        <w:t>ing</w:t>
      </w:r>
      <w:r>
        <w:t xml:space="preserve"> the key attributes outlined in Section 2.1 as a guide for identifying indigenous peoples, including self-identification, collective attachment to lands and resources, distinct cultural systems, and language.</w:t>
      </w:r>
      <w:r w:rsidR="0042101E">
        <w:t xml:space="preserve"> </w:t>
      </w:r>
      <w:r>
        <w:t>Respect</w:t>
      </w:r>
      <w:r w:rsidR="008D693A">
        <w:t>ing</w:t>
      </w:r>
      <w:r>
        <w:t xml:space="preserve"> the principle of self-identification as the fundamental criterion for defining indigenous peoples.</w:t>
      </w:r>
      <w:r w:rsidR="004963F6">
        <w:t xml:space="preserve"> </w:t>
      </w:r>
      <w:r w:rsidR="004963F6" w:rsidRPr="004963F6">
        <w:t>Initiat</w:t>
      </w:r>
      <w:r w:rsidR="000526CB">
        <w:t>ing</w:t>
      </w:r>
      <w:r w:rsidR="004963F6" w:rsidRPr="004963F6">
        <w:t xml:space="preserve"> identification at the earliest stages of </w:t>
      </w:r>
      <w:r w:rsidR="00943A0F">
        <w:t>programme and project design</w:t>
      </w:r>
      <w:r w:rsidR="004963F6" w:rsidRPr="004963F6">
        <w:t>, ensuring the process is culturally appropriate and involves affected indigenous peoples and host governments.</w:t>
      </w:r>
    </w:p>
    <w:p w14:paraId="062ED6FC" w14:textId="4EFC29A2" w:rsidR="006A1EBA" w:rsidRDefault="00F21EEE" w:rsidP="005E32D0">
      <w:pPr>
        <w:pStyle w:val="ListParagraph"/>
        <w:numPr>
          <w:ilvl w:val="0"/>
          <w:numId w:val="28"/>
        </w:numPr>
      </w:pPr>
      <w:r w:rsidRPr="00C03712">
        <w:rPr>
          <w:b/>
          <w:bCs/>
        </w:rPr>
        <w:t>Preliminary impact assessment</w:t>
      </w:r>
      <w:r w:rsidR="006A1EBA">
        <w:t>:</w:t>
      </w:r>
      <w:r w:rsidR="007B3932">
        <w:t xml:space="preserve"> </w:t>
      </w:r>
      <w:r w:rsidR="006A1EBA">
        <w:t>Conduct</w:t>
      </w:r>
      <w:r w:rsidR="008D693A">
        <w:t>ing</w:t>
      </w:r>
      <w:r w:rsidR="006A1EBA">
        <w:t xml:space="preserve"> a</w:t>
      </w:r>
      <w:r w:rsidR="007B3932">
        <w:t>n initial</w:t>
      </w:r>
      <w:r w:rsidR="006A1EBA">
        <w:t xml:space="preserve"> </w:t>
      </w:r>
      <w:r w:rsidR="007E5F60">
        <w:t>targeted</w:t>
      </w:r>
      <w:r w:rsidR="006A1EBA">
        <w:t xml:space="preserve"> social assessment to understand the relative vulnerabilities of affected indigenous peoples and potential </w:t>
      </w:r>
      <w:r w:rsidR="007B3932">
        <w:t xml:space="preserve">programme or </w:t>
      </w:r>
      <w:r w:rsidR="006A1EBA">
        <w:t>project impacts.</w:t>
      </w:r>
      <w:r w:rsidR="0080753F">
        <w:t xml:space="preserve"> </w:t>
      </w:r>
      <w:r w:rsidR="0080753F" w:rsidRPr="0080753F">
        <w:t>Identify</w:t>
      </w:r>
      <w:r w:rsidR="000526CB">
        <w:t>ing</w:t>
      </w:r>
      <w:r w:rsidR="0080753F" w:rsidRPr="0080753F">
        <w:t xml:space="preserve"> any particularly vulnerable groups within the indigenous </w:t>
      </w:r>
      <w:r w:rsidR="000923C7">
        <w:t>peoples</w:t>
      </w:r>
      <w:r w:rsidR="00C03712">
        <w:t xml:space="preserve"> and</w:t>
      </w:r>
      <w:r w:rsidR="0080753F">
        <w:t xml:space="preserve"> consider </w:t>
      </w:r>
      <w:r w:rsidR="006A1EBA">
        <w:t>differentiated gender impacts</w:t>
      </w:r>
      <w:r w:rsidR="0080753F">
        <w:t>.</w:t>
      </w:r>
    </w:p>
    <w:p w14:paraId="06E4677C" w14:textId="3FE3A022" w:rsidR="00CE173B" w:rsidRDefault="006257E3" w:rsidP="00A30178">
      <w:pPr>
        <w:pStyle w:val="ListParagraph"/>
        <w:numPr>
          <w:ilvl w:val="0"/>
          <w:numId w:val="28"/>
        </w:numPr>
      </w:pPr>
      <w:r>
        <w:rPr>
          <w:b/>
          <w:bCs/>
        </w:rPr>
        <w:t>R</w:t>
      </w:r>
      <w:r w:rsidR="00DB5AD5" w:rsidRPr="00C03712">
        <w:rPr>
          <w:b/>
          <w:bCs/>
        </w:rPr>
        <w:t>eporting</w:t>
      </w:r>
      <w:r w:rsidR="00DB5AD5">
        <w:t xml:space="preserve">: </w:t>
      </w:r>
      <w:r w:rsidR="006A1EBA">
        <w:t>Clearly document</w:t>
      </w:r>
      <w:r w:rsidR="003239CB">
        <w:t>ing</w:t>
      </w:r>
      <w:r w:rsidR="006A1EBA">
        <w:t xml:space="preserve"> the identification process, criteria used, and findings.</w:t>
      </w:r>
      <w:r w:rsidR="00C2383E">
        <w:t xml:space="preserve"> </w:t>
      </w:r>
      <w:r w:rsidR="006A1EBA">
        <w:t>Includ</w:t>
      </w:r>
      <w:r w:rsidR="000526CB">
        <w:t>ing</w:t>
      </w:r>
      <w:r w:rsidR="006A1EBA">
        <w:t xml:space="preserve"> information on identified indigenous groups, their characteristics, and potential</w:t>
      </w:r>
      <w:r w:rsidR="00DB5AD5">
        <w:t xml:space="preserve"> programme and</w:t>
      </w:r>
      <w:r w:rsidR="006A1EBA">
        <w:t xml:space="preserve"> project impacts in proposals and planning documents.</w:t>
      </w:r>
    </w:p>
    <w:p w14:paraId="06EFA594" w14:textId="0B880D42" w:rsidR="008312E5" w:rsidRDefault="00C24DE5" w:rsidP="00FF00DC">
      <w:pPr>
        <w:pStyle w:val="Heading2"/>
      </w:pPr>
      <w:bookmarkStart w:id="10" w:name="_Toc179971763"/>
      <w:r>
        <w:t xml:space="preserve">Step 2: </w:t>
      </w:r>
      <w:r w:rsidR="00C72AB4">
        <w:t>Meaningful</w:t>
      </w:r>
      <w:r w:rsidR="008312E5">
        <w:t xml:space="preserve"> Engagement</w:t>
      </w:r>
      <w:bookmarkEnd w:id="10"/>
    </w:p>
    <w:p w14:paraId="197F9CD7" w14:textId="3E9E9888" w:rsidR="006F4FED" w:rsidRPr="003A76A3" w:rsidRDefault="002A7477" w:rsidP="006F4FED">
      <w:r w:rsidRPr="002A7477">
        <w:t xml:space="preserve">The GFCR </w:t>
      </w:r>
      <w:r w:rsidR="00A567B6">
        <w:t>acknowledges</w:t>
      </w:r>
      <w:r w:rsidRPr="002A7477">
        <w:t xml:space="preserve"> that meaningful engagement with indigenous peoples is crucial for the success and sustainability of its financed activities.</w:t>
      </w:r>
      <w:r w:rsidR="009E634C">
        <w:t xml:space="preserve"> </w:t>
      </w:r>
      <w:r w:rsidR="009E634C" w:rsidRPr="009E634C">
        <w:t> This engagement ensures program</w:t>
      </w:r>
      <w:r w:rsidR="009E634C">
        <w:t>me and project</w:t>
      </w:r>
      <w:r w:rsidR="009E634C" w:rsidRPr="009E634C">
        <w:t xml:space="preserve"> support, ownership, and reduced risk of delays or </w:t>
      </w:r>
      <w:r w:rsidR="00070D30">
        <w:t>grievances</w:t>
      </w:r>
      <w:r w:rsidR="009E634C">
        <w:t>.</w:t>
      </w:r>
      <w:r w:rsidRPr="002A7477">
        <w:t xml:space="preserve"> </w:t>
      </w:r>
      <w:r w:rsidR="002D2E07">
        <w:t>It</w:t>
      </w:r>
      <w:r w:rsidR="00643BCA">
        <w:t xml:space="preserve"> aims to make </w:t>
      </w:r>
      <w:r w:rsidRPr="002A7477">
        <w:t>indigenous peoples active participants in the decision-making processes that affect their lives and territories</w:t>
      </w:r>
      <w:r w:rsidR="006F4FED">
        <w:t>.</w:t>
      </w:r>
    </w:p>
    <w:p w14:paraId="4DB55BF9" w14:textId="7FA908E5" w:rsidR="009F3205" w:rsidRDefault="000A0E6F" w:rsidP="00701E55">
      <w:r w:rsidRPr="000A0E6F">
        <w:t>Th</w:t>
      </w:r>
      <w:r w:rsidR="00E20693">
        <w:t>e</w:t>
      </w:r>
      <w:r w:rsidRPr="000A0E6F">
        <w:t xml:space="preserve"> engagement process </w:t>
      </w:r>
      <w:r w:rsidR="003F09D0">
        <w:t>should begin</w:t>
      </w:r>
      <w:r w:rsidRPr="000A0E6F">
        <w:t xml:space="preserve"> as soon as is feasible</w:t>
      </w:r>
      <w:r w:rsidR="00962140">
        <w:t xml:space="preserve">, </w:t>
      </w:r>
      <w:r w:rsidR="00962140" w:rsidRPr="00962140">
        <w:t xml:space="preserve">prior to </w:t>
      </w:r>
      <w:r w:rsidR="00E20693">
        <w:t xml:space="preserve">the commencement of </w:t>
      </w:r>
      <w:r w:rsidR="00962140" w:rsidRPr="00962140">
        <w:t xml:space="preserve">any activities that may impact indigenous </w:t>
      </w:r>
      <w:r w:rsidR="00FD690E">
        <w:t xml:space="preserve">peoples, their </w:t>
      </w:r>
      <w:r w:rsidR="00962140" w:rsidRPr="00962140">
        <w:t>rights or</w:t>
      </w:r>
      <w:r w:rsidR="00FD690E">
        <w:t xml:space="preserve"> their</w:t>
      </w:r>
      <w:r w:rsidR="00962140" w:rsidRPr="00962140">
        <w:t xml:space="preserve"> </w:t>
      </w:r>
      <w:r w:rsidR="009F3205" w:rsidRPr="00962140">
        <w:t>interests</w:t>
      </w:r>
      <w:r w:rsidR="009F3205">
        <w:t xml:space="preserve"> and</w:t>
      </w:r>
      <w:r w:rsidR="00962140" w:rsidRPr="00962140">
        <w:t xml:space="preserve"> </w:t>
      </w:r>
      <w:r w:rsidR="00E20693">
        <w:t xml:space="preserve">should </w:t>
      </w:r>
      <w:r w:rsidR="00962140" w:rsidRPr="00962140">
        <w:t>continue throughout</w:t>
      </w:r>
      <w:r w:rsidR="00962140">
        <w:t xml:space="preserve"> </w:t>
      </w:r>
      <w:r w:rsidRPr="000A0E6F">
        <w:t xml:space="preserve">the life of the </w:t>
      </w:r>
      <w:r w:rsidR="00701E55">
        <w:t>programme or project</w:t>
      </w:r>
      <w:r w:rsidRPr="000A0E6F">
        <w:t xml:space="preserve">. </w:t>
      </w:r>
    </w:p>
    <w:p w14:paraId="078488E2" w14:textId="30FA23DA" w:rsidR="000A0E6F" w:rsidRDefault="000A0E6F" w:rsidP="00701E55">
      <w:r w:rsidRPr="000A0E6F">
        <w:t xml:space="preserve">The process </w:t>
      </w:r>
      <w:r w:rsidR="0039695E">
        <w:t>includes</w:t>
      </w:r>
      <w:r w:rsidRPr="000A0E6F">
        <w:t xml:space="preserve"> stakeholder analysis</w:t>
      </w:r>
      <w:r w:rsidR="002562E4">
        <w:t xml:space="preserve">, mapping </w:t>
      </w:r>
      <w:r w:rsidRPr="000A0E6F">
        <w:t>and engagement planning</w:t>
      </w:r>
      <w:r w:rsidR="002562E4">
        <w:t xml:space="preserve"> </w:t>
      </w:r>
      <w:r w:rsidR="00962140">
        <w:t>following</w:t>
      </w:r>
      <w:r w:rsidR="002562E4">
        <w:t xml:space="preserve"> initial </w:t>
      </w:r>
      <w:r w:rsidR="00161230">
        <w:t>consultations</w:t>
      </w:r>
      <w:r w:rsidRPr="000A0E6F">
        <w:t xml:space="preserve">, </w:t>
      </w:r>
      <w:r w:rsidR="00CF3A41" w:rsidRPr="00CF3A41">
        <w:t>as well as the development of communication strategies for effective information disclosure and ongoing, meaningful consultation</w:t>
      </w:r>
      <w:r w:rsidR="00FD690E">
        <w:rPr>
          <w:rStyle w:val="FootnoteReference"/>
        </w:rPr>
        <w:footnoteReference w:id="4"/>
      </w:r>
      <w:r w:rsidR="00116E6D">
        <w:t xml:space="preserve">. </w:t>
      </w:r>
      <w:r w:rsidR="00CF3A41">
        <w:t>All</w:t>
      </w:r>
      <w:r w:rsidR="00116E6D" w:rsidRPr="00116E6D">
        <w:t xml:space="preserve"> consultations should be conducted in local languages</w:t>
      </w:r>
      <w:r w:rsidR="00B837B7">
        <w:t xml:space="preserve"> </w:t>
      </w:r>
      <w:r w:rsidR="00B837B7" w:rsidRPr="00B837B7">
        <w:t>and in a culturally appropriate manner, with sensitivity to gender and intergenerational inclusivity, while respecting the customs, norms, and values of the affected communities through their chosen representatives.</w:t>
      </w:r>
    </w:p>
    <w:p w14:paraId="35ED023F" w14:textId="6BD38D04" w:rsidR="00665CF9" w:rsidRDefault="00CF3584" w:rsidP="00180E5E">
      <w:r w:rsidRPr="00CF3584">
        <w:t xml:space="preserve">Meaningful engagement with indigenous peoples requires additional considerations. </w:t>
      </w:r>
      <w:r w:rsidR="00362D3C">
        <w:t xml:space="preserve">Key requirements </w:t>
      </w:r>
      <w:r w:rsidRPr="00CF3584">
        <w:t xml:space="preserve">Convening Agents </w:t>
      </w:r>
      <w:r w:rsidR="00362D3C">
        <w:t>should</w:t>
      </w:r>
      <w:r w:rsidRPr="00CF3584">
        <w:t xml:space="preserve"> adhere to </w:t>
      </w:r>
      <w:r w:rsidR="00362D3C">
        <w:t>include</w:t>
      </w:r>
      <w:r w:rsidRPr="00CF3584">
        <w:t>:</w:t>
      </w:r>
    </w:p>
    <w:p w14:paraId="599D23DC" w14:textId="08C2B53E" w:rsidR="00746B48" w:rsidRDefault="00746B48" w:rsidP="00180E5E">
      <w:pPr>
        <w:pStyle w:val="ListParagraph"/>
        <w:numPr>
          <w:ilvl w:val="0"/>
          <w:numId w:val="29"/>
        </w:numPr>
      </w:pPr>
      <w:r w:rsidRPr="00746B48">
        <w:rPr>
          <w:b/>
          <w:bCs/>
        </w:rPr>
        <w:t>Representat</w:t>
      </w:r>
      <w:r w:rsidR="00675581">
        <w:rPr>
          <w:b/>
          <w:bCs/>
        </w:rPr>
        <w:t>ion</w:t>
      </w:r>
      <w:r>
        <w:t xml:space="preserve">: </w:t>
      </w:r>
      <w:r w:rsidR="00DF6886" w:rsidRPr="00DF6886">
        <w:t>Involv</w:t>
      </w:r>
      <w:r w:rsidR="003239CB">
        <w:t>ing</w:t>
      </w:r>
      <w:r w:rsidR="00DF6886" w:rsidRPr="00DF6886">
        <w:t xml:space="preserve"> indigenous peoples' representative bodies and organi</w:t>
      </w:r>
      <w:r w:rsidR="00362D3C">
        <w:t>s</w:t>
      </w:r>
      <w:r w:rsidR="00DF6886" w:rsidRPr="00DF6886">
        <w:t xml:space="preserve">ations (e.g., councils of elders, village councils, chieftains) identified in </w:t>
      </w:r>
      <w:r w:rsidR="00DF6886">
        <w:t xml:space="preserve">previously conducted </w:t>
      </w:r>
      <w:r w:rsidR="00DF6886" w:rsidRPr="00DF6886">
        <w:t>stakeholder mapping process</w:t>
      </w:r>
      <w:r w:rsidR="00362D3C">
        <w:t>es</w:t>
      </w:r>
      <w:r w:rsidR="00B04B68">
        <w:t>.</w:t>
      </w:r>
    </w:p>
    <w:p w14:paraId="205DFDF9" w14:textId="154AC0F7" w:rsidR="00F70D57" w:rsidRDefault="00746B48" w:rsidP="00F70D57">
      <w:pPr>
        <w:pStyle w:val="ListParagraph"/>
        <w:numPr>
          <w:ilvl w:val="0"/>
          <w:numId w:val="29"/>
        </w:numPr>
      </w:pPr>
      <w:r w:rsidRPr="00746B48">
        <w:rPr>
          <w:b/>
          <w:bCs/>
        </w:rPr>
        <w:t>Inclusive participation</w:t>
      </w:r>
      <w:r w:rsidRPr="00746B48">
        <w:t>: Ensur</w:t>
      </w:r>
      <w:r w:rsidR="003239CB">
        <w:t>ing</w:t>
      </w:r>
      <w:r w:rsidRPr="00746B48">
        <w:t xml:space="preserve"> engagement </w:t>
      </w:r>
      <w:r w:rsidR="00D963CB" w:rsidRPr="00D963CB">
        <w:t>of women, youth, elderly, and persons with disabilities</w:t>
      </w:r>
      <w:r w:rsidRPr="00746B48">
        <w:t>. Create spaces for direct participation of marginali</w:t>
      </w:r>
      <w:r>
        <w:t>s</w:t>
      </w:r>
      <w:r w:rsidRPr="00746B48">
        <w:t>ed groups within the community.</w:t>
      </w:r>
    </w:p>
    <w:p w14:paraId="1E7D455B" w14:textId="1C3A3C93" w:rsidR="00675581" w:rsidRDefault="00675581" w:rsidP="00F70D57">
      <w:pPr>
        <w:pStyle w:val="ListParagraph"/>
        <w:numPr>
          <w:ilvl w:val="0"/>
          <w:numId w:val="29"/>
        </w:numPr>
      </w:pPr>
      <w:r>
        <w:rPr>
          <w:b/>
          <w:bCs/>
        </w:rPr>
        <w:lastRenderedPageBreak/>
        <w:t>Capacity</w:t>
      </w:r>
      <w:r w:rsidRPr="00675581">
        <w:t>-</w:t>
      </w:r>
      <w:r w:rsidRPr="00953784">
        <w:rPr>
          <w:b/>
          <w:bCs/>
        </w:rPr>
        <w:t>building</w:t>
      </w:r>
      <w:r>
        <w:t xml:space="preserve">: </w:t>
      </w:r>
      <w:r w:rsidR="00FE5A8B" w:rsidRPr="00FE5A8B">
        <w:t>Assess</w:t>
      </w:r>
      <w:r w:rsidR="003239CB">
        <w:t>ing</w:t>
      </w:r>
      <w:r w:rsidR="00FE5A8B" w:rsidRPr="00FE5A8B">
        <w:t xml:space="preserve"> and enhanc</w:t>
      </w:r>
      <w:r w:rsidR="003239CB">
        <w:t>ing</w:t>
      </w:r>
      <w:r w:rsidR="00FE5A8B" w:rsidRPr="00FE5A8B">
        <w:t xml:space="preserve"> indigenous peoples' capacity to engage effectively. Implement communication and capacity-building program</w:t>
      </w:r>
      <w:r w:rsidR="00A27598">
        <w:t>me</w:t>
      </w:r>
      <w:r w:rsidR="00FE5A8B" w:rsidRPr="00FE5A8B">
        <w:t>s as needed</w:t>
      </w:r>
      <w:r w:rsidRPr="000A0E6F">
        <w:t>.</w:t>
      </w:r>
    </w:p>
    <w:p w14:paraId="3A4B66A4" w14:textId="11E85CE1" w:rsidR="00BC7DF7" w:rsidRDefault="00F70D57" w:rsidP="00F70D57">
      <w:pPr>
        <w:pStyle w:val="ListParagraph"/>
        <w:numPr>
          <w:ilvl w:val="0"/>
          <w:numId w:val="29"/>
        </w:numPr>
      </w:pPr>
      <w:r>
        <w:rPr>
          <w:b/>
          <w:bCs/>
        </w:rPr>
        <w:t>Adequate time</w:t>
      </w:r>
      <w:r w:rsidRPr="00F70D57">
        <w:t>:</w:t>
      </w:r>
      <w:r w:rsidR="000A0E6F" w:rsidRPr="000A0E6F">
        <w:t xml:space="preserve"> </w:t>
      </w:r>
      <w:r w:rsidR="0041796D" w:rsidRPr="0041796D">
        <w:t>Allow</w:t>
      </w:r>
      <w:r w:rsidR="003239CB">
        <w:t>ing</w:t>
      </w:r>
      <w:r w:rsidR="0041796D" w:rsidRPr="0041796D">
        <w:t xml:space="preserve"> sufficient time for </w:t>
      </w:r>
      <w:r w:rsidR="005A5077" w:rsidRPr="005A5077">
        <w:t>community-level internal deliberations and decision-making, acknowledging that these processes may be collective in nature and require extensive discussion, particularly when there are differing opinions or challenges within the community</w:t>
      </w:r>
      <w:r w:rsidR="000A0E6F" w:rsidRPr="000A0E6F">
        <w:t xml:space="preserve">. </w:t>
      </w:r>
    </w:p>
    <w:p w14:paraId="0F0A5943" w14:textId="6213FF5D" w:rsidR="001336A4" w:rsidRDefault="001F2AF2" w:rsidP="001336A4">
      <w:pPr>
        <w:pStyle w:val="ListParagraph"/>
        <w:numPr>
          <w:ilvl w:val="0"/>
          <w:numId w:val="29"/>
        </w:numPr>
      </w:pPr>
      <w:r w:rsidRPr="001F2AF2">
        <w:rPr>
          <w:b/>
          <w:bCs/>
        </w:rPr>
        <w:t>Free</w:t>
      </w:r>
      <w:r w:rsidR="00322CE9">
        <w:rPr>
          <w:b/>
          <w:bCs/>
        </w:rPr>
        <w:t>dom</w:t>
      </w:r>
      <w:r w:rsidRPr="001F2AF2">
        <w:rPr>
          <w:b/>
          <w:bCs/>
        </w:rPr>
        <w:t xml:space="preserve"> from interference</w:t>
      </w:r>
      <w:r>
        <w:t xml:space="preserve">: </w:t>
      </w:r>
      <w:r w:rsidR="00322CE9" w:rsidRPr="00322CE9">
        <w:t>Ensur</w:t>
      </w:r>
      <w:r w:rsidR="003239CB">
        <w:t>ing</w:t>
      </w:r>
      <w:r w:rsidR="00322CE9" w:rsidRPr="00322CE9">
        <w:t xml:space="preserve"> the consultation process is free from external manipulation, interference, coercion, and intimidation.</w:t>
      </w:r>
    </w:p>
    <w:p w14:paraId="36BD014D" w14:textId="75A68113" w:rsidR="000A0E6F" w:rsidRPr="000A0E6F" w:rsidRDefault="00B958B3" w:rsidP="00F12B1E">
      <w:pPr>
        <w:pStyle w:val="ListParagraph"/>
        <w:numPr>
          <w:ilvl w:val="0"/>
          <w:numId w:val="29"/>
        </w:numPr>
      </w:pPr>
      <w:r w:rsidRPr="67B7F88F">
        <w:rPr>
          <w:b/>
          <w:bCs/>
        </w:rPr>
        <w:t>Documentation</w:t>
      </w:r>
      <w:r>
        <w:t xml:space="preserve">: </w:t>
      </w:r>
      <w:r w:rsidR="00ED5993">
        <w:t>Record</w:t>
      </w:r>
      <w:r w:rsidR="003239CB">
        <w:t>ing</w:t>
      </w:r>
      <w:r w:rsidR="00ED5993">
        <w:t xml:space="preserve"> all engagement processes and outcomes, including how indigenous concerns and preferences are addressed in</w:t>
      </w:r>
      <w:r>
        <w:t xml:space="preserve"> programme and</w:t>
      </w:r>
      <w:r w:rsidR="001336A4">
        <w:t xml:space="preserve"> project design</w:t>
      </w:r>
      <w:r>
        <w:t xml:space="preserve">, </w:t>
      </w:r>
      <w:r w:rsidR="66FA9D64">
        <w:t>preparation,</w:t>
      </w:r>
      <w:r w:rsidR="001336A4">
        <w:t xml:space="preserve"> and implementation</w:t>
      </w:r>
      <w:r>
        <w:t xml:space="preserve"> stages</w:t>
      </w:r>
      <w:r w:rsidR="00FD34CB">
        <w:t>.</w:t>
      </w:r>
    </w:p>
    <w:p w14:paraId="1E0A3513" w14:textId="012FB16E" w:rsidR="00C72AB4" w:rsidRDefault="005801B3" w:rsidP="00C72AB4">
      <w:pPr>
        <w:pStyle w:val="Heading2"/>
      </w:pPr>
      <w:bookmarkStart w:id="11" w:name="_Toc179971764"/>
      <w:r>
        <w:t xml:space="preserve">Step 3: </w:t>
      </w:r>
      <w:r w:rsidR="00C72AB4">
        <w:t>Free, Prior, and Informed Consent (FPIC)</w:t>
      </w:r>
      <w:bookmarkEnd w:id="11"/>
    </w:p>
    <w:p w14:paraId="2AD4B08F" w14:textId="0D5D1809" w:rsidR="00693E63" w:rsidRDefault="00B56E7B" w:rsidP="00487E72">
      <w:r w:rsidRPr="00B56E7B">
        <w:t>The GFCR recogni</w:t>
      </w:r>
      <w:r>
        <w:t>s</w:t>
      </w:r>
      <w:r w:rsidRPr="00B56E7B">
        <w:t xml:space="preserve">es FPIC as a right of indigenous peoples and a fundamental principle in its engagement process. </w:t>
      </w:r>
      <w:r w:rsidR="005B5976" w:rsidRPr="005B5976">
        <w:t xml:space="preserve">FPIC is required when GFCR-financed activities may impact the lands, resources, livelihoods, or cultural heritage of indigenous </w:t>
      </w:r>
      <w:r w:rsidR="000923C7">
        <w:t>peoples</w:t>
      </w:r>
      <w:r w:rsidR="005B5976" w:rsidRPr="005B5976">
        <w:t xml:space="preserve">. This process is not a one-time event but an ongoing dialogue that fosters mutual understanding and respect throughout the </w:t>
      </w:r>
      <w:r w:rsidR="005B5976">
        <w:t>life of a programme or project</w:t>
      </w:r>
      <w:r w:rsidR="005B5976" w:rsidRPr="005B5976">
        <w:t>.</w:t>
      </w:r>
    </w:p>
    <w:p w14:paraId="7FC5B388" w14:textId="1FB2B8F7" w:rsidR="00E77D0F" w:rsidRDefault="00E77D0F" w:rsidP="00487E72">
      <w:r w:rsidRPr="00E77D0F">
        <w:t xml:space="preserve">FPIC is an iterative process that requires obtaining the consent of indigenous peoples before any </w:t>
      </w:r>
      <w:r w:rsidR="00A33679">
        <w:t>activity impacting</w:t>
      </w:r>
      <w:r w:rsidR="00823E13">
        <w:t xml:space="preserve"> indigenous peoples</w:t>
      </w:r>
      <w:r w:rsidRPr="00E77D0F">
        <w:t xml:space="preserve"> is </w:t>
      </w:r>
      <w:r w:rsidR="0015242C">
        <w:t>approved</w:t>
      </w:r>
      <w:r w:rsidRPr="00E77D0F">
        <w:t xml:space="preserve"> for GFCR financing. It is based on indigenous peoples' own independent deliberations and decision-making processes, free from coercion or intimidation. </w:t>
      </w:r>
    </w:p>
    <w:p w14:paraId="5279E1F6" w14:textId="67E6773F" w:rsidR="00B56E7B" w:rsidRDefault="00B56E7B" w:rsidP="00487E72">
      <w:r w:rsidRPr="00B56E7B">
        <w:t xml:space="preserve">Key elements of </w:t>
      </w:r>
      <w:r w:rsidR="00F30325">
        <w:t xml:space="preserve">the </w:t>
      </w:r>
      <w:r w:rsidRPr="00B56E7B">
        <w:t xml:space="preserve">FPIC </w:t>
      </w:r>
      <w:r w:rsidR="00F30325">
        <w:t xml:space="preserve">process </w:t>
      </w:r>
      <w:r w:rsidRPr="00B56E7B">
        <w:t>for Convening Agents include:</w:t>
      </w:r>
    </w:p>
    <w:p w14:paraId="47A0F8FD" w14:textId="64239D4A" w:rsidR="00F30325" w:rsidRDefault="007B4578" w:rsidP="00F30325">
      <w:pPr>
        <w:pStyle w:val="ListParagraph"/>
        <w:numPr>
          <w:ilvl w:val="0"/>
          <w:numId w:val="30"/>
        </w:numPr>
      </w:pPr>
      <w:r w:rsidRPr="007B4578">
        <w:rPr>
          <w:b/>
          <w:bCs/>
        </w:rPr>
        <w:t>Meaningful engagement</w:t>
      </w:r>
      <w:r>
        <w:t xml:space="preserve">: </w:t>
      </w:r>
      <w:r w:rsidR="00093BA7" w:rsidRPr="00093BA7">
        <w:t>Conduct</w:t>
      </w:r>
      <w:r w:rsidR="00823E13">
        <w:t>ing</w:t>
      </w:r>
      <w:r w:rsidR="00093BA7" w:rsidRPr="00093BA7">
        <w:t xml:space="preserve"> transparent and inclusive consultations with indigenous peoples prior to </w:t>
      </w:r>
      <w:r w:rsidR="00093BA7">
        <w:t xml:space="preserve">programme or </w:t>
      </w:r>
      <w:r w:rsidR="00093BA7" w:rsidRPr="00093BA7">
        <w:t>project approval, as detailed in Step 2, ensuring the process is free from coercion or intimidation.</w:t>
      </w:r>
    </w:p>
    <w:p w14:paraId="4A48EB44" w14:textId="37C769E4" w:rsidR="001B51D9" w:rsidRDefault="00093BA7" w:rsidP="00AC77D1">
      <w:pPr>
        <w:pStyle w:val="ListParagraph"/>
        <w:numPr>
          <w:ilvl w:val="0"/>
          <w:numId w:val="30"/>
        </w:numPr>
      </w:pPr>
      <w:r w:rsidRPr="001B51D9">
        <w:rPr>
          <w:b/>
          <w:bCs/>
        </w:rPr>
        <w:t>Legal alignment</w:t>
      </w:r>
      <w:r w:rsidR="00C46A3B">
        <w:t xml:space="preserve">: </w:t>
      </w:r>
      <w:r w:rsidR="001B51D9" w:rsidRPr="001B51D9">
        <w:t>Demonstrat</w:t>
      </w:r>
      <w:r w:rsidR="00823E13">
        <w:t>ing</w:t>
      </w:r>
      <w:r w:rsidR="001B51D9" w:rsidRPr="001B51D9">
        <w:t xml:space="preserve"> how proposed activities comply with applicable national laws and international agreements on indigenous peoples' rights, particularly regarding FPIC processes.</w:t>
      </w:r>
    </w:p>
    <w:p w14:paraId="3C024CF7" w14:textId="46BCA3D8" w:rsidR="00D7014B" w:rsidRDefault="00D7014B" w:rsidP="00D7014B">
      <w:pPr>
        <w:pStyle w:val="ListParagraph"/>
        <w:numPr>
          <w:ilvl w:val="0"/>
          <w:numId w:val="30"/>
        </w:numPr>
      </w:pPr>
      <w:r>
        <w:rPr>
          <w:b/>
          <w:bCs/>
        </w:rPr>
        <w:t>Transparent information sharing</w:t>
      </w:r>
      <w:r w:rsidRPr="00C913BC">
        <w:t>:</w:t>
      </w:r>
      <w:r>
        <w:t xml:space="preserve"> </w:t>
      </w:r>
      <w:r w:rsidRPr="00C913BC">
        <w:t>Ensur</w:t>
      </w:r>
      <w:r w:rsidR="00EB48F8">
        <w:t>ing</w:t>
      </w:r>
      <w:r w:rsidRPr="00C913BC">
        <w:t xml:space="preserve"> that affected indigenous peoples are informed of and understand</w:t>
      </w:r>
      <w:r>
        <w:t xml:space="preserve"> </w:t>
      </w:r>
      <w:r w:rsidRPr="00C913BC">
        <w:t xml:space="preserve">their rights </w:t>
      </w:r>
      <w:r w:rsidRPr="00413E2E">
        <w:t>as per applicable laws, international treaties, and agreements</w:t>
      </w:r>
      <w:r>
        <w:t xml:space="preserve">, </w:t>
      </w:r>
      <w:r w:rsidRPr="00413E2E">
        <w:t>scope, nature, and potential impacts of proposed GFCR-financed activitie</w:t>
      </w:r>
      <w:r>
        <w:t>s, and t</w:t>
      </w:r>
      <w:r w:rsidRPr="00D7014B">
        <w:t>heir rights and options within the FPIC process</w:t>
      </w:r>
      <w:r>
        <w:t>.</w:t>
      </w:r>
    </w:p>
    <w:p w14:paraId="15A4F3CB" w14:textId="6605B6E0" w:rsidR="00D24188" w:rsidRDefault="00D24188" w:rsidP="00D24188">
      <w:pPr>
        <w:pStyle w:val="ListParagraph"/>
        <w:numPr>
          <w:ilvl w:val="0"/>
          <w:numId w:val="30"/>
        </w:numPr>
      </w:pPr>
      <w:r>
        <w:rPr>
          <w:b/>
          <w:bCs/>
        </w:rPr>
        <w:t>Documentation</w:t>
      </w:r>
      <w:r w:rsidRPr="001B51D9">
        <w:t xml:space="preserve">: </w:t>
      </w:r>
      <w:r>
        <w:t>Record</w:t>
      </w:r>
      <w:r w:rsidR="00EB48F8">
        <w:t>ing</w:t>
      </w:r>
      <w:r w:rsidRPr="001B51D9">
        <w:t xml:space="preserve"> the involvement of indigenous peoples, especially women</w:t>
      </w:r>
      <w:r>
        <w:t xml:space="preserve"> </w:t>
      </w:r>
      <w:r w:rsidRPr="001B51D9">
        <w:t xml:space="preserve">and youth, in shaping and implementing GFCR-financed activities. </w:t>
      </w:r>
      <w:r w:rsidR="00406D1A" w:rsidRPr="00406D1A">
        <w:t>Provid</w:t>
      </w:r>
      <w:r w:rsidR="00EB48F8">
        <w:t>ing</w:t>
      </w:r>
      <w:r w:rsidR="00406D1A" w:rsidRPr="00406D1A">
        <w:t xml:space="preserve"> detailed outcomes of all consultation processes. Includ</w:t>
      </w:r>
      <w:r w:rsidR="00EB48F8">
        <w:t>ing</w:t>
      </w:r>
      <w:r w:rsidR="00406D1A" w:rsidRPr="00406D1A">
        <w:t xml:space="preserve"> information on identified indigenous groups, their characteristics, and potential programme and project impacts in proposals and planning documents.</w:t>
      </w:r>
    </w:p>
    <w:p w14:paraId="0B2FFA56" w14:textId="0B8BDE24" w:rsidR="00C46A3B" w:rsidRDefault="00C46A3B" w:rsidP="00C46A3B">
      <w:pPr>
        <w:pStyle w:val="ListParagraph"/>
        <w:numPr>
          <w:ilvl w:val="0"/>
          <w:numId w:val="30"/>
        </w:numPr>
      </w:pPr>
      <w:r w:rsidRPr="0019774B">
        <w:rPr>
          <w:b/>
          <w:bCs/>
        </w:rPr>
        <w:t>Evidence of consent</w:t>
      </w:r>
      <w:r>
        <w:t xml:space="preserve">: </w:t>
      </w:r>
      <w:r w:rsidR="0019774B" w:rsidRPr="0019774B">
        <w:t>Submit</w:t>
      </w:r>
      <w:r w:rsidR="00F67559">
        <w:t>ting</w:t>
      </w:r>
      <w:r w:rsidR="0019774B" w:rsidRPr="0019774B">
        <w:t xml:space="preserve"> evidence of the mutually accepted FPIC process between implementing entities and affected communities, including any agreements resulting from negotiations.</w:t>
      </w:r>
    </w:p>
    <w:p w14:paraId="63D489DA" w14:textId="671CA928" w:rsidR="00A35F8F" w:rsidRDefault="0019774B" w:rsidP="00C46A3B">
      <w:pPr>
        <w:pStyle w:val="ListParagraph"/>
        <w:numPr>
          <w:ilvl w:val="0"/>
          <w:numId w:val="30"/>
        </w:numPr>
      </w:pPr>
      <w:r w:rsidRPr="0019774B">
        <w:rPr>
          <w:b/>
          <w:bCs/>
        </w:rPr>
        <w:t>Respect for indigenous rights</w:t>
      </w:r>
      <w:r w:rsidRPr="0019774B">
        <w:t>: Acknowledg</w:t>
      </w:r>
      <w:r w:rsidR="00F67559">
        <w:t>ing</w:t>
      </w:r>
      <w:r w:rsidRPr="0019774B">
        <w:t xml:space="preserve"> and respect</w:t>
      </w:r>
      <w:r w:rsidR="00F67559">
        <w:t>ing</w:t>
      </w:r>
      <w:r w:rsidRPr="0019774B">
        <w:t xml:space="preserve"> indigenous peoples' right to withhold consent throughout the </w:t>
      </w:r>
      <w:r>
        <w:t xml:space="preserve">programme or </w:t>
      </w:r>
      <w:r w:rsidRPr="0019774B">
        <w:t xml:space="preserve">project lifecycle. </w:t>
      </w:r>
      <w:r w:rsidR="0099591E" w:rsidRPr="0099591E">
        <w:t xml:space="preserve">FPIC does not require unanimous agreement; it can be achieved even in the presence of differing opinions within </w:t>
      </w:r>
      <w:r w:rsidR="0099591E">
        <w:t>a</w:t>
      </w:r>
      <w:r w:rsidR="0099591E" w:rsidRPr="0099591E">
        <w:t xml:space="preserve"> community.</w:t>
      </w:r>
    </w:p>
    <w:p w14:paraId="7AF1B624" w14:textId="31CD71A0" w:rsidR="00AB2782" w:rsidRDefault="00AB2782" w:rsidP="004A0A5F">
      <w:pPr>
        <w:pStyle w:val="ListParagraph"/>
        <w:numPr>
          <w:ilvl w:val="0"/>
          <w:numId w:val="30"/>
        </w:numPr>
      </w:pPr>
      <w:r w:rsidRPr="00AB2782">
        <w:rPr>
          <w:b/>
          <w:bCs/>
        </w:rPr>
        <w:lastRenderedPageBreak/>
        <w:t>Equitable compensation and development</w:t>
      </w:r>
      <w:r w:rsidRPr="00AB2782">
        <w:t xml:space="preserve">: </w:t>
      </w:r>
      <w:r>
        <w:t>E</w:t>
      </w:r>
      <w:r w:rsidRPr="00AB2782">
        <w:t>nsur</w:t>
      </w:r>
      <w:r w:rsidR="00F67559">
        <w:t>ing</w:t>
      </w:r>
      <w:r w:rsidRPr="00AB2782">
        <w:t xml:space="preserve"> fair compensation and culturally appropriate sustainable development opportunities for affected indigenous people</w:t>
      </w:r>
      <w:r w:rsidR="00DA2622">
        <w:t>s</w:t>
      </w:r>
      <w:r>
        <w:t>, when applicable (e.g., w</w:t>
      </w:r>
      <w:r w:rsidRPr="00AB2782">
        <w:t>hen commercial development of indigenous lands or resources is proposed</w:t>
      </w:r>
      <w:r>
        <w:t>).</w:t>
      </w:r>
    </w:p>
    <w:p w14:paraId="5A3F5A1D" w14:textId="27127248" w:rsidR="00E97649" w:rsidRDefault="00431391" w:rsidP="00E97649">
      <w:r w:rsidRPr="00431391">
        <w:t>These requirements apply particularly in circumstances involving</w:t>
      </w:r>
      <w:r w:rsidR="00E97649">
        <w:t>:</w:t>
      </w:r>
    </w:p>
    <w:p w14:paraId="4B70EC77" w14:textId="643D88D8" w:rsidR="00E97649" w:rsidRDefault="00E97649" w:rsidP="00E97649">
      <w:pPr>
        <w:pStyle w:val="ListParagraph"/>
        <w:numPr>
          <w:ilvl w:val="0"/>
          <w:numId w:val="32"/>
        </w:numPr>
      </w:pPr>
      <w:r>
        <w:t xml:space="preserve">Impacts on </w:t>
      </w:r>
      <w:r w:rsidRPr="0091382F">
        <w:rPr>
          <w:b/>
          <w:bCs/>
        </w:rPr>
        <w:t>lands and resources</w:t>
      </w:r>
      <w:r>
        <w:t xml:space="preserve"> subject to traditional ownership or customary use</w:t>
      </w:r>
      <w:r w:rsidR="00796CE1">
        <w:t>.</w:t>
      </w:r>
    </w:p>
    <w:p w14:paraId="462C7A94" w14:textId="77777777" w:rsidR="00E97649" w:rsidRDefault="00E97649" w:rsidP="00E97649">
      <w:pPr>
        <w:pStyle w:val="ListParagraph"/>
        <w:numPr>
          <w:ilvl w:val="0"/>
          <w:numId w:val="32"/>
        </w:numPr>
      </w:pPr>
      <w:r>
        <w:t xml:space="preserve">Any form of </w:t>
      </w:r>
      <w:r w:rsidRPr="0091382F">
        <w:rPr>
          <w:b/>
          <w:bCs/>
        </w:rPr>
        <w:t>relocation or displacement</w:t>
      </w:r>
      <w:r>
        <w:t xml:space="preserve"> (to be avoided whenever possible).</w:t>
      </w:r>
    </w:p>
    <w:p w14:paraId="33676871" w14:textId="7B35E805" w:rsidR="00E97649" w:rsidRDefault="00E97649" w:rsidP="007D12A1">
      <w:pPr>
        <w:pStyle w:val="ListParagraph"/>
        <w:numPr>
          <w:ilvl w:val="0"/>
          <w:numId w:val="32"/>
        </w:numPr>
      </w:pPr>
      <w:r>
        <w:t xml:space="preserve">Potential impacts on </w:t>
      </w:r>
      <w:r w:rsidRPr="67B7F88F">
        <w:rPr>
          <w:b/>
          <w:bCs/>
        </w:rPr>
        <w:t>cultural heritage</w:t>
      </w:r>
      <w:r>
        <w:t>, including</w:t>
      </w:r>
      <w:r w:rsidR="007D12A1">
        <w:t xml:space="preserve"> physical elements (e</w:t>
      </w:r>
      <w:r w:rsidR="00B60E31">
        <w:t xml:space="preserve">.g., natural areas with cultural and/or spiritual value, sacred groves, sacred bodies of water and waterways, sacred mountains, sacred trees, sacred rocks, burial </w:t>
      </w:r>
      <w:bookmarkStart w:id="12" w:name="_Int_LQUFcq93"/>
      <w:r w:rsidR="00B60E31">
        <w:t>grounds</w:t>
      </w:r>
      <w:bookmarkEnd w:id="12"/>
      <w:r w:rsidR="00B60E31">
        <w:t xml:space="preserve"> and sites,</w:t>
      </w:r>
      <w:r w:rsidR="006A5117">
        <w:t xml:space="preserve"> etc.) and non-physical expressions of culture (e.g., </w:t>
      </w:r>
      <w:r w:rsidR="00B60E31">
        <w:t xml:space="preserve">traditions, language, identity, </w:t>
      </w:r>
      <w:r w:rsidR="00055615">
        <w:t>or ceremonial or spiritual practices</w:t>
      </w:r>
      <w:r w:rsidR="005259F3">
        <w:t>)</w:t>
      </w:r>
      <w:r>
        <w:t>.</w:t>
      </w:r>
    </w:p>
    <w:p w14:paraId="211E8760" w14:textId="77777777" w:rsidR="00E97649" w:rsidRDefault="00E97649" w:rsidP="00E97649">
      <w:pPr>
        <w:pStyle w:val="ListParagraph"/>
        <w:numPr>
          <w:ilvl w:val="0"/>
          <w:numId w:val="32"/>
        </w:numPr>
      </w:pPr>
      <w:r w:rsidRPr="0091382F">
        <w:rPr>
          <w:b/>
          <w:bCs/>
        </w:rPr>
        <w:t>Commercial</w:t>
      </w:r>
      <w:r>
        <w:t xml:space="preserve"> use of indigenous peoples' </w:t>
      </w:r>
      <w:r w:rsidRPr="0091382F">
        <w:rPr>
          <w:b/>
          <w:bCs/>
        </w:rPr>
        <w:t>cultural heritage</w:t>
      </w:r>
      <w:r>
        <w:t>.</w:t>
      </w:r>
    </w:p>
    <w:p w14:paraId="2716EB66" w14:textId="406A1ADE" w:rsidR="005337C7" w:rsidRPr="00C05D42" w:rsidRDefault="0076504B" w:rsidP="00067FBF">
      <w:pPr>
        <w:pStyle w:val="ListParagraph"/>
        <w:numPr>
          <w:ilvl w:val="0"/>
          <w:numId w:val="32"/>
        </w:numPr>
      </w:pPr>
      <w:r w:rsidRPr="0076504B">
        <w:t xml:space="preserve">Potential impacts on </w:t>
      </w:r>
      <w:r w:rsidR="00295BCF" w:rsidRPr="0091382F">
        <w:rPr>
          <w:b/>
          <w:bCs/>
        </w:rPr>
        <w:t>peoples in voluntary isolation</w:t>
      </w:r>
      <w:r w:rsidR="00AA3365" w:rsidRPr="00AA3365">
        <w:t>,</w:t>
      </w:r>
      <w:r w:rsidR="00295BCF" w:rsidRPr="00295BCF">
        <w:t xml:space="preserve"> </w:t>
      </w:r>
      <w:r w:rsidR="000B4065">
        <w:t xml:space="preserve">where </w:t>
      </w:r>
      <w:r w:rsidR="000B4065" w:rsidRPr="000B4065">
        <w:t>appropriate measures must be taken to protect their lands, territories, environment, health, and culture</w:t>
      </w:r>
      <w:r w:rsidR="000B4065">
        <w:t xml:space="preserve"> and a</w:t>
      </w:r>
      <w:r w:rsidR="000B4065" w:rsidRPr="000B4065">
        <w:t>ny undesired contact resulting from GFCR-financed activities must be strictly avoided</w:t>
      </w:r>
      <w:r w:rsidRPr="0076504B">
        <w:t>.</w:t>
      </w:r>
    </w:p>
    <w:p w14:paraId="5DB78046" w14:textId="238E5D96" w:rsidR="00D67348" w:rsidRDefault="00A94B6E" w:rsidP="0017684B">
      <w:pPr>
        <w:pStyle w:val="Heading2"/>
      </w:pPr>
      <w:bookmarkStart w:id="13" w:name="_Toc179971765"/>
      <w:r>
        <w:t xml:space="preserve">Step 4: </w:t>
      </w:r>
      <w:r w:rsidR="00D67348">
        <w:t>Indigenous Peoples Plans and Planning Frameworks</w:t>
      </w:r>
      <w:bookmarkEnd w:id="13"/>
    </w:p>
    <w:p w14:paraId="2389E8C9" w14:textId="3111F4CF" w:rsidR="0003584A" w:rsidRDefault="004F7482" w:rsidP="002C3A0D">
      <w:r w:rsidRPr="004F7482">
        <w:t xml:space="preserve">The GFCR </w:t>
      </w:r>
      <w:r w:rsidR="008C7811">
        <w:t>requires</w:t>
      </w:r>
      <w:r w:rsidRPr="004F7482">
        <w:t xml:space="preserve"> the development of Indigenous Peoples Plans (IPPs) </w:t>
      </w:r>
      <w:r w:rsidR="007707F8">
        <w:t xml:space="preserve">or </w:t>
      </w:r>
      <w:r w:rsidR="007707F8" w:rsidRPr="007707F8">
        <w:t>Indigenous Peoples Planning Frameworks (IPPFs)</w:t>
      </w:r>
      <w:r w:rsidR="007707F8">
        <w:t xml:space="preserve"> </w:t>
      </w:r>
      <w:r w:rsidRPr="004F7482">
        <w:t xml:space="preserve">for </w:t>
      </w:r>
      <w:r w:rsidR="00CC3F3C">
        <w:t xml:space="preserve">programmes or </w:t>
      </w:r>
      <w:r w:rsidRPr="004F7482">
        <w:t xml:space="preserve">projects that may impact indigenous </w:t>
      </w:r>
      <w:r w:rsidR="000923C7">
        <w:t>peoples</w:t>
      </w:r>
      <w:r w:rsidRPr="004F7482">
        <w:t xml:space="preserve">. </w:t>
      </w:r>
      <w:r w:rsidR="00842D13" w:rsidRPr="00842D13">
        <w:t xml:space="preserve">These plans should be proportionate to the potential risks and impacts, complementing </w:t>
      </w:r>
      <w:r w:rsidR="0089379F">
        <w:t xml:space="preserve">environmental and </w:t>
      </w:r>
      <w:r w:rsidR="00842D13" w:rsidRPr="00842D13">
        <w:t>social assessments and providing specific guidance on addressing the needs of affected indigenous peoples.</w:t>
      </w:r>
    </w:p>
    <w:tbl>
      <w:tblPr>
        <w:tblStyle w:val="TableGrid"/>
        <w:tblW w:w="0" w:type="auto"/>
        <w:tblLook w:val="04A0" w:firstRow="1" w:lastRow="0" w:firstColumn="1" w:lastColumn="0" w:noHBand="0" w:noVBand="1"/>
      </w:tblPr>
      <w:tblGrid>
        <w:gridCol w:w="8996"/>
      </w:tblGrid>
      <w:tr w:rsidR="00124D5C" w14:paraId="6A929D22" w14:textId="77777777" w:rsidTr="00025D5D">
        <w:tc>
          <w:tcPr>
            <w:tcW w:w="9016" w:type="dxa"/>
            <w:tcBorders>
              <w:top w:val="double" w:sz="4" w:space="0" w:color="auto"/>
              <w:left w:val="double" w:sz="4" w:space="0" w:color="auto"/>
              <w:bottom w:val="double" w:sz="4" w:space="0" w:color="auto"/>
              <w:right w:val="double" w:sz="4" w:space="0" w:color="auto"/>
            </w:tcBorders>
            <w:tcMar>
              <w:top w:w="170" w:type="dxa"/>
              <w:left w:w="170" w:type="dxa"/>
              <w:bottom w:w="170" w:type="dxa"/>
              <w:right w:w="170" w:type="dxa"/>
            </w:tcMar>
          </w:tcPr>
          <w:p w14:paraId="3124B48A" w14:textId="15F2A9AD" w:rsidR="00124D5C" w:rsidRDefault="00124D5C" w:rsidP="00025D5D">
            <w:pPr>
              <w:rPr>
                <w:b/>
                <w:bCs/>
                <w:sz w:val="20"/>
                <w:szCs w:val="20"/>
              </w:rPr>
            </w:pPr>
            <w:r w:rsidRPr="00CF6971">
              <w:rPr>
                <w:b/>
                <w:bCs/>
                <w:sz w:val="20"/>
                <w:szCs w:val="20"/>
              </w:rPr>
              <w:t>BOX 1</w:t>
            </w:r>
            <w:r>
              <w:rPr>
                <w:b/>
                <w:bCs/>
                <w:sz w:val="20"/>
                <w:szCs w:val="20"/>
              </w:rPr>
              <w:t>:</w:t>
            </w:r>
            <w:r w:rsidRPr="00CF6971">
              <w:rPr>
                <w:b/>
                <w:bCs/>
                <w:sz w:val="20"/>
                <w:szCs w:val="20"/>
              </w:rPr>
              <w:t xml:space="preserve"> </w:t>
            </w:r>
            <w:r w:rsidRPr="00BC65CE">
              <w:rPr>
                <w:b/>
                <w:bCs/>
                <w:sz w:val="20"/>
                <w:szCs w:val="20"/>
              </w:rPr>
              <w:t>IPPFs</w:t>
            </w:r>
            <w:r w:rsidR="007C14D1">
              <w:rPr>
                <w:b/>
                <w:bCs/>
                <w:sz w:val="20"/>
                <w:szCs w:val="20"/>
              </w:rPr>
              <w:t xml:space="preserve"> vs IPPs</w:t>
            </w:r>
          </w:p>
          <w:p w14:paraId="682EDD95" w14:textId="77777777" w:rsidR="00124D5C" w:rsidRDefault="00124D5C" w:rsidP="00025D5D">
            <w:pPr>
              <w:rPr>
                <w:b/>
                <w:bCs/>
                <w:sz w:val="20"/>
                <w:szCs w:val="20"/>
              </w:rPr>
            </w:pPr>
          </w:p>
          <w:p w14:paraId="68F799F5" w14:textId="09678867" w:rsidR="00124D5C" w:rsidRDefault="00124D5C" w:rsidP="00025D5D">
            <w:pPr>
              <w:rPr>
                <w:sz w:val="20"/>
                <w:szCs w:val="20"/>
              </w:rPr>
            </w:pPr>
            <w:r w:rsidRPr="00BC65CE">
              <w:rPr>
                <w:sz w:val="20"/>
                <w:szCs w:val="20"/>
              </w:rPr>
              <w:t xml:space="preserve">IPPFs are broader, overarching documents prepared </w:t>
            </w:r>
            <w:r>
              <w:rPr>
                <w:sz w:val="20"/>
                <w:szCs w:val="20"/>
              </w:rPr>
              <w:t xml:space="preserve">earlier in </w:t>
            </w:r>
            <w:r w:rsidR="0003584A">
              <w:rPr>
                <w:sz w:val="20"/>
                <w:szCs w:val="20"/>
              </w:rPr>
              <w:t>programme/project preparation</w:t>
            </w:r>
            <w:r w:rsidRPr="00BC65CE">
              <w:rPr>
                <w:sz w:val="20"/>
                <w:szCs w:val="20"/>
              </w:rPr>
              <w:t xml:space="preserve"> when specific activities and locations are not yet known. They provide a framework for addressing indigenous peoples' issues throughout </w:t>
            </w:r>
            <w:r w:rsidR="0003584A">
              <w:rPr>
                <w:sz w:val="20"/>
                <w:szCs w:val="20"/>
              </w:rPr>
              <w:t>the programme/project</w:t>
            </w:r>
            <w:r w:rsidRPr="00BC65CE">
              <w:rPr>
                <w:sz w:val="20"/>
                <w:szCs w:val="20"/>
              </w:rPr>
              <w:t xml:space="preserve"> </w:t>
            </w:r>
            <w:r w:rsidR="0003584A">
              <w:rPr>
                <w:sz w:val="20"/>
                <w:szCs w:val="20"/>
              </w:rPr>
              <w:t xml:space="preserve">cycle </w:t>
            </w:r>
            <w:r w:rsidRPr="00BC65CE">
              <w:rPr>
                <w:sz w:val="20"/>
                <w:szCs w:val="20"/>
              </w:rPr>
              <w:t>and guide the development of future IPPs.</w:t>
            </w:r>
          </w:p>
          <w:p w14:paraId="7DDA3D5E" w14:textId="77777777" w:rsidR="00124D5C" w:rsidRPr="00BC65CE" w:rsidRDefault="00124D5C" w:rsidP="00025D5D">
            <w:pPr>
              <w:rPr>
                <w:sz w:val="20"/>
                <w:szCs w:val="20"/>
              </w:rPr>
            </w:pPr>
          </w:p>
          <w:p w14:paraId="38713888" w14:textId="4D178BB8" w:rsidR="00124D5C" w:rsidRDefault="00124D5C" w:rsidP="00025D5D">
            <w:r w:rsidRPr="00BC65CE">
              <w:rPr>
                <w:sz w:val="20"/>
                <w:szCs w:val="20"/>
              </w:rPr>
              <w:t xml:space="preserve">IPPs are more detailed and specific, developed later in the </w:t>
            </w:r>
            <w:r w:rsidR="0003584A">
              <w:rPr>
                <w:sz w:val="20"/>
                <w:szCs w:val="20"/>
              </w:rPr>
              <w:t>programme/project</w:t>
            </w:r>
            <w:r w:rsidRPr="00BC65CE">
              <w:rPr>
                <w:sz w:val="20"/>
                <w:szCs w:val="20"/>
              </w:rPr>
              <w:t xml:space="preserve"> cycle when </w:t>
            </w:r>
            <w:r w:rsidR="0003584A" w:rsidRPr="00BC65CE">
              <w:rPr>
                <w:sz w:val="20"/>
                <w:szCs w:val="20"/>
              </w:rPr>
              <w:t>activities</w:t>
            </w:r>
            <w:r w:rsidRPr="00BC65CE">
              <w:rPr>
                <w:sz w:val="20"/>
                <w:szCs w:val="20"/>
              </w:rPr>
              <w:t xml:space="preserve"> affecting indigenous peoples are identified. They contain concrete mitigation measures, benefit-sharing arrangements, and action plans for known </w:t>
            </w:r>
            <w:r w:rsidR="00D52108">
              <w:rPr>
                <w:sz w:val="20"/>
                <w:szCs w:val="20"/>
              </w:rPr>
              <w:t>programme/</w:t>
            </w:r>
            <w:r w:rsidRPr="00BC65CE">
              <w:rPr>
                <w:sz w:val="20"/>
                <w:szCs w:val="20"/>
              </w:rPr>
              <w:t>project contexts.</w:t>
            </w:r>
          </w:p>
        </w:tc>
      </w:tr>
    </w:tbl>
    <w:p w14:paraId="592CB88C" w14:textId="77777777" w:rsidR="00124D5C" w:rsidRDefault="00124D5C" w:rsidP="002C3A0D"/>
    <w:p w14:paraId="52D1A76B" w14:textId="6F150F23" w:rsidR="00365BF4" w:rsidRDefault="00631BE7" w:rsidP="002C3A0D">
      <w:r>
        <w:t>E</w:t>
      </w:r>
      <w:r w:rsidR="00365BF4">
        <w:t>ssential components</w:t>
      </w:r>
      <w:r>
        <w:t xml:space="preserve"> of an IPP</w:t>
      </w:r>
      <w:r w:rsidR="00F349F2">
        <w:t>, if applicable,</w:t>
      </w:r>
      <w:r>
        <w:t xml:space="preserve"> </w:t>
      </w:r>
      <w:r w:rsidR="009B790F">
        <w:t xml:space="preserve">can </w:t>
      </w:r>
      <w:r>
        <w:t>include</w:t>
      </w:r>
      <w:r w:rsidR="00333A99" w:rsidRPr="00333A99">
        <w:t>:</w:t>
      </w:r>
    </w:p>
    <w:p w14:paraId="47FC6EA7" w14:textId="118B7C5D" w:rsidR="00803C40" w:rsidRDefault="00803C40" w:rsidP="00803C40">
      <w:pPr>
        <w:pStyle w:val="ListParagraph"/>
        <w:numPr>
          <w:ilvl w:val="0"/>
          <w:numId w:val="34"/>
        </w:numPr>
      </w:pPr>
      <w:r>
        <w:t>Baseline information from participatory impact assessments</w:t>
      </w:r>
      <w:r w:rsidR="00796FC1">
        <w:t>.</w:t>
      </w:r>
    </w:p>
    <w:p w14:paraId="3A2DCD97" w14:textId="0077DF22" w:rsidR="00803C40" w:rsidRDefault="00803C40" w:rsidP="00803C40">
      <w:pPr>
        <w:pStyle w:val="ListParagraph"/>
        <w:numPr>
          <w:ilvl w:val="0"/>
          <w:numId w:val="34"/>
        </w:numPr>
      </w:pPr>
      <w:r>
        <w:t xml:space="preserve">Key findings </w:t>
      </w:r>
      <w:r w:rsidR="00796FC1">
        <w:t xml:space="preserve">and analysis </w:t>
      </w:r>
      <w:r>
        <w:t>on impacts, risks, and opportunities</w:t>
      </w:r>
      <w:r w:rsidR="00796FC1">
        <w:t>.</w:t>
      </w:r>
    </w:p>
    <w:p w14:paraId="0A34FA4B" w14:textId="5F04F64B" w:rsidR="00803C40" w:rsidRDefault="00803C40" w:rsidP="00803C40">
      <w:pPr>
        <w:pStyle w:val="ListParagraph"/>
        <w:numPr>
          <w:ilvl w:val="0"/>
          <w:numId w:val="34"/>
        </w:numPr>
      </w:pPr>
      <w:r>
        <w:t>Measures to avoid, minimi</w:t>
      </w:r>
      <w:r w:rsidR="00796FC1">
        <w:t>s</w:t>
      </w:r>
      <w:r>
        <w:t>e, and mitigate negative impacts</w:t>
      </w:r>
      <w:r w:rsidR="00796FC1">
        <w:t>.</w:t>
      </w:r>
    </w:p>
    <w:p w14:paraId="2D72B9F5" w14:textId="56E0DA81" w:rsidR="00803C40" w:rsidRDefault="00803C40" w:rsidP="00803C40">
      <w:pPr>
        <w:pStyle w:val="ListParagraph"/>
        <w:numPr>
          <w:ilvl w:val="0"/>
          <w:numId w:val="34"/>
        </w:numPr>
      </w:pPr>
      <w:r>
        <w:t xml:space="preserve">Strategies to enhance positive impacts and </w:t>
      </w:r>
      <w:r w:rsidR="001D7D86">
        <w:t xml:space="preserve">(economic) </w:t>
      </w:r>
      <w:r>
        <w:t>opportunities</w:t>
      </w:r>
      <w:r w:rsidR="00796FC1">
        <w:t>.</w:t>
      </w:r>
    </w:p>
    <w:p w14:paraId="69103280" w14:textId="1186585A" w:rsidR="002A5368" w:rsidRDefault="002A5368" w:rsidP="00803C40">
      <w:pPr>
        <w:pStyle w:val="ListParagraph"/>
        <w:numPr>
          <w:ilvl w:val="0"/>
          <w:numId w:val="34"/>
        </w:numPr>
      </w:pPr>
      <w:r w:rsidRPr="00333A99">
        <w:t>Results of consultations, including a list of people and organi</w:t>
      </w:r>
      <w:r>
        <w:t>s</w:t>
      </w:r>
      <w:r w:rsidRPr="00333A99">
        <w:t xml:space="preserve">ations that participated, a timetable, who was responsible for each activity, the </w:t>
      </w:r>
      <w:r>
        <w:t>FPIC</w:t>
      </w:r>
      <w:r w:rsidRPr="00333A99">
        <w:t>, and future engagement plans</w:t>
      </w:r>
      <w:r>
        <w:t>.</w:t>
      </w:r>
    </w:p>
    <w:p w14:paraId="2554B403" w14:textId="67F03899" w:rsidR="00803C40" w:rsidRDefault="00803C40" w:rsidP="00803C40">
      <w:pPr>
        <w:pStyle w:val="ListParagraph"/>
        <w:numPr>
          <w:ilvl w:val="0"/>
          <w:numId w:val="34"/>
        </w:numPr>
      </w:pPr>
      <w:r>
        <w:t xml:space="preserve">Community-based natural resource management </w:t>
      </w:r>
      <w:r w:rsidR="00796FC1">
        <w:t>processes.</w:t>
      </w:r>
    </w:p>
    <w:p w14:paraId="3D8A9FEC" w14:textId="1795EEF8" w:rsidR="00803C40" w:rsidRDefault="00803C40" w:rsidP="00803C40">
      <w:pPr>
        <w:pStyle w:val="ListParagraph"/>
        <w:numPr>
          <w:ilvl w:val="0"/>
          <w:numId w:val="34"/>
        </w:numPr>
      </w:pPr>
      <w:r>
        <w:t>Gender assessment and action plans</w:t>
      </w:r>
      <w:r w:rsidR="009A54B6" w:rsidRPr="0082041F">
        <w:rPr>
          <w:vertAlign w:val="superscript"/>
        </w:rPr>
        <w:footnoteReference w:id="5"/>
      </w:r>
      <w:r w:rsidR="002A5368">
        <w:t>.</w:t>
      </w:r>
    </w:p>
    <w:p w14:paraId="0A25E97E" w14:textId="37D0D710" w:rsidR="00803C40" w:rsidRDefault="00803C40" w:rsidP="00803C40">
      <w:pPr>
        <w:pStyle w:val="ListParagraph"/>
        <w:numPr>
          <w:ilvl w:val="0"/>
          <w:numId w:val="34"/>
        </w:numPr>
      </w:pPr>
      <w:r>
        <w:t>Benefit-sharing mechanisms</w:t>
      </w:r>
      <w:r w:rsidR="002A5368">
        <w:t>.</w:t>
      </w:r>
    </w:p>
    <w:p w14:paraId="6B7B488F" w14:textId="346A8F2D" w:rsidR="00803C40" w:rsidRDefault="00803C40" w:rsidP="00803C40">
      <w:pPr>
        <w:pStyle w:val="ListParagraph"/>
        <w:numPr>
          <w:ilvl w:val="0"/>
          <w:numId w:val="34"/>
        </w:numPr>
      </w:pPr>
      <w:r>
        <w:lastRenderedPageBreak/>
        <w:t>Tenure arrangements</w:t>
      </w:r>
      <w:r w:rsidR="002A5368">
        <w:t>.</w:t>
      </w:r>
    </w:p>
    <w:p w14:paraId="739B8238" w14:textId="7B9C1223" w:rsidR="00803C40" w:rsidRDefault="00803C40" w:rsidP="00803C40">
      <w:pPr>
        <w:pStyle w:val="ListParagraph"/>
        <w:numPr>
          <w:ilvl w:val="0"/>
          <w:numId w:val="34"/>
        </w:numPr>
      </w:pPr>
      <w:r>
        <w:t>Grievance redress mechanisms</w:t>
      </w:r>
      <w:r w:rsidR="002A5368">
        <w:t>.</w:t>
      </w:r>
    </w:p>
    <w:p w14:paraId="2FDF8A51" w14:textId="4ED74518" w:rsidR="00803C40" w:rsidRDefault="00803C40" w:rsidP="00803C40">
      <w:pPr>
        <w:pStyle w:val="ListParagraph"/>
        <w:numPr>
          <w:ilvl w:val="0"/>
          <w:numId w:val="34"/>
        </w:numPr>
      </w:pPr>
      <w:r>
        <w:t>Budget, timeline, and organi</w:t>
      </w:r>
      <w:r w:rsidR="002A5368">
        <w:t>s</w:t>
      </w:r>
      <w:r>
        <w:t>ational responsibilities</w:t>
      </w:r>
      <w:r w:rsidR="002A5368">
        <w:t>.</w:t>
      </w:r>
    </w:p>
    <w:p w14:paraId="504700E4" w14:textId="044464AF" w:rsidR="00803C40" w:rsidRDefault="00803C40" w:rsidP="00803C40">
      <w:pPr>
        <w:pStyle w:val="ListParagraph"/>
        <w:numPr>
          <w:ilvl w:val="0"/>
          <w:numId w:val="34"/>
        </w:numPr>
      </w:pPr>
      <w:r>
        <w:t>Monitoring, evaluation, and reporting frameworks</w:t>
      </w:r>
      <w:r w:rsidR="002A5368">
        <w:t>.</w:t>
      </w:r>
    </w:p>
    <w:p w14:paraId="6E3A6668" w14:textId="50B70C0D" w:rsidR="00365BF4" w:rsidRDefault="00365BF4" w:rsidP="00365BF4">
      <w:r w:rsidRPr="00333A99">
        <w:t xml:space="preserve">The format and title of the IPP or IPPF </w:t>
      </w:r>
      <w:r w:rsidR="002A5368">
        <w:t>can</w:t>
      </w:r>
      <w:r w:rsidRPr="00333A99">
        <w:t xml:space="preserve"> be adjusted as appropriate to the </w:t>
      </w:r>
      <w:r w:rsidR="002A5368">
        <w:t xml:space="preserve">programme or </w:t>
      </w:r>
      <w:r w:rsidRPr="00333A99">
        <w:t>project context</w:t>
      </w:r>
      <w:r w:rsidR="00F90420">
        <w:t>.</w:t>
      </w:r>
      <w:r w:rsidR="00F90420" w:rsidRPr="00F90420">
        <w:t xml:space="preserve"> This includes adapting the terminology used to refer to indigenous peoples, if necessary.</w:t>
      </w:r>
    </w:p>
    <w:p w14:paraId="3B5B146F" w14:textId="11679916" w:rsidR="00B94818" w:rsidRDefault="00B94818" w:rsidP="00B94818">
      <w:r>
        <w:t xml:space="preserve">When developing </w:t>
      </w:r>
      <w:r w:rsidR="00013DC8">
        <w:t>IPPs</w:t>
      </w:r>
      <w:r>
        <w:t xml:space="preserve"> or IPPFs, Convening Agents should prioriti</w:t>
      </w:r>
      <w:r w:rsidR="00013DC8">
        <w:t>s</w:t>
      </w:r>
      <w:r>
        <w:t>e avoiding adverse impacts on indigenous peoples, minimi</w:t>
      </w:r>
      <w:r w:rsidR="00013DC8">
        <w:t>sing</w:t>
      </w:r>
      <w:r>
        <w:t xml:space="preserve"> and compensat</w:t>
      </w:r>
      <w:r w:rsidR="00013DC8">
        <w:t>ing</w:t>
      </w:r>
      <w:r>
        <w:t xml:space="preserve"> for unavoidable impacts in a culturally appropriate manner, and ensur</w:t>
      </w:r>
      <w:r w:rsidR="00013DC8">
        <w:t>ing</w:t>
      </w:r>
      <w:r>
        <w:t xml:space="preserve"> timely delivery of agreed-upon measures. Compensation</w:t>
      </w:r>
      <w:r w:rsidR="00186934">
        <w:t xml:space="preserve">, </w:t>
      </w:r>
      <w:r>
        <w:t xml:space="preserve">benefit-sharing </w:t>
      </w:r>
      <w:r w:rsidR="00186934">
        <w:t xml:space="preserve">and creating of opportunities </w:t>
      </w:r>
      <w:r w:rsidR="00013DC8">
        <w:t>should</w:t>
      </w:r>
      <w:r>
        <w:t xml:space="preserve"> consider indigenous institutions, rules, customs, and gender equality, with eligibility based on individual, collective, or combined approaches. Mechanisms should be established for the effective distribution of collective benefits, ensuring inclusion of all eligible members, including vulnerable groups.</w:t>
      </w:r>
    </w:p>
    <w:p w14:paraId="72521792" w14:textId="4270CA97" w:rsidR="00DB0CB3" w:rsidRPr="00DB0CB3" w:rsidRDefault="00B94818" w:rsidP="00B94818">
      <w:r>
        <w:t xml:space="preserve">Furthermore, the benefits provided should align with the goals and preferences of the affected indigenous peoples, </w:t>
      </w:r>
      <w:r w:rsidR="00A36019">
        <w:t>considering</w:t>
      </w:r>
      <w:r>
        <w:t xml:space="preserve"> the context of GFCR-financed activities. The aim should be to improve living standards and livelihoods in a culturally appropriate manner, strengthen the role of women, and foster the long-term sustainability of natural resources</w:t>
      </w:r>
      <w:r w:rsidR="00D66254">
        <w:t xml:space="preserve"> in coral reef environments</w:t>
      </w:r>
      <w:r w:rsidR="002C5CB7">
        <w:t>.</w:t>
      </w:r>
      <w:r w:rsidR="00DB0CB3" w:rsidRPr="00DB0CB3">
        <w:t xml:space="preserve"> </w:t>
      </w:r>
    </w:p>
    <w:p w14:paraId="71DDDFA4" w14:textId="32648C88" w:rsidR="00C72AB4" w:rsidRDefault="0082041F" w:rsidP="00C72AB4">
      <w:pPr>
        <w:pStyle w:val="Heading2"/>
      </w:pPr>
      <w:bookmarkStart w:id="14" w:name="_Toc179971766"/>
      <w:r>
        <w:t xml:space="preserve">Step 5: </w:t>
      </w:r>
      <w:r w:rsidR="00C72AB4">
        <w:t>Grievance Redress Mechanism</w:t>
      </w:r>
      <w:bookmarkEnd w:id="14"/>
    </w:p>
    <w:p w14:paraId="126DF202" w14:textId="0653016F" w:rsidR="0082041F" w:rsidRPr="0082041F" w:rsidRDefault="009E232E" w:rsidP="0082041F">
      <w:r>
        <w:t xml:space="preserve">The GFCR requires </w:t>
      </w:r>
      <w:r w:rsidR="006C26FB">
        <w:t>Convening Agents to</w:t>
      </w:r>
      <w:r>
        <w:t xml:space="preserve"> d</w:t>
      </w:r>
      <w:r w:rsidR="0082041F" w:rsidRPr="0082041F">
        <w:t>esign</w:t>
      </w:r>
      <w:r w:rsidR="006C26FB">
        <w:t xml:space="preserve"> </w:t>
      </w:r>
      <w:r w:rsidR="0082041F" w:rsidRPr="0082041F">
        <w:t xml:space="preserve">a Grievance Redress Mechanism to provide an accessible, gender-responsive and culturally appropriate system for </w:t>
      </w:r>
      <w:r w:rsidR="00640A54">
        <w:t xml:space="preserve">indigenous peoples and other </w:t>
      </w:r>
      <w:r w:rsidR="0082041F" w:rsidRPr="0082041F">
        <w:t>stakeholders to raise concerns, ensuring fairness, impartiality, transparency, and responsiveness</w:t>
      </w:r>
      <w:r w:rsidR="0082041F" w:rsidRPr="0082041F">
        <w:rPr>
          <w:vertAlign w:val="superscript"/>
        </w:rPr>
        <w:footnoteReference w:id="6"/>
      </w:r>
      <w:r w:rsidR="06D5F719">
        <w:t>.</w:t>
      </w:r>
    </w:p>
    <w:p w14:paraId="1EE9F405" w14:textId="505FA8D0" w:rsidR="0082041F" w:rsidRPr="0082041F" w:rsidRDefault="0082041F" w:rsidP="0082041F">
      <w:r w:rsidRPr="0082041F">
        <w:t xml:space="preserve">The mechanism should provide multiple channels for </w:t>
      </w:r>
      <w:r w:rsidR="006C26FB">
        <w:t>stakeholders</w:t>
      </w:r>
      <w:r w:rsidRPr="0082041F">
        <w:t xml:space="preserve"> to raise concerns and should be designed to address issues promptly and effectively.</w:t>
      </w:r>
      <w:r w:rsidR="009F1C5A">
        <w:t xml:space="preserve"> </w:t>
      </w:r>
      <w:r w:rsidR="00440ED1" w:rsidRPr="00440ED1">
        <w:t xml:space="preserve">If concerns remain unresolved, </w:t>
      </w:r>
      <w:r w:rsidR="00792156">
        <w:t>indigenous peoples</w:t>
      </w:r>
      <w:r w:rsidR="00792156" w:rsidRPr="0082041F">
        <w:t xml:space="preserve"> </w:t>
      </w:r>
      <w:r w:rsidR="00792156">
        <w:t>and</w:t>
      </w:r>
      <w:r w:rsidR="000419DF">
        <w:t xml:space="preserve"> other</w:t>
      </w:r>
      <w:r w:rsidR="00792156">
        <w:t xml:space="preserve"> </w:t>
      </w:r>
      <w:r w:rsidR="00440ED1" w:rsidRPr="00440ED1">
        <w:t>stakeholders have the option to escalate their grievances to the United Nations Development Programme's (UNDP) Social and Environmental Compliance Unit (SECU) for further review</w:t>
      </w:r>
      <w:r w:rsidR="001703E7">
        <w:t>.</w:t>
      </w:r>
    </w:p>
    <w:p w14:paraId="0D5EB49A" w14:textId="02201910" w:rsidR="00CE6F4D" w:rsidRDefault="0017684B" w:rsidP="0017684B">
      <w:pPr>
        <w:pStyle w:val="Heading1"/>
      </w:pPr>
      <w:bookmarkStart w:id="15" w:name="_Toc179971767"/>
      <w:r>
        <w:t>5</w:t>
      </w:r>
      <w:r w:rsidR="00CE6F4D">
        <w:t>. Specialised Expertise</w:t>
      </w:r>
      <w:bookmarkEnd w:id="15"/>
    </w:p>
    <w:p w14:paraId="17148064" w14:textId="1515DC5A" w:rsidR="00D714B2" w:rsidRDefault="00184A8C" w:rsidP="00B4352A">
      <w:r w:rsidRPr="00184A8C">
        <w:t>To enhance the quality and effectiveness of their engagement with indigenous peoples, Convening Agents are encouraged to complement their internal</w:t>
      </w:r>
      <w:r>
        <w:t xml:space="preserve"> </w:t>
      </w:r>
      <w:r w:rsidR="004F1E31">
        <w:t>technical capacity</w:t>
      </w:r>
      <w:r w:rsidR="00CB70E7">
        <w:t xml:space="preserve"> with</w:t>
      </w:r>
      <w:r w:rsidR="00127BE8" w:rsidRPr="00127BE8">
        <w:t xml:space="preserve"> specialised expertise</w:t>
      </w:r>
      <w:r w:rsidR="00B4352A">
        <w:t>.</w:t>
      </w:r>
      <w:r w:rsidR="00B4352A" w:rsidRPr="00B4352A">
        <w:t xml:space="preserve"> This can be achieved through engaging consultants or establishing an advisory group of experts. Such expertise </w:t>
      </w:r>
      <w:r w:rsidR="000419DF">
        <w:t>might</w:t>
      </w:r>
      <w:r w:rsidR="00B4352A" w:rsidRPr="00B4352A">
        <w:t xml:space="preserve"> include cultural anthropologists, indigenous rights specialists, environmental experts, gender and social inclusion specialists, safeguards experts, participatory planning facilitators, and language and communication specialists</w:t>
      </w:r>
      <w:r w:rsidR="00D714B2">
        <w:t>, among others</w:t>
      </w:r>
      <w:r w:rsidR="00B4352A" w:rsidRPr="00B4352A">
        <w:t xml:space="preserve">. </w:t>
      </w:r>
    </w:p>
    <w:p w14:paraId="446411AC" w14:textId="3792D57A" w:rsidR="00D714B2" w:rsidRDefault="00B4352A" w:rsidP="00B4352A">
      <w:r w:rsidRPr="00B4352A">
        <w:t xml:space="preserve">By incorporating these specialised skills, Convening Agents can ensure that best practices are followed throughout the consultation, planning, and implementation processes of GFCR-financed activities involving indigenous peoples. </w:t>
      </w:r>
    </w:p>
    <w:p w14:paraId="181B7A47" w14:textId="4E5FB22D" w:rsidR="00BE4E4C" w:rsidRDefault="002579B3" w:rsidP="00CE7959">
      <w:pPr>
        <w:pStyle w:val="Heading1"/>
      </w:pPr>
      <w:bookmarkStart w:id="16" w:name="_Toc179971768"/>
      <w:r>
        <w:lastRenderedPageBreak/>
        <w:t>6</w:t>
      </w:r>
      <w:r w:rsidR="00BE4E4C">
        <w:t>. Monitoring and Evaluation</w:t>
      </w:r>
      <w:bookmarkEnd w:id="16"/>
    </w:p>
    <w:p w14:paraId="6DA645F7" w14:textId="28E813C9" w:rsidR="001E52F3" w:rsidRDefault="00DA3243" w:rsidP="001E52F3">
      <w:r w:rsidRPr="00DA3243">
        <w:t>Convening Agents must submit annual reports to the GFCR detailing their engagement with indigenous peoples</w:t>
      </w:r>
      <w:r w:rsidR="001E52F3">
        <w:t>. These reports should include:</w:t>
      </w:r>
    </w:p>
    <w:p w14:paraId="1ED71922" w14:textId="3658BB64" w:rsidR="001E52F3" w:rsidRDefault="001E52F3" w:rsidP="001E52F3">
      <w:pPr>
        <w:pStyle w:val="ListParagraph"/>
        <w:numPr>
          <w:ilvl w:val="0"/>
          <w:numId w:val="36"/>
        </w:numPr>
      </w:pPr>
      <w:r>
        <w:t>Implementation status of IPPs or IPPFs.</w:t>
      </w:r>
    </w:p>
    <w:p w14:paraId="60509E6A" w14:textId="77777777" w:rsidR="004B58B7" w:rsidRDefault="001E52F3" w:rsidP="001E52F3">
      <w:pPr>
        <w:pStyle w:val="ListParagraph"/>
        <w:numPr>
          <w:ilvl w:val="0"/>
          <w:numId w:val="36"/>
        </w:numPr>
      </w:pPr>
      <w:r>
        <w:t>Outcomes of consultations and FPIC processes</w:t>
      </w:r>
      <w:r w:rsidR="004B58B7">
        <w:t>.</w:t>
      </w:r>
    </w:p>
    <w:p w14:paraId="148C66C6" w14:textId="761598FB" w:rsidR="00E239C9" w:rsidRDefault="00E239C9" w:rsidP="001E52F3">
      <w:pPr>
        <w:pStyle w:val="ListParagraph"/>
        <w:numPr>
          <w:ilvl w:val="0"/>
          <w:numId w:val="36"/>
        </w:numPr>
      </w:pPr>
      <w:r w:rsidRPr="00E239C9">
        <w:t>Impacts of the project on indigenous peoples' lands, resources, and cultural heritage</w:t>
      </w:r>
      <w:r>
        <w:t>.</w:t>
      </w:r>
    </w:p>
    <w:p w14:paraId="057993E8" w14:textId="77777777" w:rsidR="004B58B7" w:rsidRDefault="004B58B7" w:rsidP="001E52F3">
      <w:pPr>
        <w:pStyle w:val="ListParagraph"/>
        <w:numPr>
          <w:ilvl w:val="0"/>
          <w:numId w:val="36"/>
        </w:numPr>
      </w:pPr>
      <w:r>
        <w:t>P</w:t>
      </w:r>
      <w:r w:rsidR="001E52F3">
        <w:t>rogress on mitigation measures and benefit-sharing mechanisms</w:t>
      </w:r>
      <w:r>
        <w:t>.</w:t>
      </w:r>
    </w:p>
    <w:p w14:paraId="1D51D4E4" w14:textId="2688A7B8" w:rsidR="00E239C9" w:rsidRDefault="00E239C9" w:rsidP="00E239C9">
      <w:pPr>
        <w:pStyle w:val="ListParagraph"/>
        <w:numPr>
          <w:ilvl w:val="0"/>
          <w:numId w:val="36"/>
        </w:numPr>
      </w:pPr>
      <w:r>
        <w:t>Level of indigenous participation in project activities and decision-making processes.</w:t>
      </w:r>
    </w:p>
    <w:p w14:paraId="1F70B4BB" w14:textId="6A35A1AF" w:rsidR="00E239C9" w:rsidRDefault="00E239C9" w:rsidP="00E239C9">
      <w:pPr>
        <w:pStyle w:val="ListParagraph"/>
        <w:numPr>
          <w:ilvl w:val="0"/>
          <w:numId w:val="36"/>
        </w:numPr>
      </w:pPr>
      <w:r>
        <w:t>Capacity-building activities undertaken for indigenous communities.</w:t>
      </w:r>
    </w:p>
    <w:p w14:paraId="75CBBC74" w14:textId="6C340974" w:rsidR="004B58B7" w:rsidRDefault="006054DD" w:rsidP="001E52F3">
      <w:pPr>
        <w:pStyle w:val="ListParagraph"/>
        <w:numPr>
          <w:ilvl w:val="0"/>
          <w:numId w:val="36"/>
        </w:numPr>
      </w:pPr>
      <w:r>
        <w:t>Programme or project adjustments based on indigenous peoples inpu</w:t>
      </w:r>
      <w:r w:rsidR="001E52F3">
        <w:t>t</w:t>
      </w:r>
      <w:r w:rsidR="004B58B7">
        <w:t>.</w:t>
      </w:r>
    </w:p>
    <w:p w14:paraId="04E7D725" w14:textId="77777777" w:rsidR="00CD1CDD" w:rsidRDefault="004B58B7" w:rsidP="00A14C83">
      <w:pPr>
        <w:pStyle w:val="ListParagraph"/>
        <w:numPr>
          <w:ilvl w:val="0"/>
          <w:numId w:val="36"/>
        </w:numPr>
      </w:pPr>
      <w:r>
        <w:t>Related g</w:t>
      </w:r>
      <w:r w:rsidR="001E52F3">
        <w:t>rievances received and how they were addressed</w:t>
      </w:r>
      <w:r>
        <w:t>.</w:t>
      </w:r>
    </w:p>
    <w:p w14:paraId="328AF5AB" w14:textId="09690B04" w:rsidR="001E52F3" w:rsidRDefault="009D223F" w:rsidP="00A14C83">
      <w:pPr>
        <w:pStyle w:val="ListParagraph"/>
        <w:numPr>
          <w:ilvl w:val="0"/>
          <w:numId w:val="36"/>
        </w:numPr>
      </w:pPr>
      <w:r w:rsidRPr="009D223F">
        <w:t>Engagement challenges and lessons learned</w:t>
      </w:r>
      <w:r w:rsidR="00CD1CDD">
        <w:t>.</w:t>
      </w:r>
    </w:p>
    <w:p w14:paraId="0CC2F58C" w14:textId="4E59B759" w:rsidR="009D223F" w:rsidRDefault="009D223F" w:rsidP="001E52F3">
      <w:r w:rsidRPr="009D223F">
        <w:t xml:space="preserve">This reporting </w:t>
      </w:r>
      <w:r w:rsidR="00C40F54">
        <w:t>s</w:t>
      </w:r>
      <w:r w:rsidR="00C40F54" w:rsidRPr="00C40F54">
        <w:t>hould be integrated into broader reporting mechanisms, such as programme annual narrative reports, to maintain its priority status throughout implementation</w:t>
      </w:r>
      <w:r w:rsidRPr="009D223F">
        <w:t>. The GFCR will review these reports to ensure policy compliance and identify areas for improvement.</w:t>
      </w:r>
    </w:p>
    <w:p w14:paraId="3CF519DF" w14:textId="3B4D42D7" w:rsidR="001E52F3" w:rsidRDefault="001E52F3" w:rsidP="001E52F3">
      <w:r>
        <w:t xml:space="preserve">Convening Agents </w:t>
      </w:r>
      <w:r w:rsidR="00C20896">
        <w:t>can also</w:t>
      </w:r>
      <w:r>
        <w:t xml:space="preserve"> establish participatory monitoring mechanisms that involve affected indigenous </w:t>
      </w:r>
      <w:r w:rsidR="00AB15E8">
        <w:t>peoples</w:t>
      </w:r>
      <w:r>
        <w:t xml:space="preserve">. This may include joint monitoring visits, community-led monitoring initiatives, or regular feedback sessions with indigenous </w:t>
      </w:r>
      <w:r w:rsidR="000E0CC2">
        <w:t xml:space="preserve">leaders and </w:t>
      </w:r>
      <w:r>
        <w:t>representatives.</w:t>
      </w:r>
    </w:p>
    <w:p w14:paraId="7552EA00" w14:textId="03F48385" w:rsidR="001E52F3" w:rsidRDefault="001E52F3" w:rsidP="001E52F3">
      <w:r>
        <w:t xml:space="preserve">The GFCR may also commission independent third-party evaluations of projects with significant impacts on indigenous peoples to verify compliance with the </w:t>
      </w:r>
      <w:r w:rsidR="000E0CC2">
        <w:t>P</w:t>
      </w:r>
      <w:r>
        <w:t xml:space="preserve">olicy </w:t>
      </w:r>
      <w:r w:rsidR="00EA7EBE">
        <w:t xml:space="preserve">and indigenous rights </w:t>
      </w:r>
      <w:r>
        <w:t>and assess overall effectiveness of engagement strategies.</w:t>
      </w:r>
    </w:p>
    <w:p w14:paraId="76C23401" w14:textId="66F61DD1" w:rsidR="00585C31" w:rsidRDefault="00585C31" w:rsidP="00585C31">
      <w:pPr>
        <w:pStyle w:val="Heading1"/>
      </w:pPr>
      <w:bookmarkStart w:id="17" w:name="_Toc179971769"/>
      <w:r>
        <w:t>7. Adaptive Management</w:t>
      </w:r>
      <w:bookmarkEnd w:id="17"/>
    </w:p>
    <w:p w14:paraId="68E04C17" w14:textId="58FC3457" w:rsidR="009A6192" w:rsidRDefault="006C7DC8" w:rsidP="00585C31">
      <w:r>
        <w:t>In the context of this Policy, t</w:t>
      </w:r>
      <w:r w:rsidR="00585C31" w:rsidRPr="00585C31">
        <w:t xml:space="preserve">he GFCR advocates for adaptive management strategies </w:t>
      </w:r>
      <w:r w:rsidR="00775238" w:rsidRPr="00775238">
        <w:t>in the implementation of its program</w:t>
      </w:r>
      <w:r w:rsidR="00B5183B">
        <w:t>me</w:t>
      </w:r>
      <w:r w:rsidR="00775238" w:rsidRPr="00775238">
        <w:t xml:space="preserve">s and projects. This approach ensures flexibility and responsiveness to ongoing feedback from indigenous peoples, </w:t>
      </w:r>
      <w:r>
        <w:t>changing</w:t>
      </w:r>
      <w:r w:rsidR="00775238" w:rsidRPr="00775238">
        <w:t xml:space="preserve"> environmental conditions, and insights gained throughout the lifecycle of each initiative.</w:t>
      </w:r>
    </w:p>
    <w:p w14:paraId="135207DF" w14:textId="0B6299C0" w:rsidR="00585C31" w:rsidRDefault="00585C31" w:rsidP="00585C31">
      <w:r w:rsidRPr="00585C31">
        <w:t xml:space="preserve">Convening Agents should conduct regular reviews and </w:t>
      </w:r>
      <w:r w:rsidR="00B5183B">
        <w:t xml:space="preserve">make necessary </w:t>
      </w:r>
      <w:r w:rsidRPr="00585C31">
        <w:t xml:space="preserve">adjustments </w:t>
      </w:r>
      <w:r w:rsidR="00775E70">
        <w:t>to</w:t>
      </w:r>
      <w:r w:rsidRPr="00585C31">
        <w:t xml:space="preserve"> programmes and activities in close consultation with indigenous peoples, their leaders, and representatives. This process helps ensure that conservation efforts remain effective, culturally appropriate, and aligned with evolving community needs while being responsive to changing circumstances. By embracing adaptive management, Convening Agents can foster a dynamic and collaborative approach that respects</w:t>
      </w:r>
      <w:r w:rsidR="009C4CEB">
        <w:t xml:space="preserve"> and engages with</w:t>
      </w:r>
      <w:r w:rsidRPr="00585C31">
        <w:t xml:space="preserve"> indigenous knowledge</w:t>
      </w:r>
      <w:r w:rsidR="00B0571A">
        <w:t>, protects indigenous rights,</w:t>
      </w:r>
      <w:r w:rsidRPr="00585C31">
        <w:t xml:space="preserve"> and promotes sustainable outcomes</w:t>
      </w:r>
      <w:r w:rsidR="009A6192">
        <w:t xml:space="preserve"> in coral reef conservation</w:t>
      </w:r>
      <w:r>
        <w:t>.</w:t>
      </w:r>
    </w:p>
    <w:p w14:paraId="4B036BA9" w14:textId="77777777" w:rsidR="00585C31" w:rsidRDefault="00585C31" w:rsidP="001E52F3"/>
    <w:p w14:paraId="53453F2E" w14:textId="77777777" w:rsidR="00665DD0" w:rsidRDefault="00665DD0" w:rsidP="008F541C"/>
    <w:sectPr w:rsidR="00665DD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C6F885" w14:textId="77777777" w:rsidR="00DF6AD2" w:rsidRDefault="00DF6AD2" w:rsidP="003B5A42">
      <w:pPr>
        <w:spacing w:after="0" w:line="240" w:lineRule="auto"/>
      </w:pPr>
      <w:r>
        <w:separator/>
      </w:r>
    </w:p>
  </w:endnote>
  <w:endnote w:type="continuationSeparator" w:id="0">
    <w:p w14:paraId="56EE5361" w14:textId="77777777" w:rsidR="00DF6AD2" w:rsidRDefault="00DF6AD2" w:rsidP="003B5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95754" w14:textId="77777777" w:rsidR="00C842E8" w:rsidRDefault="00C842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9BF42" w14:textId="77777777" w:rsidR="00C842E8" w:rsidRDefault="00C842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7A754" w14:textId="77777777" w:rsidR="00C842E8" w:rsidRDefault="00C84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19DBAF" w14:textId="77777777" w:rsidR="00DF6AD2" w:rsidRDefault="00DF6AD2" w:rsidP="003B5A42">
      <w:pPr>
        <w:spacing w:after="0" w:line="240" w:lineRule="auto"/>
      </w:pPr>
      <w:r>
        <w:separator/>
      </w:r>
    </w:p>
  </w:footnote>
  <w:footnote w:type="continuationSeparator" w:id="0">
    <w:p w14:paraId="01B0B12A" w14:textId="77777777" w:rsidR="00DF6AD2" w:rsidRDefault="00DF6AD2" w:rsidP="003B5A42">
      <w:pPr>
        <w:spacing w:after="0" w:line="240" w:lineRule="auto"/>
      </w:pPr>
      <w:r>
        <w:continuationSeparator/>
      </w:r>
    </w:p>
  </w:footnote>
  <w:footnote w:id="1">
    <w:p w14:paraId="48E2A1B1" w14:textId="472DBF83" w:rsidR="67B7F88F" w:rsidRDefault="67B7F88F" w:rsidP="67B7F88F">
      <w:pPr>
        <w:pStyle w:val="FootnoteText"/>
      </w:pPr>
      <w:r w:rsidRPr="67B7F88F">
        <w:rPr>
          <w:rStyle w:val="FootnoteReference"/>
        </w:rPr>
        <w:footnoteRef/>
      </w:r>
      <w:r>
        <w:t xml:space="preserve"> This includes a language or dialect that has existed but does not exist now due to impacts that have made it difficult for a community or group to maintain a distinct language or dialect.</w:t>
      </w:r>
    </w:p>
  </w:footnote>
  <w:footnote w:id="2">
    <w:p w14:paraId="559709D6" w14:textId="5EEB2EB3" w:rsidR="007A09C4" w:rsidRDefault="007A09C4" w:rsidP="00EC401F">
      <w:pPr>
        <w:pStyle w:val="FootnoteText"/>
        <w:jc w:val="both"/>
      </w:pPr>
      <w:r>
        <w:rPr>
          <w:rStyle w:val="FootnoteReference"/>
        </w:rPr>
        <w:footnoteRef/>
      </w:r>
      <w:r>
        <w:t xml:space="preserve"> </w:t>
      </w:r>
      <w:r w:rsidR="00D508C0" w:rsidRPr="00D508C0">
        <w:t xml:space="preserve">The GFCR aligns its definition and common characteristics of indigenous peoples with those used by partner UN agencies and </w:t>
      </w:r>
      <w:r w:rsidR="00844E80">
        <w:t xml:space="preserve">relevant </w:t>
      </w:r>
      <w:r w:rsidR="00D508C0" w:rsidRPr="00D508C0">
        <w:t>financial institutions, including the World Bank, GCF</w:t>
      </w:r>
      <w:r w:rsidR="00341F4C">
        <w:t xml:space="preserve">, </w:t>
      </w:r>
      <w:r w:rsidR="007F419C">
        <w:t xml:space="preserve">GEF, </w:t>
      </w:r>
      <w:r w:rsidR="00341F4C">
        <w:t xml:space="preserve">and </w:t>
      </w:r>
      <w:r w:rsidR="00D508C0" w:rsidRPr="00D508C0">
        <w:t>UNDP</w:t>
      </w:r>
      <w:r w:rsidRPr="00B500E8">
        <w:t>.</w:t>
      </w:r>
    </w:p>
  </w:footnote>
  <w:footnote w:id="3">
    <w:p w14:paraId="59E95F7B" w14:textId="77777777" w:rsidR="00F95448" w:rsidRDefault="00F95448" w:rsidP="00F95448">
      <w:pPr>
        <w:pStyle w:val="FootnoteText"/>
      </w:pPr>
      <w:r>
        <w:rPr>
          <w:rStyle w:val="FootnoteReference"/>
        </w:rPr>
        <w:footnoteRef/>
      </w:r>
      <w:r>
        <w:t xml:space="preserve"> R</w:t>
      </w:r>
      <w:r w:rsidRPr="002263EC">
        <w:t>emote groups with limited external contact, also known as peoples “in voluntary isolation”, “isolated peoples” or “in initial contact”</w:t>
      </w:r>
      <w:r>
        <w:t>.</w:t>
      </w:r>
    </w:p>
  </w:footnote>
  <w:footnote w:id="4">
    <w:p w14:paraId="073E2855" w14:textId="77777777" w:rsidR="00FD690E" w:rsidRDefault="00FD690E" w:rsidP="00FD690E">
      <w:pPr>
        <w:pStyle w:val="FootnoteText"/>
      </w:pPr>
      <w:r>
        <w:rPr>
          <w:rStyle w:val="FootnoteReference"/>
        </w:rPr>
        <w:footnoteRef/>
      </w:r>
      <w:r>
        <w:t xml:space="preserve"> </w:t>
      </w:r>
      <w:r w:rsidRPr="00D44475">
        <w:t xml:space="preserve">For guidance on the </w:t>
      </w:r>
      <w:r>
        <w:t>stakeholder engagement process</w:t>
      </w:r>
      <w:r w:rsidRPr="00D44475">
        <w:t xml:space="preserve">, refer to the GFCR </w:t>
      </w:r>
      <w:r>
        <w:t>Stakeholder Engagement</w:t>
      </w:r>
      <w:r w:rsidRPr="00D44475">
        <w:t xml:space="preserve"> Policy (2024).</w:t>
      </w:r>
    </w:p>
  </w:footnote>
  <w:footnote w:id="5">
    <w:p w14:paraId="6DFD5E6E" w14:textId="6CA92335" w:rsidR="009A54B6" w:rsidRDefault="009A54B6" w:rsidP="009A54B6">
      <w:pPr>
        <w:pStyle w:val="FootnoteText"/>
      </w:pPr>
      <w:r>
        <w:rPr>
          <w:rStyle w:val="FootnoteReference"/>
        </w:rPr>
        <w:footnoteRef/>
      </w:r>
      <w:r>
        <w:t xml:space="preserve"> For guidance on </w:t>
      </w:r>
      <w:r w:rsidR="009D0311">
        <w:t>gender assessments and action plans</w:t>
      </w:r>
      <w:r>
        <w:t xml:space="preserve">, refer to the GFCR </w:t>
      </w:r>
      <w:r w:rsidR="009D0311">
        <w:t>Gender</w:t>
      </w:r>
      <w:r>
        <w:t xml:space="preserve"> Policy (2024).</w:t>
      </w:r>
    </w:p>
  </w:footnote>
  <w:footnote w:id="6">
    <w:p w14:paraId="10432DA0" w14:textId="77777777" w:rsidR="0082041F" w:rsidRDefault="0082041F" w:rsidP="0082041F">
      <w:pPr>
        <w:pStyle w:val="FootnoteText"/>
      </w:pPr>
      <w:r>
        <w:rPr>
          <w:rStyle w:val="FootnoteReference"/>
        </w:rPr>
        <w:footnoteRef/>
      </w:r>
      <w:r>
        <w:t xml:space="preserve"> For guidance on the process for handling grievances and designing an efficient Grievance Redress Mechanism, refer to the GFCR Grievance Redress Mechanism Policy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A0063" w14:textId="3DC124E1" w:rsidR="00C842E8" w:rsidRDefault="00DF6AD2">
    <w:pPr>
      <w:pStyle w:val="Header"/>
    </w:pPr>
    <w:r>
      <w:rPr>
        <w:noProof/>
      </w:rPr>
      <w:pict w14:anchorId="35B0AC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6607319" o:spid="_x0000_s1027" type="#_x0000_t136" alt="" style="position:absolute;left:0;text-align:left;margin-left:0;margin-top:0;width:442.55pt;height:193.6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7043A" w14:textId="1CE0C5CE" w:rsidR="00C842E8" w:rsidRDefault="00DF6AD2">
    <w:pPr>
      <w:pStyle w:val="Header"/>
    </w:pPr>
    <w:r>
      <w:rPr>
        <w:noProof/>
      </w:rPr>
      <w:pict w14:anchorId="76112B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6607320" o:spid="_x0000_s1026" type="#_x0000_t136" alt="" style="position:absolute;left:0;text-align:left;margin-left:0;margin-top:0;width:442.55pt;height:193.6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EACF7" w14:textId="7CC2FA2E" w:rsidR="00C842E8" w:rsidRDefault="00DF6AD2">
    <w:pPr>
      <w:pStyle w:val="Header"/>
    </w:pPr>
    <w:r>
      <w:rPr>
        <w:noProof/>
      </w:rPr>
      <w:pict w14:anchorId="5F04BC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6607318" o:spid="_x0000_s1025" type="#_x0000_t136" alt="" style="position:absolute;left:0;text-align:left;margin-left:0;margin-top:0;width:442.55pt;height:193.6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intelligence2.xml><?xml version="1.0" encoding="utf-8"?>
<int2:intelligence xmlns:int2="http://schemas.microsoft.com/office/intelligence/2020/intelligence" xmlns:oel="http://schemas.microsoft.com/office/2019/extlst">
  <int2:observations>
    <int2:bookmark int2:bookmarkName="_Int_LQUFcq93" int2:invalidationBookmarkName="" int2:hashCode="nCPSm/h64Tchrj" int2:id="k2BfyZp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2FF9B14"/>
    <w:multiLevelType w:val="multilevel"/>
    <w:tmpl w:val="FFFFFFFF"/>
    <w:lvl w:ilvl="0">
      <w:start w:val="1"/>
      <w:numFmt w:val="ideographDigital"/>
      <w:lvlText w:val=""/>
      <w:lvlJc w:val="left"/>
    </w:lvl>
    <w:lvl w:ilvl="1">
      <w:start w:val="1"/>
      <w:numFmt w:val="upperRoman"/>
      <w:lvlText w:val="%1"/>
      <w:lvlJc w:val="left"/>
    </w:lvl>
    <w:lvl w:ilvl="2">
      <w:start w:val="1"/>
      <w:numFmt w:val="ideographDigital"/>
      <w:lvlText w:val=""/>
      <w:lvlJc w:val="left"/>
    </w:lvl>
    <w:lvl w:ilvl="3">
      <w:start w:val="1"/>
      <w:numFmt w:val="lowerLetter"/>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82018FD"/>
    <w:multiLevelType w:val="multilevel"/>
    <w:tmpl w:val="FFFFFFFF"/>
    <w:lvl w:ilvl="0">
      <w:start w:val="1"/>
      <w:numFmt w:val="ideographDigital"/>
      <w:lvlText w:val=""/>
      <w:lvlJc w:val="left"/>
    </w:lvl>
    <w:lvl w:ilvl="1">
      <w:start w:val="1"/>
      <w:numFmt w:val="upperRoman"/>
      <w:lvlText w:val="%1"/>
      <w:lvlJc w:val="left"/>
    </w:lvl>
    <w:lvl w:ilvl="2">
      <w:start w:val="1"/>
      <w:numFmt w:val="ideographDigit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A333E1C"/>
    <w:multiLevelType w:val="multilevel"/>
    <w:tmpl w:val="FFFFFFFF"/>
    <w:lvl w:ilvl="0">
      <w:start w:val="1"/>
      <w:numFmt w:val="ideographDigital"/>
      <w:lvlText w:val=""/>
      <w:lvlJc w:val="left"/>
    </w:lvl>
    <w:lvl w:ilvl="1">
      <w:start w:val="1"/>
      <w:numFmt w:val="upperRoman"/>
      <w:lvlText w:val="%1"/>
      <w:lvlJc w:val="left"/>
    </w:lvl>
    <w:lvl w:ilvl="2">
      <w:start w:val="1"/>
      <w:numFmt w:val="ideographDigital"/>
      <w:lvlText w:val=""/>
      <w:lvlJc w:val="left"/>
    </w:lvl>
    <w:lvl w:ilvl="3">
      <w:start w:val="1"/>
      <w:numFmt w:val="lowerLetter"/>
      <w:lvlText w:val=""/>
      <w:lvlJc w:val="left"/>
    </w:lvl>
    <w:lvl w:ilvl="4">
      <w:start w:val="1"/>
      <w:numFmt w:val="lowerRoman"/>
      <w:lvlText w:val="%1"/>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75B66D2"/>
    <w:multiLevelType w:val="multilevel"/>
    <w:tmpl w:val="FFFFFFFF"/>
    <w:lvl w:ilvl="0">
      <w:start w:val="1"/>
      <w:numFmt w:val="ideographDigital"/>
      <w:lvlText w:val=""/>
      <w:lvlJc w:val="left"/>
    </w:lvl>
    <w:lvl w:ilvl="1">
      <w:start w:val="1"/>
      <w:numFmt w:val="upperRoman"/>
      <w:lvlText w:val="%1"/>
      <w:lvlJc w:val="left"/>
    </w:lvl>
    <w:lvl w:ilvl="2">
      <w:start w:val="1"/>
      <w:numFmt w:val="ideographDigit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7A0A738"/>
    <w:multiLevelType w:val="multilevel"/>
    <w:tmpl w:val="FFFFFFFF"/>
    <w:lvl w:ilvl="0">
      <w:start w:val="1"/>
      <w:numFmt w:val="ideographDigital"/>
      <w:lvlText w:val=""/>
      <w:lvlJc w:val="left"/>
    </w:lvl>
    <w:lvl w:ilvl="1">
      <w:start w:val="1"/>
      <w:numFmt w:val="upperRoman"/>
      <w:lvlText w:val="%1"/>
      <w:lvlJc w:val="left"/>
    </w:lvl>
    <w:lvl w:ilvl="2">
      <w:start w:val="1"/>
      <w:numFmt w:val="ideographDigit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A2FD6A3"/>
    <w:multiLevelType w:val="multilevel"/>
    <w:tmpl w:val="FFFFFFFF"/>
    <w:lvl w:ilvl="0">
      <w:start w:val="1"/>
      <w:numFmt w:val="ideographDigital"/>
      <w:lvlText w:val=""/>
      <w:lvlJc w:val="left"/>
    </w:lvl>
    <w:lvl w:ilvl="1">
      <w:start w:val="1"/>
      <w:numFmt w:val="upperRoman"/>
      <w:lvlText w:val="%1"/>
      <w:lvlJc w:val="left"/>
    </w:lvl>
    <w:lvl w:ilvl="2">
      <w:start w:val="1"/>
      <w:numFmt w:val="ideographDigit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E85B434"/>
    <w:multiLevelType w:val="multilevel"/>
    <w:tmpl w:val="FFFFFFFF"/>
    <w:lvl w:ilvl="0">
      <w:start w:val="1"/>
      <w:numFmt w:val="ideographDigital"/>
      <w:lvlText w:val=""/>
      <w:lvlJc w:val="left"/>
    </w:lvl>
    <w:lvl w:ilvl="1">
      <w:start w:val="1"/>
      <w:numFmt w:val="upperRoman"/>
      <w:lvlText w:val="%1"/>
      <w:lvlJc w:val="left"/>
    </w:lvl>
    <w:lvl w:ilvl="2">
      <w:start w:val="1"/>
      <w:numFmt w:val="ideographDigit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2AB1BDE"/>
    <w:multiLevelType w:val="multilevel"/>
    <w:tmpl w:val="FFFFFFFF"/>
    <w:lvl w:ilvl="0">
      <w:start w:val="1"/>
      <w:numFmt w:val="ideographDigital"/>
      <w:lvlText w:val=""/>
      <w:lvlJc w:val="left"/>
    </w:lvl>
    <w:lvl w:ilvl="1">
      <w:start w:val="1"/>
      <w:numFmt w:val="upperRoman"/>
      <w:lvlText w:val="%1"/>
      <w:lvlJc w:val="left"/>
    </w:lvl>
    <w:lvl w:ilvl="2">
      <w:start w:val="1"/>
      <w:numFmt w:val="ideographDigit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E05E099"/>
    <w:multiLevelType w:val="multilevel"/>
    <w:tmpl w:val="FFFFFFFF"/>
    <w:lvl w:ilvl="0">
      <w:start w:val="1"/>
      <w:numFmt w:val="ideographDigital"/>
      <w:lvlText w:val=""/>
      <w:lvlJc w:val="left"/>
    </w:lvl>
    <w:lvl w:ilvl="1">
      <w:start w:val="1"/>
      <w:numFmt w:val="upperRoman"/>
      <w:lvlText w:val="%1"/>
      <w:lvlJc w:val="left"/>
    </w:lvl>
    <w:lvl w:ilvl="2">
      <w:start w:val="1"/>
      <w:numFmt w:val="ideographDigit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39F2CE5"/>
    <w:multiLevelType w:val="hybridMultilevel"/>
    <w:tmpl w:val="037C09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03A628E3"/>
    <w:multiLevelType w:val="multilevel"/>
    <w:tmpl w:val="FFFFFFFF"/>
    <w:lvl w:ilvl="0">
      <w:start w:val="1"/>
      <w:numFmt w:val="ideographDigital"/>
      <w:lvlText w:val=""/>
      <w:lvlJc w:val="left"/>
    </w:lvl>
    <w:lvl w:ilvl="1">
      <w:start w:val="1"/>
      <w:numFmt w:val="upperRoman"/>
      <w:lvlText w:val="%1"/>
      <w:lvlJc w:val="left"/>
    </w:lvl>
    <w:lvl w:ilvl="2">
      <w:start w:val="1"/>
      <w:numFmt w:val="ideographDigital"/>
      <w:lvlText w:val=""/>
      <w:lvlJc w:val="left"/>
    </w:lvl>
    <w:lvl w:ilvl="3">
      <w:start w:val="1"/>
      <w:numFmt w:val="lowerLetter"/>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EDF3D09"/>
    <w:multiLevelType w:val="hybridMultilevel"/>
    <w:tmpl w:val="4304856C"/>
    <w:lvl w:ilvl="0" w:tplc="502ADCBC">
      <w:start w:val="8"/>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56AA39"/>
    <w:multiLevelType w:val="multilevel"/>
    <w:tmpl w:val="FFFFFFFF"/>
    <w:lvl w:ilvl="0">
      <w:start w:val="1"/>
      <w:numFmt w:val="ideographDigital"/>
      <w:lvlText w:val=""/>
      <w:lvlJc w:val="left"/>
    </w:lvl>
    <w:lvl w:ilvl="1">
      <w:start w:val="1"/>
      <w:numFmt w:val="upperRoman"/>
      <w:lvlText w:val="%1"/>
      <w:lvlJc w:val="left"/>
    </w:lvl>
    <w:lvl w:ilvl="2">
      <w:start w:val="1"/>
      <w:numFmt w:val="ideographDigit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4D23184"/>
    <w:multiLevelType w:val="multilevel"/>
    <w:tmpl w:val="FFFFFFFF"/>
    <w:lvl w:ilvl="0">
      <w:start w:val="1"/>
      <w:numFmt w:val="ideographDigital"/>
      <w:lvlText w:val=""/>
      <w:lvlJc w:val="left"/>
    </w:lvl>
    <w:lvl w:ilvl="1">
      <w:start w:val="1"/>
      <w:numFmt w:val="upperRoman"/>
      <w:lvlText w:val="%1"/>
      <w:lvlJc w:val="left"/>
    </w:lvl>
    <w:lvl w:ilvl="2">
      <w:start w:val="1"/>
      <w:numFmt w:val="ideographDigital"/>
      <w:lvlText w:val=""/>
      <w:lvlJc w:val="left"/>
    </w:lvl>
    <w:lvl w:ilvl="3">
      <w:start w:val="1"/>
      <w:numFmt w:val="lowerLetter"/>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B76466D"/>
    <w:multiLevelType w:val="hybridMultilevel"/>
    <w:tmpl w:val="10D8A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912707"/>
    <w:multiLevelType w:val="hybridMultilevel"/>
    <w:tmpl w:val="C360A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0538F8"/>
    <w:multiLevelType w:val="hybridMultilevel"/>
    <w:tmpl w:val="616829E2"/>
    <w:lvl w:ilvl="0" w:tplc="502ADCB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CF7835"/>
    <w:multiLevelType w:val="hybridMultilevel"/>
    <w:tmpl w:val="7DEA003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2233733"/>
    <w:multiLevelType w:val="hybridMultilevel"/>
    <w:tmpl w:val="C79C2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953802"/>
    <w:multiLevelType w:val="hybridMultilevel"/>
    <w:tmpl w:val="C054E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906AC8"/>
    <w:multiLevelType w:val="hybridMultilevel"/>
    <w:tmpl w:val="201C4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A34BD9"/>
    <w:multiLevelType w:val="hybridMultilevel"/>
    <w:tmpl w:val="F2ECD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507679"/>
    <w:multiLevelType w:val="hybridMultilevel"/>
    <w:tmpl w:val="7388936C"/>
    <w:lvl w:ilvl="0" w:tplc="502ADCB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A94316"/>
    <w:multiLevelType w:val="hybridMultilevel"/>
    <w:tmpl w:val="C2FCB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F7ECBB"/>
    <w:multiLevelType w:val="multilevel"/>
    <w:tmpl w:val="FFFFFFFF"/>
    <w:lvl w:ilvl="0">
      <w:start w:val="1"/>
      <w:numFmt w:val="ideographDigital"/>
      <w:lvlText w:val=""/>
      <w:lvlJc w:val="left"/>
    </w:lvl>
    <w:lvl w:ilvl="1">
      <w:start w:val="1"/>
      <w:numFmt w:val="upperRoman"/>
      <w:lvlText w:val="%1"/>
      <w:lvlJc w:val="left"/>
    </w:lvl>
    <w:lvl w:ilvl="2">
      <w:start w:val="1"/>
      <w:numFmt w:val="ideographDigital"/>
      <w:lvlText w:val=""/>
      <w:lvlJc w:val="left"/>
    </w:lvl>
    <w:lvl w:ilvl="3">
      <w:start w:val="1"/>
      <w:numFmt w:val="lowerLetter"/>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F192A31"/>
    <w:multiLevelType w:val="hybridMultilevel"/>
    <w:tmpl w:val="913654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301ACF"/>
    <w:multiLevelType w:val="multilevel"/>
    <w:tmpl w:val="FFFFFFFF"/>
    <w:lvl w:ilvl="0">
      <w:start w:val="1"/>
      <w:numFmt w:val="ideographDigital"/>
      <w:lvlText w:val=""/>
      <w:lvlJc w:val="left"/>
    </w:lvl>
    <w:lvl w:ilvl="1">
      <w:start w:val="1"/>
      <w:numFmt w:val="upperRoman"/>
      <w:lvlText w:val="%1"/>
      <w:lvlJc w:val="left"/>
    </w:lvl>
    <w:lvl w:ilvl="2">
      <w:start w:val="1"/>
      <w:numFmt w:val="ideographDigit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2B8C2EC"/>
    <w:multiLevelType w:val="multilevel"/>
    <w:tmpl w:val="FFFFFFFF"/>
    <w:lvl w:ilvl="0">
      <w:start w:val="1"/>
      <w:numFmt w:val="ideographDigital"/>
      <w:lvlText w:val=""/>
      <w:lvlJc w:val="left"/>
    </w:lvl>
    <w:lvl w:ilvl="1">
      <w:start w:val="1"/>
      <w:numFmt w:val="upperRoman"/>
      <w:lvlText w:val="%1"/>
      <w:lvlJc w:val="left"/>
    </w:lvl>
    <w:lvl w:ilvl="2">
      <w:start w:val="1"/>
      <w:numFmt w:val="ideographDigit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5026B78"/>
    <w:multiLevelType w:val="multilevel"/>
    <w:tmpl w:val="44C0F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9C1E445"/>
    <w:multiLevelType w:val="multilevel"/>
    <w:tmpl w:val="FFFFFFFF"/>
    <w:lvl w:ilvl="0">
      <w:start w:val="1"/>
      <w:numFmt w:val="ideographDigital"/>
      <w:lvlText w:val=""/>
      <w:lvlJc w:val="left"/>
    </w:lvl>
    <w:lvl w:ilvl="1">
      <w:start w:val="1"/>
      <w:numFmt w:val="upperRoman"/>
      <w:lvlText w:val="%1"/>
      <w:lvlJc w:val="left"/>
    </w:lvl>
    <w:lvl w:ilvl="2">
      <w:start w:val="1"/>
      <w:numFmt w:val="ideographDigital"/>
      <w:lvlText w:val=""/>
      <w:lvlJc w:val="left"/>
    </w:lvl>
    <w:lvl w:ilvl="3">
      <w:start w:val="1"/>
      <w:numFmt w:val="lowerLetter"/>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E4528C0"/>
    <w:multiLevelType w:val="multilevel"/>
    <w:tmpl w:val="185E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7D4BF0"/>
    <w:multiLevelType w:val="hybridMultilevel"/>
    <w:tmpl w:val="11CAD1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9A990D"/>
    <w:multiLevelType w:val="multilevel"/>
    <w:tmpl w:val="FFFFFFFF"/>
    <w:lvl w:ilvl="0">
      <w:start w:val="1"/>
      <w:numFmt w:val="ideographDigital"/>
      <w:lvlText w:val=""/>
      <w:lvlJc w:val="left"/>
    </w:lvl>
    <w:lvl w:ilvl="1">
      <w:start w:val="1"/>
      <w:numFmt w:val="upperRoman"/>
      <w:lvlText w:val="%1"/>
      <w:lvlJc w:val="left"/>
    </w:lvl>
    <w:lvl w:ilvl="2">
      <w:start w:val="1"/>
      <w:numFmt w:val="ideographDigit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96E53CE"/>
    <w:multiLevelType w:val="hybridMultilevel"/>
    <w:tmpl w:val="95E4B152"/>
    <w:lvl w:ilvl="0" w:tplc="502ADCB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4D8E4A"/>
    <w:multiLevelType w:val="multilevel"/>
    <w:tmpl w:val="FFFFFFFF"/>
    <w:lvl w:ilvl="0">
      <w:start w:val="1"/>
      <w:numFmt w:val="ideographDigital"/>
      <w:lvlText w:val=""/>
      <w:lvlJc w:val="left"/>
    </w:lvl>
    <w:lvl w:ilvl="1">
      <w:start w:val="1"/>
      <w:numFmt w:val="upperRoman"/>
      <w:lvlText w:val="%1"/>
      <w:lvlJc w:val="left"/>
    </w:lvl>
    <w:lvl w:ilvl="2">
      <w:start w:val="1"/>
      <w:numFmt w:val="ideographDigit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F512A13"/>
    <w:multiLevelType w:val="hybridMultilevel"/>
    <w:tmpl w:val="A0E63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4145429">
    <w:abstractNumId w:val="28"/>
  </w:num>
  <w:num w:numId="2" w16cid:durableId="767970085">
    <w:abstractNumId w:val="14"/>
  </w:num>
  <w:num w:numId="3" w16cid:durableId="1986157395">
    <w:abstractNumId w:val="21"/>
  </w:num>
  <w:num w:numId="4" w16cid:durableId="1898472292">
    <w:abstractNumId w:val="25"/>
  </w:num>
  <w:num w:numId="5" w16cid:durableId="879824750">
    <w:abstractNumId w:val="17"/>
  </w:num>
  <w:num w:numId="6" w16cid:durableId="471140288">
    <w:abstractNumId w:val="31"/>
  </w:num>
  <w:num w:numId="7" w16cid:durableId="2033648973">
    <w:abstractNumId w:val="9"/>
  </w:num>
  <w:num w:numId="8" w16cid:durableId="196936544">
    <w:abstractNumId w:val="19"/>
  </w:num>
  <w:num w:numId="9" w16cid:durableId="1462768920">
    <w:abstractNumId w:val="3"/>
  </w:num>
  <w:num w:numId="10" w16cid:durableId="491682598">
    <w:abstractNumId w:val="29"/>
  </w:num>
  <w:num w:numId="11" w16cid:durableId="689717651">
    <w:abstractNumId w:val="0"/>
  </w:num>
  <w:num w:numId="12" w16cid:durableId="1458988382">
    <w:abstractNumId w:val="4"/>
  </w:num>
  <w:num w:numId="13" w16cid:durableId="774247423">
    <w:abstractNumId w:val="1"/>
  </w:num>
  <w:num w:numId="14" w16cid:durableId="1470436242">
    <w:abstractNumId w:val="32"/>
  </w:num>
  <w:num w:numId="15" w16cid:durableId="1215197003">
    <w:abstractNumId w:val="5"/>
  </w:num>
  <w:num w:numId="16" w16cid:durableId="1150832119">
    <w:abstractNumId w:val="34"/>
  </w:num>
  <w:num w:numId="17" w16cid:durableId="900404526">
    <w:abstractNumId w:val="8"/>
  </w:num>
  <w:num w:numId="18" w16cid:durableId="1742822919">
    <w:abstractNumId w:val="24"/>
  </w:num>
  <w:num w:numId="19" w16cid:durableId="632099145">
    <w:abstractNumId w:val="26"/>
  </w:num>
  <w:num w:numId="20" w16cid:durableId="286544380">
    <w:abstractNumId w:val="13"/>
  </w:num>
  <w:num w:numId="21" w16cid:durableId="2102681361">
    <w:abstractNumId w:val="27"/>
  </w:num>
  <w:num w:numId="22" w16cid:durableId="683095375">
    <w:abstractNumId w:val="2"/>
  </w:num>
  <w:num w:numId="23" w16cid:durableId="452945494">
    <w:abstractNumId w:val="7"/>
  </w:num>
  <w:num w:numId="24" w16cid:durableId="1911112028">
    <w:abstractNumId w:val="12"/>
  </w:num>
  <w:num w:numId="25" w16cid:durableId="901211690">
    <w:abstractNumId w:val="10"/>
  </w:num>
  <w:num w:numId="26" w16cid:durableId="813063094">
    <w:abstractNumId w:val="6"/>
  </w:num>
  <w:num w:numId="27" w16cid:durableId="383453001">
    <w:abstractNumId w:val="18"/>
  </w:num>
  <w:num w:numId="28" w16cid:durableId="974794792">
    <w:abstractNumId w:val="20"/>
  </w:num>
  <w:num w:numId="29" w16cid:durableId="2037151278">
    <w:abstractNumId w:val="15"/>
  </w:num>
  <w:num w:numId="30" w16cid:durableId="1437403849">
    <w:abstractNumId w:val="35"/>
  </w:num>
  <w:num w:numId="31" w16cid:durableId="1419718863">
    <w:abstractNumId w:val="23"/>
  </w:num>
  <w:num w:numId="32" w16cid:durableId="1673293651">
    <w:abstractNumId w:val="11"/>
  </w:num>
  <w:num w:numId="33" w16cid:durableId="1684941736">
    <w:abstractNumId w:val="30"/>
  </w:num>
  <w:num w:numId="34" w16cid:durableId="2133590515">
    <w:abstractNumId w:val="33"/>
  </w:num>
  <w:num w:numId="35" w16cid:durableId="151340250">
    <w:abstractNumId w:val="16"/>
  </w:num>
  <w:num w:numId="36" w16cid:durableId="48890590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41C"/>
    <w:rsid w:val="0000365D"/>
    <w:rsid w:val="00013C7A"/>
    <w:rsid w:val="00013DC8"/>
    <w:rsid w:val="000140E6"/>
    <w:rsid w:val="00017D45"/>
    <w:rsid w:val="00017DDE"/>
    <w:rsid w:val="00024397"/>
    <w:rsid w:val="00024821"/>
    <w:rsid w:val="0002566F"/>
    <w:rsid w:val="00027792"/>
    <w:rsid w:val="0003584A"/>
    <w:rsid w:val="000419DF"/>
    <w:rsid w:val="000436E7"/>
    <w:rsid w:val="00051562"/>
    <w:rsid w:val="000526CB"/>
    <w:rsid w:val="000533DF"/>
    <w:rsid w:val="00055615"/>
    <w:rsid w:val="0006510D"/>
    <w:rsid w:val="00067FBF"/>
    <w:rsid w:val="00070D30"/>
    <w:rsid w:val="0008011A"/>
    <w:rsid w:val="00081010"/>
    <w:rsid w:val="0008240C"/>
    <w:rsid w:val="00086085"/>
    <w:rsid w:val="000923C7"/>
    <w:rsid w:val="00093BA7"/>
    <w:rsid w:val="0009684D"/>
    <w:rsid w:val="0009707C"/>
    <w:rsid w:val="000A0E6F"/>
    <w:rsid w:val="000B3531"/>
    <w:rsid w:val="000B4065"/>
    <w:rsid w:val="000C0F3E"/>
    <w:rsid w:val="000C14BF"/>
    <w:rsid w:val="000C50B6"/>
    <w:rsid w:val="000C5CCB"/>
    <w:rsid w:val="000D1F3F"/>
    <w:rsid w:val="000D4D7E"/>
    <w:rsid w:val="000E0CC2"/>
    <w:rsid w:val="000E6520"/>
    <w:rsid w:val="000E7EDD"/>
    <w:rsid w:val="00101FF6"/>
    <w:rsid w:val="001025C6"/>
    <w:rsid w:val="00116E6D"/>
    <w:rsid w:val="00124D5C"/>
    <w:rsid w:val="00124F25"/>
    <w:rsid w:val="00127BE8"/>
    <w:rsid w:val="001307DE"/>
    <w:rsid w:val="001336A4"/>
    <w:rsid w:val="001372D8"/>
    <w:rsid w:val="0014052F"/>
    <w:rsid w:val="00142682"/>
    <w:rsid w:val="0015242C"/>
    <w:rsid w:val="00157C77"/>
    <w:rsid w:val="00161230"/>
    <w:rsid w:val="001664BD"/>
    <w:rsid w:val="001665E3"/>
    <w:rsid w:val="001703E7"/>
    <w:rsid w:val="0017684B"/>
    <w:rsid w:val="0018028C"/>
    <w:rsid w:val="00180E5E"/>
    <w:rsid w:val="001821F2"/>
    <w:rsid w:val="00184A8C"/>
    <w:rsid w:val="00186934"/>
    <w:rsid w:val="00190F1E"/>
    <w:rsid w:val="00192772"/>
    <w:rsid w:val="001958B2"/>
    <w:rsid w:val="0019774B"/>
    <w:rsid w:val="001B3CA1"/>
    <w:rsid w:val="001B51D9"/>
    <w:rsid w:val="001B5951"/>
    <w:rsid w:val="001D5C49"/>
    <w:rsid w:val="001D7732"/>
    <w:rsid w:val="001D7CC8"/>
    <w:rsid w:val="001D7D86"/>
    <w:rsid w:val="001E52F3"/>
    <w:rsid w:val="001F2AF2"/>
    <w:rsid w:val="001F5840"/>
    <w:rsid w:val="00206A12"/>
    <w:rsid w:val="00215979"/>
    <w:rsid w:val="00217A35"/>
    <w:rsid w:val="002235C0"/>
    <w:rsid w:val="002263EC"/>
    <w:rsid w:val="00231A87"/>
    <w:rsid w:val="00237D79"/>
    <w:rsid w:val="0024243D"/>
    <w:rsid w:val="002424C3"/>
    <w:rsid w:val="002547AD"/>
    <w:rsid w:val="002562E4"/>
    <w:rsid w:val="002579B3"/>
    <w:rsid w:val="0026069B"/>
    <w:rsid w:val="00266EC8"/>
    <w:rsid w:val="002812D6"/>
    <w:rsid w:val="002839E1"/>
    <w:rsid w:val="002865E1"/>
    <w:rsid w:val="00286C7D"/>
    <w:rsid w:val="0029404F"/>
    <w:rsid w:val="00294204"/>
    <w:rsid w:val="00295BCF"/>
    <w:rsid w:val="002A5368"/>
    <w:rsid w:val="002A7477"/>
    <w:rsid w:val="002B51F0"/>
    <w:rsid w:val="002C25F4"/>
    <w:rsid w:val="002C3A0D"/>
    <w:rsid w:val="002C5CB7"/>
    <w:rsid w:val="002C61BF"/>
    <w:rsid w:val="002D2E07"/>
    <w:rsid w:val="002E3941"/>
    <w:rsid w:val="002E3BDE"/>
    <w:rsid w:val="002F2442"/>
    <w:rsid w:val="002F3307"/>
    <w:rsid w:val="002F3BBB"/>
    <w:rsid w:val="002F5623"/>
    <w:rsid w:val="002F61B8"/>
    <w:rsid w:val="003023FB"/>
    <w:rsid w:val="00307CD5"/>
    <w:rsid w:val="00313FF7"/>
    <w:rsid w:val="0031465C"/>
    <w:rsid w:val="00322AE3"/>
    <w:rsid w:val="00322CE9"/>
    <w:rsid w:val="003239CB"/>
    <w:rsid w:val="0032742D"/>
    <w:rsid w:val="00333A99"/>
    <w:rsid w:val="00340F6C"/>
    <w:rsid w:val="00341F4C"/>
    <w:rsid w:val="00342FCE"/>
    <w:rsid w:val="003458C6"/>
    <w:rsid w:val="0035114F"/>
    <w:rsid w:val="003568D5"/>
    <w:rsid w:val="00357201"/>
    <w:rsid w:val="0036016A"/>
    <w:rsid w:val="00362C86"/>
    <w:rsid w:val="00362D3C"/>
    <w:rsid w:val="0036422C"/>
    <w:rsid w:val="00365BF4"/>
    <w:rsid w:val="003662E4"/>
    <w:rsid w:val="003711FB"/>
    <w:rsid w:val="00380126"/>
    <w:rsid w:val="00381834"/>
    <w:rsid w:val="00385861"/>
    <w:rsid w:val="0039695E"/>
    <w:rsid w:val="00396DDD"/>
    <w:rsid w:val="003A76A3"/>
    <w:rsid w:val="003B116C"/>
    <w:rsid w:val="003B5A42"/>
    <w:rsid w:val="003B7A50"/>
    <w:rsid w:val="003C300E"/>
    <w:rsid w:val="003D4B46"/>
    <w:rsid w:val="003D60A8"/>
    <w:rsid w:val="003E1148"/>
    <w:rsid w:val="003E4010"/>
    <w:rsid w:val="003E7119"/>
    <w:rsid w:val="003F09D0"/>
    <w:rsid w:val="003F448D"/>
    <w:rsid w:val="003F7AA3"/>
    <w:rsid w:val="004002DB"/>
    <w:rsid w:val="004014E0"/>
    <w:rsid w:val="00406D1A"/>
    <w:rsid w:val="00412FF8"/>
    <w:rsid w:val="004135CF"/>
    <w:rsid w:val="00413E2E"/>
    <w:rsid w:val="0041796D"/>
    <w:rsid w:val="0042101E"/>
    <w:rsid w:val="004225C9"/>
    <w:rsid w:val="00422D0B"/>
    <w:rsid w:val="00424554"/>
    <w:rsid w:val="00425A18"/>
    <w:rsid w:val="00431391"/>
    <w:rsid w:val="004313F7"/>
    <w:rsid w:val="00436272"/>
    <w:rsid w:val="00436918"/>
    <w:rsid w:val="00440ED1"/>
    <w:rsid w:val="0044309F"/>
    <w:rsid w:val="00452B39"/>
    <w:rsid w:val="0045719B"/>
    <w:rsid w:val="00465A05"/>
    <w:rsid w:val="0047281A"/>
    <w:rsid w:val="004855F5"/>
    <w:rsid w:val="00487E72"/>
    <w:rsid w:val="004963F6"/>
    <w:rsid w:val="00496866"/>
    <w:rsid w:val="004A06E0"/>
    <w:rsid w:val="004A0A5F"/>
    <w:rsid w:val="004A4610"/>
    <w:rsid w:val="004A5684"/>
    <w:rsid w:val="004B58B7"/>
    <w:rsid w:val="004D607F"/>
    <w:rsid w:val="004F1E31"/>
    <w:rsid w:val="004F3FD3"/>
    <w:rsid w:val="004F7482"/>
    <w:rsid w:val="00503332"/>
    <w:rsid w:val="005038CA"/>
    <w:rsid w:val="00514AAA"/>
    <w:rsid w:val="00514DA6"/>
    <w:rsid w:val="00522F9B"/>
    <w:rsid w:val="00524A2B"/>
    <w:rsid w:val="005259F3"/>
    <w:rsid w:val="00527D1B"/>
    <w:rsid w:val="005319DF"/>
    <w:rsid w:val="005337C7"/>
    <w:rsid w:val="00537E0E"/>
    <w:rsid w:val="00543F40"/>
    <w:rsid w:val="00544F3D"/>
    <w:rsid w:val="00546C38"/>
    <w:rsid w:val="005533D7"/>
    <w:rsid w:val="00557227"/>
    <w:rsid w:val="00557B15"/>
    <w:rsid w:val="00572E91"/>
    <w:rsid w:val="005731ED"/>
    <w:rsid w:val="005801B3"/>
    <w:rsid w:val="005805B2"/>
    <w:rsid w:val="00580B27"/>
    <w:rsid w:val="00585C31"/>
    <w:rsid w:val="00586CB2"/>
    <w:rsid w:val="005961E6"/>
    <w:rsid w:val="005A45CC"/>
    <w:rsid w:val="005A4A7E"/>
    <w:rsid w:val="005A5077"/>
    <w:rsid w:val="005B1EFC"/>
    <w:rsid w:val="005B5976"/>
    <w:rsid w:val="005C1F64"/>
    <w:rsid w:val="005C2C98"/>
    <w:rsid w:val="005D097B"/>
    <w:rsid w:val="005E2188"/>
    <w:rsid w:val="005E30FC"/>
    <w:rsid w:val="005E3620"/>
    <w:rsid w:val="005F01D9"/>
    <w:rsid w:val="005F49CB"/>
    <w:rsid w:val="00602349"/>
    <w:rsid w:val="00602F72"/>
    <w:rsid w:val="00603C4A"/>
    <w:rsid w:val="006054DD"/>
    <w:rsid w:val="00605EB1"/>
    <w:rsid w:val="006061C0"/>
    <w:rsid w:val="00614019"/>
    <w:rsid w:val="006257E3"/>
    <w:rsid w:val="00630509"/>
    <w:rsid w:val="00631BE7"/>
    <w:rsid w:val="0064045D"/>
    <w:rsid w:val="00640A54"/>
    <w:rsid w:val="00641744"/>
    <w:rsid w:val="00641E4E"/>
    <w:rsid w:val="00642BED"/>
    <w:rsid w:val="00643BCA"/>
    <w:rsid w:val="00645957"/>
    <w:rsid w:val="00647F89"/>
    <w:rsid w:val="00650E78"/>
    <w:rsid w:val="00651C25"/>
    <w:rsid w:val="0066027D"/>
    <w:rsid w:val="00661725"/>
    <w:rsid w:val="0066328A"/>
    <w:rsid w:val="00664BF3"/>
    <w:rsid w:val="00665CF9"/>
    <w:rsid w:val="00665DD0"/>
    <w:rsid w:val="00671890"/>
    <w:rsid w:val="00675581"/>
    <w:rsid w:val="00676B72"/>
    <w:rsid w:val="00680821"/>
    <w:rsid w:val="00684DDF"/>
    <w:rsid w:val="00693E63"/>
    <w:rsid w:val="00696D2F"/>
    <w:rsid w:val="0069716D"/>
    <w:rsid w:val="00697EDE"/>
    <w:rsid w:val="006A1EBA"/>
    <w:rsid w:val="006A5117"/>
    <w:rsid w:val="006B4EFC"/>
    <w:rsid w:val="006C07D2"/>
    <w:rsid w:val="006C26FB"/>
    <w:rsid w:val="006C4681"/>
    <w:rsid w:val="006C7DC8"/>
    <w:rsid w:val="006E3247"/>
    <w:rsid w:val="006E5648"/>
    <w:rsid w:val="006F0019"/>
    <w:rsid w:val="006F3E6B"/>
    <w:rsid w:val="006F4FED"/>
    <w:rsid w:val="006F51A3"/>
    <w:rsid w:val="006F6196"/>
    <w:rsid w:val="00701E55"/>
    <w:rsid w:val="007103B6"/>
    <w:rsid w:val="00713968"/>
    <w:rsid w:val="00726E39"/>
    <w:rsid w:val="00730FD0"/>
    <w:rsid w:val="007331C1"/>
    <w:rsid w:val="00736568"/>
    <w:rsid w:val="00736B57"/>
    <w:rsid w:val="007419E4"/>
    <w:rsid w:val="007433D4"/>
    <w:rsid w:val="00746B48"/>
    <w:rsid w:val="0075046D"/>
    <w:rsid w:val="00751266"/>
    <w:rsid w:val="0075308E"/>
    <w:rsid w:val="00764D47"/>
    <w:rsid w:val="0076504B"/>
    <w:rsid w:val="0076537B"/>
    <w:rsid w:val="007707F8"/>
    <w:rsid w:val="00774759"/>
    <w:rsid w:val="00775238"/>
    <w:rsid w:val="00775810"/>
    <w:rsid w:val="00775E70"/>
    <w:rsid w:val="00777BB5"/>
    <w:rsid w:val="00782DB4"/>
    <w:rsid w:val="007900EC"/>
    <w:rsid w:val="00792156"/>
    <w:rsid w:val="0079365F"/>
    <w:rsid w:val="00793B64"/>
    <w:rsid w:val="00796CE1"/>
    <w:rsid w:val="00796FC1"/>
    <w:rsid w:val="007A09C4"/>
    <w:rsid w:val="007A2DEE"/>
    <w:rsid w:val="007A5869"/>
    <w:rsid w:val="007B3932"/>
    <w:rsid w:val="007B4578"/>
    <w:rsid w:val="007C131A"/>
    <w:rsid w:val="007C14D1"/>
    <w:rsid w:val="007C15F3"/>
    <w:rsid w:val="007C3BA9"/>
    <w:rsid w:val="007C690A"/>
    <w:rsid w:val="007C6AE0"/>
    <w:rsid w:val="007D12A1"/>
    <w:rsid w:val="007E006E"/>
    <w:rsid w:val="007E2119"/>
    <w:rsid w:val="007E364C"/>
    <w:rsid w:val="007E5F60"/>
    <w:rsid w:val="007E7BD9"/>
    <w:rsid w:val="007F05E1"/>
    <w:rsid w:val="007F3C60"/>
    <w:rsid w:val="007F419C"/>
    <w:rsid w:val="007F4344"/>
    <w:rsid w:val="00803C40"/>
    <w:rsid w:val="0080753F"/>
    <w:rsid w:val="008173AF"/>
    <w:rsid w:val="0082041F"/>
    <w:rsid w:val="00822F59"/>
    <w:rsid w:val="00823E13"/>
    <w:rsid w:val="00831188"/>
    <w:rsid w:val="008312E5"/>
    <w:rsid w:val="0083139C"/>
    <w:rsid w:val="00832737"/>
    <w:rsid w:val="00832F3B"/>
    <w:rsid w:val="00833206"/>
    <w:rsid w:val="008344FD"/>
    <w:rsid w:val="0083685B"/>
    <w:rsid w:val="00836977"/>
    <w:rsid w:val="00842D13"/>
    <w:rsid w:val="00842DA7"/>
    <w:rsid w:val="008439F2"/>
    <w:rsid w:val="00844E80"/>
    <w:rsid w:val="008464B6"/>
    <w:rsid w:val="00850A29"/>
    <w:rsid w:val="00851A5D"/>
    <w:rsid w:val="0086149D"/>
    <w:rsid w:val="008627ED"/>
    <w:rsid w:val="00866873"/>
    <w:rsid w:val="008704C5"/>
    <w:rsid w:val="00872EB9"/>
    <w:rsid w:val="00874D03"/>
    <w:rsid w:val="008837E4"/>
    <w:rsid w:val="008844FE"/>
    <w:rsid w:val="00885FBB"/>
    <w:rsid w:val="0089379F"/>
    <w:rsid w:val="008954F6"/>
    <w:rsid w:val="00896228"/>
    <w:rsid w:val="008A04F0"/>
    <w:rsid w:val="008A1F58"/>
    <w:rsid w:val="008A36EF"/>
    <w:rsid w:val="008A56EF"/>
    <w:rsid w:val="008B49F1"/>
    <w:rsid w:val="008C03D4"/>
    <w:rsid w:val="008C7811"/>
    <w:rsid w:val="008D336D"/>
    <w:rsid w:val="008D693A"/>
    <w:rsid w:val="008E49EF"/>
    <w:rsid w:val="008E502F"/>
    <w:rsid w:val="008F2F5F"/>
    <w:rsid w:val="008F541C"/>
    <w:rsid w:val="00911029"/>
    <w:rsid w:val="0091382F"/>
    <w:rsid w:val="00920D68"/>
    <w:rsid w:val="00921849"/>
    <w:rsid w:val="00922191"/>
    <w:rsid w:val="0092503C"/>
    <w:rsid w:val="00926F14"/>
    <w:rsid w:val="00933193"/>
    <w:rsid w:val="009378DA"/>
    <w:rsid w:val="009378DE"/>
    <w:rsid w:val="009418C6"/>
    <w:rsid w:val="0094348C"/>
    <w:rsid w:val="00943A0F"/>
    <w:rsid w:val="009477F7"/>
    <w:rsid w:val="00952DDA"/>
    <w:rsid w:val="00953784"/>
    <w:rsid w:val="009601BF"/>
    <w:rsid w:val="00961246"/>
    <w:rsid w:val="00962140"/>
    <w:rsid w:val="00962766"/>
    <w:rsid w:val="0096313D"/>
    <w:rsid w:val="00971784"/>
    <w:rsid w:val="00976EDD"/>
    <w:rsid w:val="00981661"/>
    <w:rsid w:val="00981F90"/>
    <w:rsid w:val="00994926"/>
    <w:rsid w:val="0099591E"/>
    <w:rsid w:val="00995A56"/>
    <w:rsid w:val="009A0BF7"/>
    <w:rsid w:val="009A54B6"/>
    <w:rsid w:val="009A6192"/>
    <w:rsid w:val="009A7C6C"/>
    <w:rsid w:val="009B6147"/>
    <w:rsid w:val="009B6C47"/>
    <w:rsid w:val="009B790F"/>
    <w:rsid w:val="009C4CEB"/>
    <w:rsid w:val="009D0311"/>
    <w:rsid w:val="009D223F"/>
    <w:rsid w:val="009E0263"/>
    <w:rsid w:val="009E164A"/>
    <w:rsid w:val="009E232E"/>
    <w:rsid w:val="009E634C"/>
    <w:rsid w:val="009E68D4"/>
    <w:rsid w:val="009E739F"/>
    <w:rsid w:val="009E7489"/>
    <w:rsid w:val="009F013C"/>
    <w:rsid w:val="009F1349"/>
    <w:rsid w:val="009F1C5A"/>
    <w:rsid w:val="009F3205"/>
    <w:rsid w:val="009F3C0F"/>
    <w:rsid w:val="00A043E1"/>
    <w:rsid w:val="00A0480B"/>
    <w:rsid w:val="00A068B8"/>
    <w:rsid w:val="00A0739A"/>
    <w:rsid w:val="00A10E37"/>
    <w:rsid w:val="00A11F08"/>
    <w:rsid w:val="00A128BA"/>
    <w:rsid w:val="00A15CD2"/>
    <w:rsid w:val="00A21DFD"/>
    <w:rsid w:val="00A250FB"/>
    <w:rsid w:val="00A260AF"/>
    <w:rsid w:val="00A27598"/>
    <w:rsid w:val="00A30178"/>
    <w:rsid w:val="00A33679"/>
    <w:rsid w:val="00A3375A"/>
    <w:rsid w:val="00A35F8F"/>
    <w:rsid w:val="00A36019"/>
    <w:rsid w:val="00A3673E"/>
    <w:rsid w:val="00A372D3"/>
    <w:rsid w:val="00A406FE"/>
    <w:rsid w:val="00A409A0"/>
    <w:rsid w:val="00A55402"/>
    <w:rsid w:val="00A567B6"/>
    <w:rsid w:val="00A6208E"/>
    <w:rsid w:val="00A638B0"/>
    <w:rsid w:val="00A671FA"/>
    <w:rsid w:val="00A70FFD"/>
    <w:rsid w:val="00A73AD9"/>
    <w:rsid w:val="00A83557"/>
    <w:rsid w:val="00A85F74"/>
    <w:rsid w:val="00A918E5"/>
    <w:rsid w:val="00A932B5"/>
    <w:rsid w:val="00A94B6E"/>
    <w:rsid w:val="00A94D1D"/>
    <w:rsid w:val="00AA1A36"/>
    <w:rsid w:val="00AA1F00"/>
    <w:rsid w:val="00AA3365"/>
    <w:rsid w:val="00AA476A"/>
    <w:rsid w:val="00AB15E8"/>
    <w:rsid w:val="00AB2782"/>
    <w:rsid w:val="00AB4EAB"/>
    <w:rsid w:val="00AB5A11"/>
    <w:rsid w:val="00AC05FD"/>
    <w:rsid w:val="00AC489D"/>
    <w:rsid w:val="00AD5A52"/>
    <w:rsid w:val="00AE047C"/>
    <w:rsid w:val="00AE67C8"/>
    <w:rsid w:val="00AF44AA"/>
    <w:rsid w:val="00AF5561"/>
    <w:rsid w:val="00AF6552"/>
    <w:rsid w:val="00B049A2"/>
    <w:rsid w:val="00B04B68"/>
    <w:rsid w:val="00B0571A"/>
    <w:rsid w:val="00B069AA"/>
    <w:rsid w:val="00B1139A"/>
    <w:rsid w:val="00B20A0A"/>
    <w:rsid w:val="00B22161"/>
    <w:rsid w:val="00B253D5"/>
    <w:rsid w:val="00B2738D"/>
    <w:rsid w:val="00B352C4"/>
    <w:rsid w:val="00B36764"/>
    <w:rsid w:val="00B37F98"/>
    <w:rsid w:val="00B410B1"/>
    <w:rsid w:val="00B4352A"/>
    <w:rsid w:val="00B44778"/>
    <w:rsid w:val="00B458BF"/>
    <w:rsid w:val="00B47D1D"/>
    <w:rsid w:val="00B500E8"/>
    <w:rsid w:val="00B5183B"/>
    <w:rsid w:val="00B56E7B"/>
    <w:rsid w:val="00B57CAC"/>
    <w:rsid w:val="00B60E31"/>
    <w:rsid w:val="00B64D4D"/>
    <w:rsid w:val="00B71CFB"/>
    <w:rsid w:val="00B720BF"/>
    <w:rsid w:val="00B730F1"/>
    <w:rsid w:val="00B74F04"/>
    <w:rsid w:val="00B81942"/>
    <w:rsid w:val="00B837B7"/>
    <w:rsid w:val="00B94818"/>
    <w:rsid w:val="00B94A99"/>
    <w:rsid w:val="00B958B3"/>
    <w:rsid w:val="00BA01F2"/>
    <w:rsid w:val="00BA6290"/>
    <w:rsid w:val="00BA696E"/>
    <w:rsid w:val="00BB03D3"/>
    <w:rsid w:val="00BB1389"/>
    <w:rsid w:val="00BB3645"/>
    <w:rsid w:val="00BC65CE"/>
    <w:rsid w:val="00BC7DF7"/>
    <w:rsid w:val="00BD246F"/>
    <w:rsid w:val="00BD6BA0"/>
    <w:rsid w:val="00BE4E4C"/>
    <w:rsid w:val="00BF0948"/>
    <w:rsid w:val="00BF64C5"/>
    <w:rsid w:val="00BF78A0"/>
    <w:rsid w:val="00C03712"/>
    <w:rsid w:val="00C052E4"/>
    <w:rsid w:val="00C05D42"/>
    <w:rsid w:val="00C108A7"/>
    <w:rsid w:val="00C20896"/>
    <w:rsid w:val="00C2383E"/>
    <w:rsid w:val="00C24DE5"/>
    <w:rsid w:val="00C305E3"/>
    <w:rsid w:val="00C33A1C"/>
    <w:rsid w:val="00C37710"/>
    <w:rsid w:val="00C378D7"/>
    <w:rsid w:val="00C40F54"/>
    <w:rsid w:val="00C41006"/>
    <w:rsid w:val="00C43BB3"/>
    <w:rsid w:val="00C46A3A"/>
    <w:rsid w:val="00C46A3B"/>
    <w:rsid w:val="00C50926"/>
    <w:rsid w:val="00C610DD"/>
    <w:rsid w:val="00C72AB4"/>
    <w:rsid w:val="00C730A5"/>
    <w:rsid w:val="00C842E8"/>
    <w:rsid w:val="00C8657B"/>
    <w:rsid w:val="00C8736F"/>
    <w:rsid w:val="00C913BC"/>
    <w:rsid w:val="00C95C3F"/>
    <w:rsid w:val="00CA08A3"/>
    <w:rsid w:val="00CA3B4C"/>
    <w:rsid w:val="00CA45B8"/>
    <w:rsid w:val="00CA5041"/>
    <w:rsid w:val="00CA6838"/>
    <w:rsid w:val="00CA793D"/>
    <w:rsid w:val="00CB70E7"/>
    <w:rsid w:val="00CC012C"/>
    <w:rsid w:val="00CC01F0"/>
    <w:rsid w:val="00CC321D"/>
    <w:rsid w:val="00CC3F3C"/>
    <w:rsid w:val="00CC5E35"/>
    <w:rsid w:val="00CD1CDD"/>
    <w:rsid w:val="00CD2D42"/>
    <w:rsid w:val="00CD48ED"/>
    <w:rsid w:val="00CE173B"/>
    <w:rsid w:val="00CE241A"/>
    <w:rsid w:val="00CE352A"/>
    <w:rsid w:val="00CE5BFC"/>
    <w:rsid w:val="00CE6F4D"/>
    <w:rsid w:val="00CE7959"/>
    <w:rsid w:val="00CF3584"/>
    <w:rsid w:val="00CF3A41"/>
    <w:rsid w:val="00D12CD2"/>
    <w:rsid w:val="00D20DFC"/>
    <w:rsid w:val="00D20F26"/>
    <w:rsid w:val="00D24188"/>
    <w:rsid w:val="00D27687"/>
    <w:rsid w:val="00D27E28"/>
    <w:rsid w:val="00D42D38"/>
    <w:rsid w:val="00D44475"/>
    <w:rsid w:val="00D45F7B"/>
    <w:rsid w:val="00D508C0"/>
    <w:rsid w:val="00D52108"/>
    <w:rsid w:val="00D608EE"/>
    <w:rsid w:val="00D62F96"/>
    <w:rsid w:val="00D66254"/>
    <w:rsid w:val="00D67348"/>
    <w:rsid w:val="00D7014B"/>
    <w:rsid w:val="00D714B2"/>
    <w:rsid w:val="00D7318B"/>
    <w:rsid w:val="00D76736"/>
    <w:rsid w:val="00D82FAB"/>
    <w:rsid w:val="00D878A6"/>
    <w:rsid w:val="00D963CB"/>
    <w:rsid w:val="00DA0A8C"/>
    <w:rsid w:val="00DA2622"/>
    <w:rsid w:val="00DA3243"/>
    <w:rsid w:val="00DA44AB"/>
    <w:rsid w:val="00DA56BC"/>
    <w:rsid w:val="00DA5EDD"/>
    <w:rsid w:val="00DA6A9A"/>
    <w:rsid w:val="00DB0CB3"/>
    <w:rsid w:val="00DB475D"/>
    <w:rsid w:val="00DB5AD5"/>
    <w:rsid w:val="00DC0238"/>
    <w:rsid w:val="00DC06A9"/>
    <w:rsid w:val="00DC1DE8"/>
    <w:rsid w:val="00DC7002"/>
    <w:rsid w:val="00DD15BF"/>
    <w:rsid w:val="00DD2AF4"/>
    <w:rsid w:val="00DD7794"/>
    <w:rsid w:val="00DE200C"/>
    <w:rsid w:val="00DF4690"/>
    <w:rsid w:val="00DF6886"/>
    <w:rsid w:val="00DF6AD2"/>
    <w:rsid w:val="00E11329"/>
    <w:rsid w:val="00E12122"/>
    <w:rsid w:val="00E14902"/>
    <w:rsid w:val="00E20693"/>
    <w:rsid w:val="00E233E4"/>
    <w:rsid w:val="00E239C9"/>
    <w:rsid w:val="00E25F35"/>
    <w:rsid w:val="00E35D63"/>
    <w:rsid w:val="00E40576"/>
    <w:rsid w:val="00E44276"/>
    <w:rsid w:val="00E452B0"/>
    <w:rsid w:val="00E45C6B"/>
    <w:rsid w:val="00E56273"/>
    <w:rsid w:val="00E6235F"/>
    <w:rsid w:val="00E70CDF"/>
    <w:rsid w:val="00E77D0F"/>
    <w:rsid w:val="00E825CA"/>
    <w:rsid w:val="00E82B30"/>
    <w:rsid w:val="00E837E0"/>
    <w:rsid w:val="00E85858"/>
    <w:rsid w:val="00E9335A"/>
    <w:rsid w:val="00E9425A"/>
    <w:rsid w:val="00E9635B"/>
    <w:rsid w:val="00E973D2"/>
    <w:rsid w:val="00E97649"/>
    <w:rsid w:val="00EA136C"/>
    <w:rsid w:val="00EA720C"/>
    <w:rsid w:val="00EA7EBE"/>
    <w:rsid w:val="00EB2969"/>
    <w:rsid w:val="00EB48F8"/>
    <w:rsid w:val="00EB4A96"/>
    <w:rsid w:val="00EC09AD"/>
    <w:rsid w:val="00EC2227"/>
    <w:rsid w:val="00EC401F"/>
    <w:rsid w:val="00ED09ED"/>
    <w:rsid w:val="00ED22A8"/>
    <w:rsid w:val="00ED2AB1"/>
    <w:rsid w:val="00ED5993"/>
    <w:rsid w:val="00EE5532"/>
    <w:rsid w:val="00EF1958"/>
    <w:rsid w:val="00F00B60"/>
    <w:rsid w:val="00F1094C"/>
    <w:rsid w:val="00F12B1E"/>
    <w:rsid w:val="00F139B8"/>
    <w:rsid w:val="00F154E0"/>
    <w:rsid w:val="00F167D6"/>
    <w:rsid w:val="00F20333"/>
    <w:rsid w:val="00F21EEE"/>
    <w:rsid w:val="00F23CCF"/>
    <w:rsid w:val="00F30325"/>
    <w:rsid w:val="00F336BC"/>
    <w:rsid w:val="00F34166"/>
    <w:rsid w:val="00F349F2"/>
    <w:rsid w:val="00F35282"/>
    <w:rsid w:val="00F51A43"/>
    <w:rsid w:val="00F53763"/>
    <w:rsid w:val="00F55996"/>
    <w:rsid w:val="00F55B88"/>
    <w:rsid w:val="00F67559"/>
    <w:rsid w:val="00F709F0"/>
    <w:rsid w:val="00F70D57"/>
    <w:rsid w:val="00F7727A"/>
    <w:rsid w:val="00F90420"/>
    <w:rsid w:val="00F91EB4"/>
    <w:rsid w:val="00F920BC"/>
    <w:rsid w:val="00F94BF8"/>
    <w:rsid w:val="00F95448"/>
    <w:rsid w:val="00F95755"/>
    <w:rsid w:val="00F96FE4"/>
    <w:rsid w:val="00FA3B74"/>
    <w:rsid w:val="00FB2799"/>
    <w:rsid w:val="00FB4760"/>
    <w:rsid w:val="00FC5E8A"/>
    <w:rsid w:val="00FD088F"/>
    <w:rsid w:val="00FD0A4C"/>
    <w:rsid w:val="00FD1254"/>
    <w:rsid w:val="00FD34CB"/>
    <w:rsid w:val="00FD690E"/>
    <w:rsid w:val="00FE2BF9"/>
    <w:rsid w:val="00FE5A8B"/>
    <w:rsid w:val="00FE6679"/>
    <w:rsid w:val="00FF00DC"/>
    <w:rsid w:val="00FF1D84"/>
    <w:rsid w:val="00FF778A"/>
    <w:rsid w:val="06D5F719"/>
    <w:rsid w:val="0BABDC9C"/>
    <w:rsid w:val="3F4208E4"/>
    <w:rsid w:val="4EBE3A66"/>
    <w:rsid w:val="66FA9D64"/>
    <w:rsid w:val="67B7F8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5BA14"/>
  <w15:chartTrackingRefBased/>
  <w15:docId w15:val="{E734FA24-09EC-4D45-A852-DD21788ED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41C"/>
    <w:pPr>
      <w:jc w:val="both"/>
    </w:pPr>
  </w:style>
  <w:style w:type="paragraph" w:styleId="Heading1">
    <w:name w:val="heading 1"/>
    <w:basedOn w:val="Normal"/>
    <w:next w:val="Normal"/>
    <w:link w:val="Heading1Char"/>
    <w:uiPriority w:val="9"/>
    <w:qFormat/>
    <w:rsid w:val="008F541C"/>
    <w:pPr>
      <w:keepNext/>
      <w:keepLines/>
      <w:spacing w:before="360" w:after="80" w:line="360" w:lineRule="auto"/>
      <w:outlineLvl w:val="0"/>
    </w:pPr>
    <w:rPr>
      <w:rFonts w:asciiTheme="majorHAnsi" w:eastAsiaTheme="majorEastAsia" w:hAnsiTheme="majorHAnsi" w:cstheme="majorBidi"/>
      <w:b/>
      <w:bCs/>
      <w:color w:val="156082" w:themeColor="accent1"/>
      <w:sz w:val="28"/>
      <w:szCs w:val="28"/>
    </w:rPr>
  </w:style>
  <w:style w:type="paragraph" w:styleId="Heading2">
    <w:name w:val="heading 2"/>
    <w:basedOn w:val="Normal"/>
    <w:next w:val="Normal"/>
    <w:link w:val="Heading2Char"/>
    <w:uiPriority w:val="9"/>
    <w:unhideWhenUsed/>
    <w:qFormat/>
    <w:rsid w:val="008F541C"/>
    <w:pPr>
      <w:keepNext/>
      <w:keepLines/>
      <w:spacing w:before="160" w:after="80" w:line="360" w:lineRule="auto"/>
      <w:outlineLvl w:val="1"/>
    </w:pPr>
    <w:rPr>
      <w:rFonts w:asciiTheme="majorHAnsi" w:eastAsiaTheme="majorEastAsia" w:hAnsiTheme="majorHAnsi" w:cstheme="majorBidi"/>
      <w:b/>
      <w:bCs/>
      <w:sz w:val="24"/>
      <w:szCs w:val="24"/>
    </w:rPr>
  </w:style>
  <w:style w:type="paragraph" w:styleId="Heading3">
    <w:name w:val="heading 3"/>
    <w:basedOn w:val="Normal"/>
    <w:next w:val="Normal"/>
    <w:link w:val="Heading3Char"/>
    <w:uiPriority w:val="9"/>
    <w:semiHidden/>
    <w:unhideWhenUsed/>
    <w:qFormat/>
    <w:rsid w:val="008F54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54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54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54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54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54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54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41C"/>
    <w:rPr>
      <w:rFonts w:asciiTheme="majorHAnsi" w:eastAsiaTheme="majorEastAsia" w:hAnsiTheme="majorHAnsi" w:cstheme="majorBidi"/>
      <w:b/>
      <w:bCs/>
      <w:color w:val="156082" w:themeColor="accent1"/>
      <w:sz w:val="28"/>
      <w:szCs w:val="28"/>
    </w:rPr>
  </w:style>
  <w:style w:type="character" w:customStyle="1" w:styleId="Heading2Char">
    <w:name w:val="Heading 2 Char"/>
    <w:basedOn w:val="DefaultParagraphFont"/>
    <w:link w:val="Heading2"/>
    <w:uiPriority w:val="9"/>
    <w:rsid w:val="008F541C"/>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semiHidden/>
    <w:rsid w:val="008F54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54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54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54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54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54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541C"/>
    <w:rPr>
      <w:rFonts w:eastAsiaTheme="majorEastAsia" w:cstheme="majorBidi"/>
      <w:color w:val="272727" w:themeColor="text1" w:themeTint="D8"/>
    </w:rPr>
  </w:style>
  <w:style w:type="paragraph" w:styleId="Title">
    <w:name w:val="Title"/>
    <w:basedOn w:val="Normal"/>
    <w:next w:val="Normal"/>
    <w:link w:val="TitleChar"/>
    <w:uiPriority w:val="10"/>
    <w:qFormat/>
    <w:rsid w:val="008F54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54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4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54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541C"/>
    <w:pPr>
      <w:spacing w:before="160"/>
      <w:jc w:val="center"/>
    </w:pPr>
    <w:rPr>
      <w:i/>
      <w:iCs/>
      <w:color w:val="404040" w:themeColor="text1" w:themeTint="BF"/>
    </w:rPr>
  </w:style>
  <w:style w:type="character" w:customStyle="1" w:styleId="QuoteChar">
    <w:name w:val="Quote Char"/>
    <w:basedOn w:val="DefaultParagraphFont"/>
    <w:link w:val="Quote"/>
    <w:uiPriority w:val="29"/>
    <w:rsid w:val="008F541C"/>
    <w:rPr>
      <w:i/>
      <w:iCs/>
      <w:color w:val="404040" w:themeColor="text1" w:themeTint="BF"/>
    </w:rPr>
  </w:style>
  <w:style w:type="paragraph" w:styleId="ListParagraph">
    <w:name w:val="List Paragraph"/>
    <w:basedOn w:val="Normal"/>
    <w:uiPriority w:val="34"/>
    <w:qFormat/>
    <w:rsid w:val="008F541C"/>
    <w:pPr>
      <w:ind w:left="720"/>
      <w:contextualSpacing/>
    </w:pPr>
  </w:style>
  <w:style w:type="character" w:styleId="IntenseEmphasis">
    <w:name w:val="Intense Emphasis"/>
    <w:basedOn w:val="DefaultParagraphFont"/>
    <w:uiPriority w:val="21"/>
    <w:qFormat/>
    <w:rsid w:val="008F541C"/>
    <w:rPr>
      <w:i/>
      <w:iCs/>
      <w:color w:val="0F4761" w:themeColor="accent1" w:themeShade="BF"/>
    </w:rPr>
  </w:style>
  <w:style w:type="paragraph" w:styleId="IntenseQuote">
    <w:name w:val="Intense Quote"/>
    <w:basedOn w:val="Normal"/>
    <w:next w:val="Normal"/>
    <w:link w:val="IntenseQuoteChar"/>
    <w:uiPriority w:val="30"/>
    <w:qFormat/>
    <w:rsid w:val="008F54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541C"/>
    <w:rPr>
      <w:i/>
      <w:iCs/>
      <w:color w:val="0F4761" w:themeColor="accent1" w:themeShade="BF"/>
    </w:rPr>
  </w:style>
  <w:style w:type="character" w:styleId="IntenseReference">
    <w:name w:val="Intense Reference"/>
    <w:basedOn w:val="DefaultParagraphFont"/>
    <w:uiPriority w:val="32"/>
    <w:qFormat/>
    <w:rsid w:val="008F541C"/>
    <w:rPr>
      <w:b/>
      <w:bCs/>
      <w:smallCaps/>
      <w:color w:val="0F4761" w:themeColor="accent1" w:themeShade="BF"/>
      <w:spacing w:val="5"/>
    </w:rPr>
  </w:style>
  <w:style w:type="character" w:styleId="Hyperlink">
    <w:name w:val="Hyperlink"/>
    <w:basedOn w:val="DefaultParagraphFont"/>
    <w:uiPriority w:val="99"/>
    <w:unhideWhenUsed/>
    <w:rsid w:val="003B5A42"/>
    <w:rPr>
      <w:color w:val="467886" w:themeColor="hyperlink"/>
      <w:u w:val="single"/>
    </w:rPr>
  </w:style>
  <w:style w:type="paragraph" w:styleId="FootnoteText">
    <w:name w:val="footnote text"/>
    <w:basedOn w:val="Normal"/>
    <w:link w:val="FootnoteTextChar"/>
    <w:uiPriority w:val="99"/>
    <w:semiHidden/>
    <w:unhideWhenUsed/>
    <w:rsid w:val="003B5A42"/>
    <w:pPr>
      <w:spacing w:after="0" w:line="240" w:lineRule="auto"/>
      <w:jc w:val="left"/>
    </w:pPr>
    <w:rPr>
      <w:sz w:val="20"/>
      <w:szCs w:val="20"/>
    </w:rPr>
  </w:style>
  <w:style w:type="character" w:customStyle="1" w:styleId="FootnoteTextChar">
    <w:name w:val="Footnote Text Char"/>
    <w:basedOn w:val="DefaultParagraphFont"/>
    <w:link w:val="FootnoteText"/>
    <w:uiPriority w:val="99"/>
    <w:semiHidden/>
    <w:rsid w:val="003B5A42"/>
    <w:rPr>
      <w:sz w:val="20"/>
      <w:szCs w:val="20"/>
    </w:rPr>
  </w:style>
  <w:style w:type="character" w:styleId="FootnoteReference">
    <w:name w:val="footnote reference"/>
    <w:basedOn w:val="DefaultParagraphFont"/>
    <w:uiPriority w:val="99"/>
    <w:semiHidden/>
    <w:unhideWhenUsed/>
    <w:rsid w:val="003B5A42"/>
    <w:rPr>
      <w:vertAlign w:val="superscript"/>
    </w:rPr>
  </w:style>
  <w:style w:type="character" w:styleId="FollowedHyperlink">
    <w:name w:val="FollowedHyperlink"/>
    <w:basedOn w:val="DefaultParagraphFont"/>
    <w:uiPriority w:val="99"/>
    <w:semiHidden/>
    <w:unhideWhenUsed/>
    <w:rsid w:val="003B5A42"/>
    <w:rPr>
      <w:color w:val="96607D" w:themeColor="followedHyperlink"/>
      <w:u w:val="single"/>
    </w:rPr>
  </w:style>
  <w:style w:type="paragraph" w:styleId="TOCHeading">
    <w:name w:val="TOC Heading"/>
    <w:basedOn w:val="Heading1"/>
    <w:next w:val="Normal"/>
    <w:uiPriority w:val="39"/>
    <w:unhideWhenUsed/>
    <w:qFormat/>
    <w:rsid w:val="00322AE3"/>
    <w:pPr>
      <w:spacing w:before="480" w:after="0" w:line="276" w:lineRule="auto"/>
      <w:jc w:val="left"/>
      <w:outlineLvl w:val="9"/>
    </w:pPr>
    <w:rPr>
      <w:color w:val="0F4761" w:themeColor="accent1" w:themeShade="BF"/>
      <w:kern w:val="0"/>
      <w:lang w:val="en-US"/>
      <w14:ligatures w14:val="none"/>
    </w:rPr>
  </w:style>
  <w:style w:type="paragraph" w:styleId="TOC1">
    <w:name w:val="toc 1"/>
    <w:basedOn w:val="Normal"/>
    <w:next w:val="Normal"/>
    <w:autoRedefine/>
    <w:uiPriority w:val="39"/>
    <w:unhideWhenUsed/>
    <w:rsid w:val="00322AE3"/>
    <w:pPr>
      <w:spacing w:before="120" w:after="120"/>
      <w:jc w:val="left"/>
    </w:pPr>
    <w:rPr>
      <w:b/>
      <w:bCs/>
      <w:caps/>
      <w:sz w:val="20"/>
      <w:szCs w:val="20"/>
    </w:rPr>
  </w:style>
  <w:style w:type="paragraph" w:styleId="TOC2">
    <w:name w:val="toc 2"/>
    <w:basedOn w:val="Normal"/>
    <w:next w:val="Normal"/>
    <w:autoRedefine/>
    <w:uiPriority w:val="39"/>
    <w:unhideWhenUsed/>
    <w:rsid w:val="00322AE3"/>
    <w:pPr>
      <w:spacing w:after="0"/>
      <w:ind w:left="220"/>
      <w:jc w:val="left"/>
    </w:pPr>
    <w:rPr>
      <w:smallCaps/>
      <w:sz w:val="20"/>
      <w:szCs w:val="20"/>
    </w:rPr>
  </w:style>
  <w:style w:type="table" w:styleId="TableGrid">
    <w:name w:val="Table Grid"/>
    <w:basedOn w:val="TableNormal"/>
    <w:uiPriority w:val="39"/>
    <w:rsid w:val="00BC6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42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2E8"/>
  </w:style>
  <w:style w:type="paragraph" w:styleId="Footer">
    <w:name w:val="footer"/>
    <w:basedOn w:val="Normal"/>
    <w:link w:val="FooterChar"/>
    <w:uiPriority w:val="99"/>
    <w:unhideWhenUsed/>
    <w:rsid w:val="00C842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776539">
      <w:bodyDiv w:val="1"/>
      <w:marLeft w:val="0"/>
      <w:marRight w:val="0"/>
      <w:marTop w:val="0"/>
      <w:marBottom w:val="0"/>
      <w:divBdr>
        <w:top w:val="none" w:sz="0" w:space="0" w:color="auto"/>
        <w:left w:val="none" w:sz="0" w:space="0" w:color="auto"/>
        <w:bottom w:val="none" w:sz="0" w:space="0" w:color="auto"/>
        <w:right w:val="none" w:sz="0" w:space="0" w:color="auto"/>
      </w:divBdr>
    </w:div>
    <w:div w:id="338196722">
      <w:bodyDiv w:val="1"/>
      <w:marLeft w:val="0"/>
      <w:marRight w:val="0"/>
      <w:marTop w:val="0"/>
      <w:marBottom w:val="0"/>
      <w:divBdr>
        <w:top w:val="none" w:sz="0" w:space="0" w:color="auto"/>
        <w:left w:val="none" w:sz="0" w:space="0" w:color="auto"/>
        <w:bottom w:val="none" w:sz="0" w:space="0" w:color="auto"/>
        <w:right w:val="none" w:sz="0" w:space="0" w:color="auto"/>
      </w:divBdr>
    </w:div>
    <w:div w:id="405955092">
      <w:bodyDiv w:val="1"/>
      <w:marLeft w:val="0"/>
      <w:marRight w:val="0"/>
      <w:marTop w:val="0"/>
      <w:marBottom w:val="0"/>
      <w:divBdr>
        <w:top w:val="none" w:sz="0" w:space="0" w:color="auto"/>
        <w:left w:val="none" w:sz="0" w:space="0" w:color="auto"/>
        <w:bottom w:val="none" w:sz="0" w:space="0" w:color="auto"/>
        <w:right w:val="none" w:sz="0" w:space="0" w:color="auto"/>
      </w:divBdr>
    </w:div>
    <w:div w:id="556624362">
      <w:bodyDiv w:val="1"/>
      <w:marLeft w:val="0"/>
      <w:marRight w:val="0"/>
      <w:marTop w:val="0"/>
      <w:marBottom w:val="0"/>
      <w:divBdr>
        <w:top w:val="none" w:sz="0" w:space="0" w:color="auto"/>
        <w:left w:val="none" w:sz="0" w:space="0" w:color="auto"/>
        <w:bottom w:val="none" w:sz="0" w:space="0" w:color="auto"/>
        <w:right w:val="none" w:sz="0" w:space="0" w:color="auto"/>
      </w:divBdr>
    </w:div>
    <w:div w:id="568005309">
      <w:bodyDiv w:val="1"/>
      <w:marLeft w:val="0"/>
      <w:marRight w:val="0"/>
      <w:marTop w:val="0"/>
      <w:marBottom w:val="0"/>
      <w:divBdr>
        <w:top w:val="none" w:sz="0" w:space="0" w:color="auto"/>
        <w:left w:val="none" w:sz="0" w:space="0" w:color="auto"/>
        <w:bottom w:val="none" w:sz="0" w:space="0" w:color="auto"/>
        <w:right w:val="none" w:sz="0" w:space="0" w:color="auto"/>
      </w:divBdr>
    </w:div>
    <w:div w:id="625889877">
      <w:bodyDiv w:val="1"/>
      <w:marLeft w:val="0"/>
      <w:marRight w:val="0"/>
      <w:marTop w:val="0"/>
      <w:marBottom w:val="0"/>
      <w:divBdr>
        <w:top w:val="none" w:sz="0" w:space="0" w:color="auto"/>
        <w:left w:val="none" w:sz="0" w:space="0" w:color="auto"/>
        <w:bottom w:val="none" w:sz="0" w:space="0" w:color="auto"/>
        <w:right w:val="none" w:sz="0" w:space="0" w:color="auto"/>
      </w:divBdr>
    </w:div>
    <w:div w:id="633101549">
      <w:bodyDiv w:val="1"/>
      <w:marLeft w:val="0"/>
      <w:marRight w:val="0"/>
      <w:marTop w:val="0"/>
      <w:marBottom w:val="0"/>
      <w:divBdr>
        <w:top w:val="none" w:sz="0" w:space="0" w:color="auto"/>
        <w:left w:val="none" w:sz="0" w:space="0" w:color="auto"/>
        <w:bottom w:val="none" w:sz="0" w:space="0" w:color="auto"/>
        <w:right w:val="none" w:sz="0" w:space="0" w:color="auto"/>
      </w:divBdr>
    </w:div>
    <w:div w:id="664632837">
      <w:bodyDiv w:val="1"/>
      <w:marLeft w:val="0"/>
      <w:marRight w:val="0"/>
      <w:marTop w:val="0"/>
      <w:marBottom w:val="0"/>
      <w:divBdr>
        <w:top w:val="none" w:sz="0" w:space="0" w:color="auto"/>
        <w:left w:val="none" w:sz="0" w:space="0" w:color="auto"/>
        <w:bottom w:val="none" w:sz="0" w:space="0" w:color="auto"/>
        <w:right w:val="none" w:sz="0" w:space="0" w:color="auto"/>
      </w:divBdr>
    </w:div>
    <w:div w:id="692538480">
      <w:bodyDiv w:val="1"/>
      <w:marLeft w:val="0"/>
      <w:marRight w:val="0"/>
      <w:marTop w:val="0"/>
      <w:marBottom w:val="0"/>
      <w:divBdr>
        <w:top w:val="none" w:sz="0" w:space="0" w:color="auto"/>
        <w:left w:val="none" w:sz="0" w:space="0" w:color="auto"/>
        <w:bottom w:val="none" w:sz="0" w:space="0" w:color="auto"/>
        <w:right w:val="none" w:sz="0" w:space="0" w:color="auto"/>
      </w:divBdr>
    </w:div>
    <w:div w:id="726031034">
      <w:bodyDiv w:val="1"/>
      <w:marLeft w:val="0"/>
      <w:marRight w:val="0"/>
      <w:marTop w:val="0"/>
      <w:marBottom w:val="0"/>
      <w:divBdr>
        <w:top w:val="none" w:sz="0" w:space="0" w:color="auto"/>
        <w:left w:val="none" w:sz="0" w:space="0" w:color="auto"/>
        <w:bottom w:val="none" w:sz="0" w:space="0" w:color="auto"/>
        <w:right w:val="none" w:sz="0" w:space="0" w:color="auto"/>
      </w:divBdr>
    </w:div>
    <w:div w:id="755440163">
      <w:bodyDiv w:val="1"/>
      <w:marLeft w:val="0"/>
      <w:marRight w:val="0"/>
      <w:marTop w:val="0"/>
      <w:marBottom w:val="0"/>
      <w:divBdr>
        <w:top w:val="none" w:sz="0" w:space="0" w:color="auto"/>
        <w:left w:val="none" w:sz="0" w:space="0" w:color="auto"/>
        <w:bottom w:val="none" w:sz="0" w:space="0" w:color="auto"/>
        <w:right w:val="none" w:sz="0" w:space="0" w:color="auto"/>
      </w:divBdr>
    </w:div>
    <w:div w:id="761414896">
      <w:bodyDiv w:val="1"/>
      <w:marLeft w:val="0"/>
      <w:marRight w:val="0"/>
      <w:marTop w:val="0"/>
      <w:marBottom w:val="0"/>
      <w:divBdr>
        <w:top w:val="none" w:sz="0" w:space="0" w:color="auto"/>
        <w:left w:val="none" w:sz="0" w:space="0" w:color="auto"/>
        <w:bottom w:val="none" w:sz="0" w:space="0" w:color="auto"/>
        <w:right w:val="none" w:sz="0" w:space="0" w:color="auto"/>
      </w:divBdr>
    </w:div>
    <w:div w:id="762145454">
      <w:bodyDiv w:val="1"/>
      <w:marLeft w:val="0"/>
      <w:marRight w:val="0"/>
      <w:marTop w:val="0"/>
      <w:marBottom w:val="0"/>
      <w:divBdr>
        <w:top w:val="none" w:sz="0" w:space="0" w:color="auto"/>
        <w:left w:val="none" w:sz="0" w:space="0" w:color="auto"/>
        <w:bottom w:val="none" w:sz="0" w:space="0" w:color="auto"/>
        <w:right w:val="none" w:sz="0" w:space="0" w:color="auto"/>
      </w:divBdr>
    </w:div>
    <w:div w:id="811336700">
      <w:bodyDiv w:val="1"/>
      <w:marLeft w:val="0"/>
      <w:marRight w:val="0"/>
      <w:marTop w:val="0"/>
      <w:marBottom w:val="0"/>
      <w:divBdr>
        <w:top w:val="none" w:sz="0" w:space="0" w:color="auto"/>
        <w:left w:val="none" w:sz="0" w:space="0" w:color="auto"/>
        <w:bottom w:val="none" w:sz="0" w:space="0" w:color="auto"/>
        <w:right w:val="none" w:sz="0" w:space="0" w:color="auto"/>
      </w:divBdr>
    </w:div>
    <w:div w:id="887909884">
      <w:bodyDiv w:val="1"/>
      <w:marLeft w:val="0"/>
      <w:marRight w:val="0"/>
      <w:marTop w:val="0"/>
      <w:marBottom w:val="0"/>
      <w:divBdr>
        <w:top w:val="none" w:sz="0" w:space="0" w:color="auto"/>
        <w:left w:val="none" w:sz="0" w:space="0" w:color="auto"/>
        <w:bottom w:val="none" w:sz="0" w:space="0" w:color="auto"/>
        <w:right w:val="none" w:sz="0" w:space="0" w:color="auto"/>
      </w:divBdr>
    </w:div>
    <w:div w:id="960576685">
      <w:bodyDiv w:val="1"/>
      <w:marLeft w:val="0"/>
      <w:marRight w:val="0"/>
      <w:marTop w:val="0"/>
      <w:marBottom w:val="0"/>
      <w:divBdr>
        <w:top w:val="none" w:sz="0" w:space="0" w:color="auto"/>
        <w:left w:val="none" w:sz="0" w:space="0" w:color="auto"/>
        <w:bottom w:val="none" w:sz="0" w:space="0" w:color="auto"/>
        <w:right w:val="none" w:sz="0" w:space="0" w:color="auto"/>
      </w:divBdr>
    </w:div>
    <w:div w:id="1124276145">
      <w:bodyDiv w:val="1"/>
      <w:marLeft w:val="0"/>
      <w:marRight w:val="0"/>
      <w:marTop w:val="0"/>
      <w:marBottom w:val="0"/>
      <w:divBdr>
        <w:top w:val="none" w:sz="0" w:space="0" w:color="auto"/>
        <w:left w:val="none" w:sz="0" w:space="0" w:color="auto"/>
        <w:bottom w:val="none" w:sz="0" w:space="0" w:color="auto"/>
        <w:right w:val="none" w:sz="0" w:space="0" w:color="auto"/>
      </w:divBdr>
    </w:div>
    <w:div w:id="1147821397">
      <w:bodyDiv w:val="1"/>
      <w:marLeft w:val="0"/>
      <w:marRight w:val="0"/>
      <w:marTop w:val="0"/>
      <w:marBottom w:val="0"/>
      <w:divBdr>
        <w:top w:val="none" w:sz="0" w:space="0" w:color="auto"/>
        <w:left w:val="none" w:sz="0" w:space="0" w:color="auto"/>
        <w:bottom w:val="none" w:sz="0" w:space="0" w:color="auto"/>
        <w:right w:val="none" w:sz="0" w:space="0" w:color="auto"/>
      </w:divBdr>
    </w:div>
    <w:div w:id="1191993562">
      <w:bodyDiv w:val="1"/>
      <w:marLeft w:val="0"/>
      <w:marRight w:val="0"/>
      <w:marTop w:val="0"/>
      <w:marBottom w:val="0"/>
      <w:divBdr>
        <w:top w:val="none" w:sz="0" w:space="0" w:color="auto"/>
        <w:left w:val="none" w:sz="0" w:space="0" w:color="auto"/>
        <w:bottom w:val="none" w:sz="0" w:space="0" w:color="auto"/>
        <w:right w:val="none" w:sz="0" w:space="0" w:color="auto"/>
      </w:divBdr>
    </w:div>
    <w:div w:id="1260140056">
      <w:bodyDiv w:val="1"/>
      <w:marLeft w:val="0"/>
      <w:marRight w:val="0"/>
      <w:marTop w:val="0"/>
      <w:marBottom w:val="0"/>
      <w:divBdr>
        <w:top w:val="none" w:sz="0" w:space="0" w:color="auto"/>
        <w:left w:val="none" w:sz="0" w:space="0" w:color="auto"/>
        <w:bottom w:val="none" w:sz="0" w:space="0" w:color="auto"/>
        <w:right w:val="none" w:sz="0" w:space="0" w:color="auto"/>
      </w:divBdr>
    </w:div>
    <w:div w:id="1359283474">
      <w:bodyDiv w:val="1"/>
      <w:marLeft w:val="0"/>
      <w:marRight w:val="0"/>
      <w:marTop w:val="0"/>
      <w:marBottom w:val="0"/>
      <w:divBdr>
        <w:top w:val="none" w:sz="0" w:space="0" w:color="auto"/>
        <w:left w:val="none" w:sz="0" w:space="0" w:color="auto"/>
        <w:bottom w:val="none" w:sz="0" w:space="0" w:color="auto"/>
        <w:right w:val="none" w:sz="0" w:space="0" w:color="auto"/>
      </w:divBdr>
    </w:div>
    <w:div w:id="1465460424">
      <w:bodyDiv w:val="1"/>
      <w:marLeft w:val="0"/>
      <w:marRight w:val="0"/>
      <w:marTop w:val="0"/>
      <w:marBottom w:val="0"/>
      <w:divBdr>
        <w:top w:val="none" w:sz="0" w:space="0" w:color="auto"/>
        <w:left w:val="none" w:sz="0" w:space="0" w:color="auto"/>
        <w:bottom w:val="none" w:sz="0" w:space="0" w:color="auto"/>
        <w:right w:val="none" w:sz="0" w:space="0" w:color="auto"/>
      </w:divBdr>
    </w:div>
    <w:div w:id="1503007686">
      <w:bodyDiv w:val="1"/>
      <w:marLeft w:val="0"/>
      <w:marRight w:val="0"/>
      <w:marTop w:val="0"/>
      <w:marBottom w:val="0"/>
      <w:divBdr>
        <w:top w:val="none" w:sz="0" w:space="0" w:color="auto"/>
        <w:left w:val="none" w:sz="0" w:space="0" w:color="auto"/>
        <w:bottom w:val="none" w:sz="0" w:space="0" w:color="auto"/>
        <w:right w:val="none" w:sz="0" w:space="0" w:color="auto"/>
      </w:divBdr>
    </w:div>
    <w:div w:id="1556625022">
      <w:bodyDiv w:val="1"/>
      <w:marLeft w:val="0"/>
      <w:marRight w:val="0"/>
      <w:marTop w:val="0"/>
      <w:marBottom w:val="0"/>
      <w:divBdr>
        <w:top w:val="none" w:sz="0" w:space="0" w:color="auto"/>
        <w:left w:val="none" w:sz="0" w:space="0" w:color="auto"/>
        <w:bottom w:val="none" w:sz="0" w:space="0" w:color="auto"/>
        <w:right w:val="none" w:sz="0" w:space="0" w:color="auto"/>
      </w:divBdr>
    </w:div>
    <w:div w:id="1584676773">
      <w:bodyDiv w:val="1"/>
      <w:marLeft w:val="0"/>
      <w:marRight w:val="0"/>
      <w:marTop w:val="0"/>
      <w:marBottom w:val="0"/>
      <w:divBdr>
        <w:top w:val="none" w:sz="0" w:space="0" w:color="auto"/>
        <w:left w:val="none" w:sz="0" w:space="0" w:color="auto"/>
        <w:bottom w:val="none" w:sz="0" w:space="0" w:color="auto"/>
        <w:right w:val="none" w:sz="0" w:space="0" w:color="auto"/>
      </w:divBdr>
    </w:div>
    <w:div w:id="1679967182">
      <w:bodyDiv w:val="1"/>
      <w:marLeft w:val="0"/>
      <w:marRight w:val="0"/>
      <w:marTop w:val="0"/>
      <w:marBottom w:val="0"/>
      <w:divBdr>
        <w:top w:val="none" w:sz="0" w:space="0" w:color="auto"/>
        <w:left w:val="none" w:sz="0" w:space="0" w:color="auto"/>
        <w:bottom w:val="none" w:sz="0" w:space="0" w:color="auto"/>
        <w:right w:val="none" w:sz="0" w:space="0" w:color="auto"/>
      </w:divBdr>
    </w:div>
    <w:div w:id="1817456510">
      <w:bodyDiv w:val="1"/>
      <w:marLeft w:val="0"/>
      <w:marRight w:val="0"/>
      <w:marTop w:val="0"/>
      <w:marBottom w:val="0"/>
      <w:divBdr>
        <w:top w:val="none" w:sz="0" w:space="0" w:color="auto"/>
        <w:left w:val="none" w:sz="0" w:space="0" w:color="auto"/>
        <w:bottom w:val="none" w:sz="0" w:space="0" w:color="auto"/>
        <w:right w:val="none" w:sz="0" w:space="0" w:color="auto"/>
      </w:divBdr>
    </w:div>
    <w:div w:id="1909921601">
      <w:bodyDiv w:val="1"/>
      <w:marLeft w:val="0"/>
      <w:marRight w:val="0"/>
      <w:marTop w:val="0"/>
      <w:marBottom w:val="0"/>
      <w:divBdr>
        <w:top w:val="none" w:sz="0" w:space="0" w:color="auto"/>
        <w:left w:val="none" w:sz="0" w:space="0" w:color="auto"/>
        <w:bottom w:val="none" w:sz="0" w:space="0" w:color="auto"/>
        <w:right w:val="none" w:sz="0" w:space="0" w:color="auto"/>
      </w:divBdr>
    </w:div>
    <w:div w:id="2054232761">
      <w:bodyDiv w:val="1"/>
      <w:marLeft w:val="0"/>
      <w:marRight w:val="0"/>
      <w:marTop w:val="0"/>
      <w:marBottom w:val="0"/>
      <w:divBdr>
        <w:top w:val="none" w:sz="0" w:space="0" w:color="auto"/>
        <w:left w:val="none" w:sz="0" w:space="0" w:color="auto"/>
        <w:bottom w:val="none" w:sz="0" w:space="0" w:color="auto"/>
        <w:right w:val="none" w:sz="0" w:space="0" w:color="auto"/>
      </w:divBdr>
    </w:div>
    <w:div w:id="2067800983">
      <w:bodyDiv w:val="1"/>
      <w:marLeft w:val="0"/>
      <w:marRight w:val="0"/>
      <w:marTop w:val="0"/>
      <w:marBottom w:val="0"/>
      <w:divBdr>
        <w:top w:val="none" w:sz="0" w:space="0" w:color="auto"/>
        <w:left w:val="none" w:sz="0" w:space="0" w:color="auto"/>
        <w:bottom w:val="none" w:sz="0" w:space="0" w:color="auto"/>
        <w:right w:val="none" w:sz="0" w:space="0" w:color="auto"/>
      </w:divBdr>
    </w:div>
    <w:div w:id="209023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20C32195C5BB4EA6809AE16C01284F" ma:contentTypeVersion="15" ma:contentTypeDescription="Create a new document." ma:contentTypeScope="" ma:versionID="0cd752097d6f97dc8f6536fe4a908e00">
  <xsd:schema xmlns:xsd="http://www.w3.org/2001/XMLSchema" xmlns:xs="http://www.w3.org/2001/XMLSchema" xmlns:p="http://schemas.microsoft.com/office/2006/metadata/properties" xmlns:ns2="23a29819-272f-427e-8043-4ac47f343e31" xmlns:ns3="9089e427-211e-46d3-8bd4-8da494dc1f01" targetNamespace="http://schemas.microsoft.com/office/2006/metadata/properties" ma:root="true" ma:fieldsID="0d3b26211c5d45f02b21e4585ffd8768" ns2:_="" ns3:_="">
    <xsd:import namespace="23a29819-272f-427e-8043-4ac47f343e31"/>
    <xsd:import namespace="9089e427-211e-46d3-8bd4-8da494dc1f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29819-272f-427e-8043-4ac47f343e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b01118a-a63c-4fce-bb4e-c310eccc168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89e427-211e-46d3-8bd4-8da494dc1f0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c9e0b9b-46fa-4e00-a309-18af0ee1d1ac}" ma:internalName="TaxCatchAll" ma:showField="CatchAllData" ma:web="9089e427-211e-46d3-8bd4-8da494dc1f0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089e427-211e-46d3-8bd4-8da494dc1f01" xsi:nil="true"/>
    <lcf76f155ced4ddcb4097134ff3c332f xmlns="23a29819-272f-427e-8043-4ac47f343e3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694D1D-3A25-4773-AEC8-5C251F090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a29819-272f-427e-8043-4ac47f343e31"/>
    <ds:schemaRef ds:uri="9089e427-211e-46d3-8bd4-8da494dc1f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0EE793-91B1-49A9-A7C2-9EE680A0C5CB}">
  <ds:schemaRefs>
    <ds:schemaRef ds:uri="http://schemas.openxmlformats.org/officeDocument/2006/bibliography"/>
  </ds:schemaRefs>
</ds:datastoreItem>
</file>

<file path=customXml/itemProps3.xml><?xml version="1.0" encoding="utf-8"?>
<ds:datastoreItem xmlns:ds="http://schemas.openxmlformats.org/officeDocument/2006/customXml" ds:itemID="{B27DDF00-9DF6-47C1-8EBC-0DD56AE1579C}">
  <ds:schemaRefs>
    <ds:schemaRef ds:uri="http://schemas.microsoft.com/office/2006/metadata/properties"/>
    <ds:schemaRef ds:uri="http://schemas.microsoft.com/office/infopath/2007/PartnerControls"/>
    <ds:schemaRef ds:uri="9089e427-211e-46d3-8bd4-8da494dc1f01"/>
    <ds:schemaRef ds:uri="23a29819-272f-427e-8043-4ac47f343e31"/>
  </ds:schemaRefs>
</ds:datastoreItem>
</file>

<file path=customXml/itemProps4.xml><?xml version="1.0" encoding="utf-8"?>
<ds:datastoreItem xmlns:ds="http://schemas.openxmlformats.org/officeDocument/2006/customXml" ds:itemID="{4AA6A910-0269-4A65-B096-DBFC225F00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4597</Words>
  <Characters>26206</Characters>
  <Application>Microsoft Office Word</Application>
  <DocSecurity>0</DocSecurity>
  <Lines>218</Lines>
  <Paragraphs>61</Paragraphs>
  <ScaleCrop>false</ScaleCrop>
  <Company/>
  <LinksUpToDate>false</LinksUpToDate>
  <CharactersWithSpaces>30742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Steel Pascual</dc:creator>
  <cp:keywords/>
  <dc:description/>
  <cp:lastModifiedBy>david annandale</cp:lastModifiedBy>
  <cp:revision>2</cp:revision>
  <dcterms:created xsi:type="dcterms:W3CDTF">2024-11-19T14:20:00Z</dcterms:created>
  <dcterms:modified xsi:type="dcterms:W3CDTF">2024-11-19T14:20:00Z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0x0101004C20C32195C5BB4EA6809AE16C01284F</vt:lpwstr>
  </property>
  <property fmtid="{D5CDD505-2E9C-101B-9397-08002B2CF9AE}" pid="3" name="MediaServiceImageTags">
    <vt:lpwstr/>
  </property>
</Properties>
</file>