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6EF9" w14:textId="77777777" w:rsidR="00AC04CF" w:rsidRPr="00AC04CF" w:rsidRDefault="00AC04CF">
      <w:pPr>
        <w:rPr>
          <w:lang w:val="en-US"/>
        </w:rPr>
      </w:pPr>
    </w:p>
    <w:p w14:paraId="3504FB5B" w14:textId="77777777" w:rsidR="00AC04CF" w:rsidRPr="00AC04CF" w:rsidRDefault="00AC04CF">
      <w:pPr>
        <w:rPr>
          <w:lang w:val="en-US"/>
        </w:rPr>
      </w:pPr>
    </w:p>
    <w:p w14:paraId="1B2BB50B" w14:textId="77777777" w:rsidR="00AC04CF" w:rsidRPr="00AC04CF" w:rsidRDefault="00AC04CF">
      <w:pPr>
        <w:rPr>
          <w:lang w:val="en-US"/>
        </w:rPr>
      </w:pPr>
    </w:p>
    <w:tbl>
      <w:tblPr>
        <w:tblW w:w="5000" w:type="pct"/>
        <w:tblLayout w:type="fixed"/>
        <w:tblCellMar>
          <w:left w:w="0" w:type="dxa"/>
          <w:right w:w="0" w:type="dxa"/>
        </w:tblCellMar>
        <w:tblLook w:val="0000" w:firstRow="0" w:lastRow="0" w:firstColumn="0" w:lastColumn="0" w:noHBand="0" w:noVBand="0"/>
      </w:tblPr>
      <w:tblGrid>
        <w:gridCol w:w="9915"/>
      </w:tblGrid>
      <w:tr w:rsidR="00EF65C7" w:rsidRPr="0009239B" w14:paraId="649B8125" w14:textId="77777777" w:rsidTr="00E27A89">
        <w:trPr>
          <w:cantSplit/>
          <w:trHeight w:val="2743"/>
        </w:trPr>
        <w:tc>
          <w:tcPr>
            <w:tcW w:w="9915" w:type="dxa"/>
            <w:shd w:val="clear" w:color="auto" w:fill="auto"/>
          </w:tcPr>
          <w:p w14:paraId="390EB643" w14:textId="639C7A86" w:rsidR="00EF65C7" w:rsidRPr="0009239B" w:rsidRDefault="0009239B" w:rsidP="000C0D37">
            <w:pPr>
              <w:pStyle w:val="DNVGL-Cover-ProjectName"/>
              <w:rPr>
                <w:lang w:val="en-US"/>
              </w:rPr>
            </w:pPr>
            <w:r w:rsidRPr="0009239B">
              <w:rPr>
                <w:lang w:val="en-US"/>
              </w:rPr>
              <w:t xml:space="preserve">Program </w:t>
            </w:r>
            <w:r w:rsidR="007A6AE5">
              <w:rPr>
                <w:lang w:val="en-US"/>
              </w:rPr>
              <w:t>Evaluation</w:t>
            </w:r>
          </w:p>
          <w:p w14:paraId="0472FF56" w14:textId="4BB66DA1" w:rsidR="00EF65C7" w:rsidRPr="0009239B" w:rsidRDefault="0009239B" w:rsidP="000C0D37">
            <w:pPr>
              <w:pStyle w:val="DNVGL-Cover-ReportTitle"/>
              <w:rPr>
                <w:lang w:val="en-US"/>
              </w:rPr>
            </w:pPr>
            <w:r w:rsidRPr="0009239B">
              <w:rPr>
                <w:lang w:val="en-US"/>
              </w:rPr>
              <w:t xml:space="preserve">New Jersey Natural Gas C&amp;I </w:t>
            </w:r>
            <w:r w:rsidR="00DD7D61">
              <w:rPr>
                <w:lang w:val="en-US"/>
              </w:rPr>
              <w:t>Prescriptive &amp; Custom</w:t>
            </w:r>
            <w:r w:rsidR="009E4374">
              <w:rPr>
                <w:lang w:val="en-US"/>
              </w:rPr>
              <w:t xml:space="preserve"> Measures</w:t>
            </w:r>
            <w:r w:rsidRPr="0009239B">
              <w:rPr>
                <w:lang w:val="en-US"/>
              </w:rPr>
              <w:t xml:space="preserve"> </w:t>
            </w:r>
            <w:r w:rsidR="009B3E96">
              <w:rPr>
                <w:lang w:val="en-US"/>
              </w:rPr>
              <w:t>Subp</w:t>
            </w:r>
            <w:r w:rsidRPr="0009239B">
              <w:rPr>
                <w:lang w:val="en-US"/>
              </w:rPr>
              <w:t>rogram Evaluation</w:t>
            </w:r>
            <w:r w:rsidR="0040307A">
              <w:rPr>
                <w:lang w:val="en-US"/>
              </w:rPr>
              <w:t xml:space="preserve"> –</w:t>
            </w:r>
            <w:r w:rsidR="00AE6F14">
              <w:rPr>
                <w:lang w:val="en-US"/>
              </w:rPr>
              <w:t xml:space="preserve"> Year 1</w:t>
            </w:r>
          </w:p>
          <w:p w14:paraId="57C1CFF3" w14:textId="77777777" w:rsidR="00055086" w:rsidRDefault="00055086" w:rsidP="00055086">
            <w:pPr>
              <w:pStyle w:val="DNVGL-Details"/>
              <w:rPr>
                <w:b/>
                <w:bCs/>
                <w:lang w:val="en-US"/>
              </w:rPr>
            </w:pPr>
          </w:p>
          <w:p w14:paraId="3A4E38A0" w14:textId="77777777" w:rsidR="00055086" w:rsidRDefault="00055086" w:rsidP="00055086">
            <w:pPr>
              <w:pStyle w:val="DNVGL-Details"/>
              <w:rPr>
                <w:b/>
                <w:bCs/>
                <w:lang w:val="en-US"/>
              </w:rPr>
            </w:pPr>
          </w:p>
          <w:p w14:paraId="42C3E43F" w14:textId="3FCC7EC9" w:rsidR="00055086" w:rsidRDefault="00055086" w:rsidP="00055086">
            <w:pPr>
              <w:pStyle w:val="DNVGL-Details"/>
              <w:rPr>
                <w:lang w:val="en-US"/>
              </w:rPr>
            </w:pPr>
            <w:r>
              <w:rPr>
                <w:b/>
                <w:bCs/>
                <w:lang w:val="en-US"/>
              </w:rPr>
              <w:t>Date:</w:t>
            </w:r>
            <w:r>
              <w:rPr>
                <w:lang w:val="en-US"/>
              </w:rPr>
              <w:t xml:space="preserve"> </w:t>
            </w:r>
            <w:sdt>
              <w:sdtPr>
                <w:rPr>
                  <w:lang w:val="en-US"/>
                </w:rPr>
                <w:id w:val="625507510"/>
                <w:placeholder>
                  <w:docPart w:val="DefaultPlaceholder_-1854013437"/>
                </w:placeholder>
                <w:date w:fullDate="2023-02-10T00:00:00Z">
                  <w:dateFormat w:val="MMMM d, yyyy"/>
                  <w:lid w:val="en-US"/>
                  <w:storeMappedDataAs w:val="dateTime"/>
                  <w:calendar w:val="gregorian"/>
                </w:date>
              </w:sdtPr>
              <w:sdtEndPr/>
              <w:sdtContent>
                <w:r w:rsidR="004E1ED9">
                  <w:rPr>
                    <w:lang w:val="en-US"/>
                  </w:rPr>
                  <w:t>February 10, 2023</w:t>
                </w:r>
              </w:sdtContent>
            </w:sdt>
          </w:p>
          <w:p w14:paraId="4ABA354C" w14:textId="6A5C2133" w:rsidR="00055086" w:rsidRPr="0009239B" w:rsidRDefault="00055086" w:rsidP="000C0D37">
            <w:pPr>
              <w:pStyle w:val="DNVGL-Cover-Company"/>
              <w:rPr>
                <w:lang w:val="en-US"/>
              </w:rPr>
            </w:pPr>
          </w:p>
        </w:tc>
      </w:tr>
      <w:tr w:rsidR="00EF65C7" w:rsidRPr="0009239B" w14:paraId="11A518DF" w14:textId="77777777" w:rsidTr="00E27A89">
        <w:trPr>
          <w:cantSplit/>
        </w:trPr>
        <w:tc>
          <w:tcPr>
            <w:tcW w:w="9915" w:type="dxa"/>
            <w:shd w:val="clear" w:color="auto" w:fill="auto"/>
            <w:vAlign w:val="center"/>
          </w:tcPr>
          <w:p w14:paraId="3CB64ECB" w14:textId="77777777" w:rsidR="00EF65C7" w:rsidRPr="0009239B" w:rsidRDefault="00EF65C7" w:rsidP="000C0D37">
            <w:pPr>
              <w:pStyle w:val="DNVGL-Details"/>
              <w:rPr>
                <w:b/>
                <w:bCs/>
                <w:lang w:val="en-US"/>
              </w:rPr>
            </w:pPr>
          </w:p>
          <w:p w14:paraId="5B84D325" w14:textId="77777777" w:rsidR="00EF65C7" w:rsidRPr="0009239B" w:rsidRDefault="00EF65C7" w:rsidP="00D241AB">
            <w:pPr>
              <w:pStyle w:val="DNVGL-Details"/>
              <w:rPr>
                <w:lang w:val="en-US"/>
              </w:rPr>
            </w:pPr>
          </w:p>
        </w:tc>
      </w:tr>
    </w:tbl>
    <w:p w14:paraId="08A98256" w14:textId="19F20F8D" w:rsidR="004F0690" w:rsidRDefault="004F0690" w:rsidP="00FA2766">
      <w:pPr>
        <w:pStyle w:val="BodyText"/>
        <w:tabs>
          <w:tab w:val="left" w:pos="1230"/>
        </w:tabs>
        <w:rPr>
          <w:b/>
          <w:bCs/>
        </w:rPr>
      </w:pPr>
    </w:p>
    <w:p w14:paraId="1B618376" w14:textId="77777777" w:rsidR="004F0690" w:rsidRDefault="004F0690">
      <w:pPr>
        <w:spacing w:after="200" w:line="276" w:lineRule="auto"/>
        <w:rPr>
          <w:b/>
          <w:bCs/>
        </w:rPr>
      </w:pPr>
      <w:r>
        <w:rPr>
          <w:b/>
          <w:bCs/>
        </w:rPr>
        <w:br w:type="page"/>
      </w:r>
    </w:p>
    <w:p w14:paraId="42A270E8" w14:textId="77777777" w:rsidR="0050384F" w:rsidRDefault="0050384F" w:rsidP="0050384F">
      <w:pPr>
        <w:pStyle w:val="Heading7"/>
      </w:pPr>
      <w:r>
        <w:lastRenderedPageBreak/>
        <w:t>Table of contents</w:t>
      </w:r>
    </w:p>
    <w:p w14:paraId="18AA53F1" w14:textId="6B8C860F" w:rsidR="000344CB" w:rsidRDefault="0050384F">
      <w:pPr>
        <w:pStyle w:val="TOC1"/>
        <w:rPr>
          <w:rFonts w:asciiTheme="minorHAnsi" w:hAnsiTheme="minorHAnsi" w:cstheme="minorBidi"/>
          <w:caps w:val="0"/>
          <w:sz w:val="22"/>
          <w:szCs w:val="22"/>
          <w:lang w:val="en-US" w:eastAsia="en-US"/>
        </w:rPr>
      </w:pPr>
      <w:r>
        <w:fldChar w:fldCharType="begin"/>
      </w:r>
      <w:r>
        <w:instrText xml:space="preserve"> TOC \o "1-3" \h \z \u \t "Heading 6,1" </w:instrText>
      </w:r>
      <w:r>
        <w:fldChar w:fldCharType="separate"/>
      </w:r>
      <w:hyperlink w:anchor="_Toc145923992" w:history="1">
        <w:r w:rsidR="000344CB" w:rsidRPr="00A51B7E">
          <w:rPr>
            <w:rStyle w:val="Hyperlink"/>
          </w:rPr>
          <w:t>Abstract</w:t>
        </w:r>
        <w:r w:rsidR="000344CB">
          <w:rPr>
            <w:webHidden/>
          </w:rPr>
          <w:tab/>
        </w:r>
        <w:r w:rsidR="000344CB">
          <w:rPr>
            <w:webHidden/>
          </w:rPr>
          <w:fldChar w:fldCharType="begin"/>
        </w:r>
        <w:r w:rsidR="000344CB">
          <w:rPr>
            <w:webHidden/>
          </w:rPr>
          <w:instrText xml:space="preserve"> PAGEREF _Toc145923992 \h </w:instrText>
        </w:r>
        <w:r w:rsidR="000344CB">
          <w:rPr>
            <w:webHidden/>
          </w:rPr>
        </w:r>
        <w:r w:rsidR="000344CB">
          <w:rPr>
            <w:webHidden/>
          </w:rPr>
          <w:fldChar w:fldCharType="separate"/>
        </w:r>
        <w:r w:rsidR="000344CB">
          <w:rPr>
            <w:webHidden/>
          </w:rPr>
          <w:t>3</w:t>
        </w:r>
        <w:r w:rsidR="000344CB">
          <w:rPr>
            <w:webHidden/>
          </w:rPr>
          <w:fldChar w:fldCharType="end"/>
        </w:r>
      </w:hyperlink>
    </w:p>
    <w:p w14:paraId="5962F374" w14:textId="69EF6BCD" w:rsidR="000344CB" w:rsidRDefault="000344CB">
      <w:pPr>
        <w:pStyle w:val="TOC1"/>
        <w:rPr>
          <w:rFonts w:asciiTheme="minorHAnsi" w:hAnsiTheme="minorHAnsi" w:cstheme="minorBidi"/>
          <w:caps w:val="0"/>
          <w:sz w:val="22"/>
          <w:szCs w:val="22"/>
          <w:lang w:val="en-US" w:eastAsia="en-US"/>
        </w:rPr>
      </w:pPr>
      <w:hyperlink w:anchor="_Toc145923993" w:history="1">
        <w:r w:rsidRPr="00A51B7E">
          <w:rPr>
            <w:rStyle w:val="Hyperlink"/>
          </w:rPr>
          <w:t>Executive Summary</w:t>
        </w:r>
        <w:r>
          <w:rPr>
            <w:webHidden/>
          </w:rPr>
          <w:tab/>
        </w:r>
        <w:r>
          <w:rPr>
            <w:webHidden/>
          </w:rPr>
          <w:fldChar w:fldCharType="begin"/>
        </w:r>
        <w:r>
          <w:rPr>
            <w:webHidden/>
          </w:rPr>
          <w:instrText xml:space="preserve"> PAGEREF _Toc145923993 \h </w:instrText>
        </w:r>
        <w:r>
          <w:rPr>
            <w:webHidden/>
          </w:rPr>
        </w:r>
        <w:r>
          <w:rPr>
            <w:webHidden/>
          </w:rPr>
          <w:fldChar w:fldCharType="separate"/>
        </w:r>
        <w:r>
          <w:rPr>
            <w:webHidden/>
          </w:rPr>
          <w:t>4</w:t>
        </w:r>
        <w:r>
          <w:rPr>
            <w:webHidden/>
          </w:rPr>
          <w:fldChar w:fldCharType="end"/>
        </w:r>
      </w:hyperlink>
    </w:p>
    <w:p w14:paraId="44229E1B" w14:textId="6B930B58" w:rsidR="000344CB" w:rsidRDefault="000344CB">
      <w:pPr>
        <w:pStyle w:val="TOC1"/>
        <w:rPr>
          <w:rFonts w:asciiTheme="minorHAnsi" w:hAnsiTheme="minorHAnsi" w:cstheme="minorBidi"/>
          <w:caps w:val="0"/>
          <w:sz w:val="22"/>
          <w:szCs w:val="22"/>
          <w:lang w:val="en-US" w:eastAsia="en-US"/>
        </w:rPr>
      </w:pPr>
      <w:hyperlink w:anchor="_Toc145923994" w:history="1">
        <w:r w:rsidRPr="00A51B7E">
          <w:rPr>
            <w:rStyle w:val="Hyperlink"/>
          </w:rPr>
          <w:t>1</w:t>
        </w:r>
        <w:r>
          <w:rPr>
            <w:rFonts w:asciiTheme="minorHAnsi" w:hAnsiTheme="minorHAnsi" w:cstheme="minorBidi"/>
            <w:caps w:val="0"/>
            <w:sz w:val="22"/>
            <w:szCs w:val="22"/>
            <w:lang w:val="en-US" w:eastAsia="en-US"/>
          </w:rPr>
          <w:tab/>
        </w:r>
        <w:r w:rsidRPr="00A51B7E">
          <w:rPr>
            <w:rStyle w:val="Hyperlink"/>
          </w:rPr>
          <w:t>Introduction</w:t>
        </w:r>
        <w:r>
          <w:rPr>
            <w:webHidden/>
          </w:rPr>
          <w:tab/>
        </w:r>
        <w:r>
          <w:rPr>
            <w:webHidden/>
          </w:rPr>
          <w:fldChar w:fldCharType="begin"/>
        </w:r>
        <w:r>
          <w:rPr>
            <w:webHidden/>
          </w:rPr>
          <w:instrText xml:space="preserve"> PAGEREF _Toc145923994 \h </w:instrText>
        </w:r>
        <w:r>
          <w:rPr>
            <w:webHidden/>
          </w:rPr>
        </w:r>
        <w:r>
          <w:rPr>
            <w:webHidden/>
          </w:rPr>
          <w:fldChar w:fldCharType="separate"/>
        </w:r>
        <w:r>
          <w:rPr>
            <w:webHidden/>
          </w:rPr>
          <w:t>6</w:t>
        </w:r>
        <w:r>
          <w:rPr>
            <w:webHidden/>
          </w:rPr>
          <w:fldChar w:fldCharType="end"/>
        </w:r>
      </w:hyperlink>
    </w:p>
    <w:p w14:paraId="7F183A09" w14:textId="3D983E66" w:rsidR="000344CB" w:rsidRDefault="000344CB">
      <w:pPr>
        <w:pStyle w:val="TOC2"/>
        <w:rPr>
          <w:rFonts w:asciiTheme="minorHAnsi" w:hAnsiTheme="minorHAnsi" w:cstheme="minorBidi"/>
          <w:sz w:val="22"/>
          <w:szCs w:val="22"/>
          <w:lang w:val="en-US" w:eastAsia="en-US"/>
        </w:rPr>
      </w:pPr>
      <w:hyperlink w:anchor="_Toc145923995" w:history="1">
        <w:r w:rsidRPr="00A51B7E">
          <w:rPr>
            <w:rStyle w:val="Hyperlink"/>
          </w:rPr>
          <w:t>1.1</w:t>
        </w:r>
        <w:r>
          <w:rPr>
            <w:rFonts w:asciiTheme="minorHAnsi" w:hAnsiTheme="minorHAnsi" w:cstheme="minorBidi"/>
            <w:sz w:val="22"/>
            <w:szCs w:val="22"/>
            <w:lang w:val="en-US" w:eastAsia="en-US"/>
          </w:rPr>
          <w:tab/>
        </w:r>
        <w:r w:rsidRPr="00A51B7E">
          <w:rPr>
            <w:rStyle w:val="Hyperlink"/>
          </w:rPr>
          <w:t>Program Design and Implementation</w:t>
        </w:r>
        <w:r>
          <w:rPr>
            <w:webHidden/>
          </w:rPr>
          <w:tab/>
        </w:r>
        <w:r>
          <w:rPr>
            <w:webHidden/>
          </w:rPr>
          <w:fldChar w:fldCharType="begin"/>
        </w:r>
        <w:r>
          <w:rPr>
            <w:webHidden/>
          </w:rPr>
          <w:instrText xml:space="preserve"> PAGEREF _Toc145923995 \h </w:instrText>
        </w:r>
        <w:r>
          <w:rPr>
            <w:webHidden/>
          </w:rPr>
        </w:r>
        <w:r>
          <w:rPr>
            <w:webHidden/>
          </w:rPr>
          <w:fldChar w:fldCharType="separate"/>
        </w:r>
        <w:r>
          <w:rPr>
            <w:webHidden/>
          </w:rPr>
          <w:t>6</w:t>
        </w:r>
        <w:r>
          <w:rPr>
            <w:webHidden/>
          </w:rPr>
          <w:fldChar w:fldCharType="end"/>
        </w:r>
      </w:hyperlink>
    </w:p>
    <w:p w14:paraId="5F776F5E" w14:textId="781CB63E" w:rsidR="000344CB" w:rsidRDefault="000344CB">
      <w:pPr>
        <w:pStyle w:val="TOC2"/>
        <w:rPr>
          <w:rFonts w:asciiTheme="minorHAnsi" w:hAnsiTheme="minorHAnsi" w:cstheme="minorBidi"/>
          <w:sz w:val="22"/>
          <w:szCs w:val="22"/>
          <w:lang w:val="en-US" w:eastAsia="en-US"/>
        </w:rPr>
      </w:pPr>
      <w:hyperlink w:anchor="_Toc145923996" w:history="1">
        <w:r w:rsidRPr="00A51B7E">
          <w:rPr>
            <w:rStyle w:val="Hyperlink"/>
            <w:lang w:val="en-US"/>
          </w:rPr>
          <w:t>1.2</w:t>
        </w:r>
        <w:r>
          <w:rPr>
            <w:rFonts w:asciiTheme="minorHAnsi" w:hAnsiTheme="minorHAnsi" w:cstheme="minorBidi"/>
            <w:sz w:val="22"/>
            <w:szCs w:val="22"/>
            <w:lang w:val="en-US" w:eastAsia="en-US"/>
          </w:rPr>
          <w:tab/>
        </w:r>
        <w:r w:rsidRPr="00A51B7E">
          <w:rPr>
            <w:rStyle w:val="Hyperlink"/>
            <w:lang w:val="en-US"/>
          </w:rPr>
          <w:t>Program goals</w:t>
        </w:r>
        <w:r>
          <w:rPr>
            <w:webHidden/>
          </w:rPr>
          <w:tab/>
        </w:r>
        <w:r>
          <w:rPr>
            <w:webHidden/>
          </w:rPr>
          <w:fldChar w:fldCharType="begin"/>
        </w:r>
        <w:r>
          <w:rPr>
            <w:webHidden/>
          </w:rPr>
          <w:instrText xml:space="preserve"> PAGEREF _Toc145923996 \h </w:instrText>
        </w:r>
        <w:r>
          <w:rPr>
            <w:webHidden/>
          </w:rPr>
        </w:r>
        <w:r>
          <w:rPr>
            <w:webHidden/>
          </w:rPr>
          <w:fldChar w:fldCharType="separate"/>
        </w:r>
        <w:r>
          <w:rPr>
            <w:webHidden/>
          </w:rPr>
          <w:t>6</w:t>
        </w:r>
        <w:r>
          <w:rPr>
            <w:webHidden/>
          </w:rPr>
          <w:fldChar w:fldCharType="end"/>
        </w:r>
      </w:hyperlink>
    </w:p>
    <w:p w14:paraId="03F84BFC" w14:textId="2FDDDA9E" w:rsidR="000344CB" w:rsidRDefault="000344CB">
      <w:pPr>
        <w:pStyle w:val="TOC1"/>
        <w:rPr>
          <w:rFonts w:asciiTheme="minorHAnsi" w:hAnsiTheme="minorHAnsi" w:cstheme="minorBidi"/>
          <w:caps w:val="0"/>
          <w:sz w:val="22"/>
          <w:szCs w:val="22"/>
          <w:lang w:val="en-US" w:eastAsia="en-US"/>
        </w:rPr>
      </w:pPr>
      <w:hyperlink w:anchor="_Toc145923997" w:history="1">
        <w:r w:rsidRPr="00A51B7E">
          <w:rPr>
            <w:rStyle w:val="Hyperlink"/>
          </w:rPr>
          <w:t>2</w:t>
        </w:r>
        <w:r>
          <w:rPr>
            <w:rFonts w:asciiTheme="minorHAnsi" w:hAnsiTheme="minorHAnsi" w:cstheme="minorBidi"/>
            <w:caps w:val="0"/>
            <w:sz w:val="22"/>
            <w:szCs w:val="22"/>
            <w:lang w:val="en-US" w:eastAsia="en-US"/>
          </w:rPr>
          <w:tab/>
        </w:r>
        <w:r w:rsidRPr="00A51B7E">
          <w:rPr>
            <w:rStyle w:val="Hyperlink"/>
          </w:rPr>
          <w:t>Process Evaluation</w:t>
        </w:r>
        <w:r>
          <w:rPr>
            <w:webHidden/>
          </w:rPr>
          <w:tab/>
        </w:r>
        <w:r>
          <w:rPr>
            <w:webHidden/>
          </w:rPr>
          <w:fldChar w:fldCharType="begin"/>
        </w:r>
        <w:r>
          <w:rPr>
            <w:webHidden/>
          </w:rPr>
          <w:instrText xml:space="preserve"> PAGEREF _Toc145923997 \h </w:instrText>
        </w:r>
        <w:r>
          <w:rPr>
            <w:webHidden/>
          </w:rPr>
        </w:r>
        <w:r>
          <w:rPr>
            <w:webHidden/>
          </w:rPr>
          <w:fldChar w:fldCharType="separate"/>
        </w:r>
        <w:r>
          <w:rPr>
            <w:webHidden/>
          </w:rPr>
          <w:t>8</w:t>
        </w:r>
        <w:r>
          <w:rPr>
            <w:webHidden/>
          </w:rPr>
          <w:fldChar w:fldCharType="end"/>
        </w:r>
      </w:hyperlink>
    </w:p>
    <w:p w14:paraId="6787A610" w14:textId="3C9C6932" w:rsidR="000344CB" w:rsidRDefault="000344CB">
      <w:pPr>
        <w:pStyle w:val="TOC2"/>
        <w:rPr>
          <w:rFonts w:asciiTheme="minorHAnsi" w:hAnsiTheme="minorHAnsi" w:cstheme="minorBidi"/>
          <w:sz w:val="22"/>
          <w:szCs w:val="22"/>
          <w:lang w:val="en-US" w:eastAsia="en-US"/>
        </w:rPr>
      </w:pPr>
      <w:hyperlink w:anchor="_Toc145923998" w:history="1">
        <w:r w:rsidRPr="00A51B7E">
          <w:rPr>
            <w:rStyle w:val="Hyperlink"/>
          </w:rPr>
          <w:t>2.1</w:t>
        </w:r>
        <w:r>
          <w:rPr>
            <w:rFonts w:asciiTheme="minorHAnsi" w:hAnsiTheme="minorHAnsi" w:cstheme="minorBidi"/>
            <w:sz w:val="22"/>
            <w:szCs w:val="22"/>
            <w:lang w:val="en-US" w:eastAsia="en-US"/>
          </w:rPr>
          <w:tab/>
        </w:r>
        <w:r w:rsidRPr="00A51B7E">
          <w:rPr>
            <w:rStyle w:val="Hyperlink"/>
          </w:rPr>
          <w:t>Research conducted</w:t>
        </w:r>
        <w:r>
          <w:rPr>
            <w:webHidden/>
          </w:rPr>
          <w:tab/>
        </w:r>
        <w:r>
          <w:rPr>
            <w:webHidden/>
          </w:rPr>
          <w:fldChar w:fldCharType="begin"/>
        </w:r>
        <w:r>
          <w:rPr>
            <w:webHidden/>
          </w:rPr>
          <w:instrText xml:space="preserve"> PAGEREF _Toc145923998 \h </w:instrText>
        </w:r>
        <w:r>
          <w:rPr>
            <w:webHidden/>
          </w:rPr>
        </w:r>
        <w:r>
          <w:rPr>
            <w:webHidden/>
          </w:rPr>
          <w:fldChar w:fldCharType="separate"/>
        </w:r>
        <w:r>
          <w:rPr>
            <w:webHidden/>
          </w:rPr>
          <w:t>8</w:t>
        </w:r>
        <w:r>
          <w:rPr>
            <w:webHidden/>
          </w:rPr>
          <w:fldChar w:fldCharType="end"/>
        </w:r>
      </w:hyperlink>
    </w:p>
    <w:p w14:paraId="59FA9166" w14:textId="5353EE84" w:rsidR="000344CB" w:rsidRDefault="000344CB">
      <w:pPr>
        <w:pStyle w:val="TOC3"/>
        <w:rPr>
          <w:rFonts w:asciiTheme="minorHAnsi" w:hAnsiTheme="minorHAnsi" w:cstheme="minorBidi"/>
          <w:sz w:val="22"/>
          <w:szCs w:val="22"/>
          <w:lang w:val="en-US" w:eastAsia="en-US"/>
        </w:rPr>
      </w:pPr>
      <w:hyperlink w:anchor="_Toc145923999" w:history="1">
        <w:r w:rsidRPr="00A51B7E">
          <w:rPr>
            <w:rStyle w:val="Hyperlink"/>
          </w:rPr>
          <w:t>2.1.1</w:t>
        </w:r>
        <w:r>
          <w:rPr>
            <w:rFonts w:asciiTheme="minorHAnsi" w:hAnsiTheme="minorHAnsi" w:cstheme="minorBidi"/>
            <w:sz w:val="22"/>
            <w:szCs w:val="22"/>
            <w:lang w:val="en-US" w:eastAsia="en-US"/>
          </w:rPr>
          <w:tab/>
        </w:r>
        <w:r w:rsidRPr="00A51B7E">
          <w:rPr>
            <w:rStyle w:val="Hyperlink"/>
          </w:rPr>
          <w:t>Program theory and design</w:t>
        </w:r>
        <w:r>
          <w:rPr>
            <w:webHidden/>
          </w:rPr>
          <w:tab/>
        </w:r>
        <w:r>
          <w:rPr>
            <w:webHidden/>
          </w:rPr>
          <w:fldChar w:fldCharType="begin"/>
        </w:r>
        <w:r>
          <w:rPr>
            <w:webHidden/>
          </w:rPr>
          <w:instrText xml:space="preserve"> PAGEREF _Toc145923999 \h </w:instrText>
        </w:r>
        <w:r>
          <w:rPr>
            <w:webHidden/>
          </w:rPr>
        </w:r>
        <w:r>
          <w:rPr>
            <w:webHidden/>
          </w:rPr>
          <w:fldChar w:fldCharType="separate"/>
        </w:r>
        <w:r>
          <w:rPr>
            <w:webHidden/>
          </w:rPr>
          <w:t>8</w:t>
        </w:r>
        <w:r>
          <w:rPr>
            <w:webHidden/>
          </w:rPr>
          <w:fldChar w:fldCharType="end"/>
        </w:r>
      </w:hyperlink>
    </w:p>
    <w:p w14:paraId="7CA8CADF" w14:textId="16BB3F83" w:rsidR="000344CB" w:rsidRDefault="000344CB">
      <w:pPr>
        <w:pStyle w:val="TOC3"/>
        <w:rPr>
          <w:rFonts w:asciiTheme="minorHAnsi" w:hAnsiTheme="minorHAnsi" w:cstheme="minorBidi"/>
          <w:sz w:val="22"/>
          <w:szCs w:val="22"/>
          <w:lang w:val="en-US" w:eastAsia="en-US"/>
        </w:rPr>
      </w:pPr>
      <w:hyperlink w:anchor="_Toc145924000" w:history="1">
        <w:r w:rsidRPr="00A51B7E">
          <w:rPr>
            <w:rStyle w:val="Hyperlink"/>
          </w:rPr>
          <w:t>2.1.2</w:t>
        </w:r>
        <w:r>
          <w:rPr>
            <w:rFonts w:asciiTheme="minorHAnsi" w:hAnsiTheme="minorHAnsi" w:cstheme="minorBidi"/>
            <w:sz w:val="22"/>
            <w:szCs w:val="22"/>
            <w:lang w:val="en-US" w:eastAsia="en-US"/>
          </w:rPr>
          <w:tab/>
        </w:r>
        <w:r w:rsidRPr="00A51B7E">
          <w:rPr>
            <w:rStyle w:val="Hyperlink"/>
          </w:rPr>
          <w:t>Program delivery and changes</w:t>
        </w:r>
        <w:r>
          <w:rPr>
            <w:webHidden/>
          </w:rPr>
          <w:tab/>
        </w:r>
        <w:r>
          <w:rPr>
            <w:webHidden/>
          </w:rPr>
          <w:fldChar w:fldCharType="begin"/>
        </w:r>
        <w:r>
          <w:rPr>
            <w:webHidden/>
          </w:rPr>
          <w:instrText xml:space="preserve"> PAGEREF _Toc145924000 \h </w:instrText>
        </w:r>
        <w:r>
          <w:rPr>
            <w:webHidden/>
          </w:rPr>
        </w:r>
        <w:r>
          <w:rPr>
            <w:webHidden/>
          </w:rPr>
          <w:fldChar w:fldCharType="separate"/>
        </w:r>
        <w:r>
          <w:rPr>
            <w:webHidden/>
          </w:rPr>
          <w:t>9</w:t>
        </w:r>
        <w:r>
          <w:rPr>
            <w:webHidden/>
          </w:rPr>
          <w:fldChar w:fldCharType="end"/>
        </w:r>
      </w:hyperlink>
    </w:p>
    <w:p w14:paraId="727BBE86" w14:textId="5BC2846D" w:rsidR="000344CB" w:rsidRDefault="000344CB">
      <w:pPr>
        <w:pStyle w:val="TOC3"/>
        <w:rPr>
          <w:rFonts w:asciiTheme="minorHAnsi" w:hAnsiTheme="minorHAnsi" w:cstheme="minorBidi"/>
          <w:sz w:val="22"/>
          <w:szCs w:val="22"/>
          <w:lang w:val="en-US" w:eastAsia="en-US"/>
        </w:rPr>
      </w:pPr>
      <w:hyperlink w:anchor="_Toc145924001" w:history="1">
        <w:r w:rsidRPr="00A51B7E">
          <w:rPr>
            <w:rStyle w:val="Hyperlink"/>
          </w:rPr>
          <w:t>2.1.3</w:t>
        </w:r>
        <w:r>
          <w:rPr>
            <w:rFonts w:asciiTheme="minorHAnsi" w:hAnsiTheme="minorHAnsi" w:cstheme="minorBidi"/>
            <w:sz w:val="22"/>
            <w:szCs w:val="22"/>
            <w:lang w:val="en-US" w:eastAsia="en-US"/>
          </w:rPr>
          <w:tab/>
        </w:r>
        <w:r w:rsidRPr="00A51B7E">
          <w:rPr>
            <w:rStyle w:val="Hyperlink"/>
          </w:rPr>
          <w:t>Marketing and outreach</w:t>
        </w:r>
        <w:r>
          <w:rPr>
            <w:webHidden/>
          </w:rPr>
          <w:tab/>
        </w:r>
        <w:r>
          <w:rPr>
            <w:webHidden/>
          </w:rPr>
          <w:fldChar w:fldCharType="begin"/>
        </w:r>
        <w:r>
          <w:rPr>
            <w:webHidden/>
          </w:rPr>
          <w:instrText xml:space="preserve"> PAGEREF _Toc145924001 \h </w:instrText>
        </w:r>
        <w:r>
          <w:rPr>
            <w:webHidden/>
          </w:rPr>
        </w:r>
        <w:r>
          <w:rPr>
            <w:webHidden/>
          </w:rPr>
          <w:fldChar w:fldCharType="separate"/>
        </w:r>
        <w:r>
          <w:rPr>
            <w:webHidden/>
          </w:rPr>
          <w:t>9</w:t>
        </w:r>
        <w:r>
          <w:rPr>
            <w:webHidden/>
          </w:rPr>
          <w:fldChar w:fldCharType="end"/>
        </w:r>
      </w:hyperlink>
    </w:p>
    <w:p w14:paraId="10492214" w14:textId="0886ECCD" w:rsidR="000344CB" w:rsidRDefault="000344CB">
      <w:pPr>
        <w:pStyle w:val="TOC3"/>
        <w:rPr>
          <w:rFonts w:asciiTheme="minorHAnsi" w:hAnsiTheme="minorHAnsi" w:cstheme="minorBidi"/>
          <w:sz w:val="22"/>
          <w:szCs w:val="22"/>
          <w:lang w:val="en-US" w:eastAsia="en-US"/>
        </w:rPr>
      </w:pPr>
      <w:hyperlink w:anchor="_Toc145924002" w:history="1">
        <w:r w:rsidRPr="00A51B7E">
          <w:rPr>
            <w:rStyle w:val="Hyperlink"/>
          </w:rPr>
          <w:t>2.1.4</w:t>
        </w:r>
        <w:r>
          <w:rPr>
            <w:rFonts w:asciiTheme="minorHAnsi" w:hAnsiTheme="minorHAnsi" w:cstheme="minorBidi"/>
            <w:sz w:val="22"/>
            <w:szCs w:val="22"/>
            <w:lang w:val="en-US" w:eastAsia="en-US"/>
          </w:rPr>
          <w:tab/>
        </w:r>
        <w:r w:rsidRPr="00A51B7E">
          <w:rPr>
            <w:rStyle w:val="Hyperlink"/>
          </w:rPr>
          <w:t>Tracking metrics and performance</w:t>
        </w:r>
        <w:r>
          <w:rPr>
            <w:webHidden/>
          </w:rPr>
          <w:tab/>
        </w:r>
        <w:r>
          <w:rPr>
            <w:webHidden/>
          </w:rPr>
          <w:fldChar w:fldCharType="begin"/>
        </w:r>
        <w:r>
          <w:rPr>
            <w:webHidden/>
          </w:rPr>
          <w:instrText xml:space="preserve"> PAGEREF _Toc145924002 \h </w:instrText>
        </w:r>
        <w:r>
          <w:rPr>
            <w:webHidden/>
          </w:rPr>
        </w:r>
        <w:r>
          <w:rPr>
            <w:webHidden/>
          </w:rPr>
          <w:fldChar w:fldCharType="separate"/>
        </w:r>
        <w:r>
          <w:rPr>
            <w:webHidden/>
          </w:rPr>
          <w:t>9</w:t>
        </w:r>
        <w:r>
          <w:rPr>
            <w:webHidden/>
          </w:rPr>
          <w:fldChar w:fldCharType="end"/>
        </w:r>
      </w:hyperlink>
    </w:p>
    <w:p w14:paraId="60AD156E" w14:textId="33A0CF5A" w:rsidR="000344CB" w:rsidRDefault="000344CB">
      <w:pPr>
        <w:pStyle w:val="TOC3"/>
        <w:rPr>
          <w:rFonts w:asciiTheme="minorHAnsi" w:hAnsiTheme="minorHAnsi" w:cstheme="minorBidi"/>
          <w:sz w:val="22"/>
          <w:szCs w:val="22"/>
          <w:lang w:val="en-US" w:eastAsia="en-US"/>
        </w:rPr>
      </w:pPr>
      <w:hyperlink w:anchor="_Toc145924003" w:history="1">
        <w:r w:rsidRPr="00A51B7E">
          <w:rPr>
            <w:rStyle w:val="Hyperlink"/>
          </w:rPr>
          <w:t>2.1.5</w:t>
        </w:r>
        <w:r>
          <w:rPr>
            <w:rFonts w:asciiTheme="minorHAnsi" w:hAnsiTheme="minorHAnsi" w:cstheme="minorBidi"/>
            <w:sz w:val="22"/>
            <w:szCs w:val="22"/>
            <w:lang w:val="en-US" w:eastAsia="en-US"/>
          </w:rPr>
          <w:tab/>
        </w:r>
        <w:r w:rsidRPr="00A51B7E">
          <w:rPr>
            <w:rStyle w:val="Hyperlink"/>
          </w:rPr>
          <w:t>Key program activities</w:t>
        </w:r>
        <w:r>
          <w:rPr>
            <w:webHidden/>
          </w:rPr>
          <w:tab/>
        </w:r>
        <w:r>
          <w:rPr>
            <w:webHidden/>
          </w:rPr>
          <w:fldChar w:fldCharType="begin"/>
        </w:r>
        <w:r>
          <w:rPr>
            <w:webHidden/>
          </w:rPr>
          <w:instrText xml:space="preserve"> PAGEREF _Toc145924003 \h </w:instrText>
        </w:r>
        <w:r>
          <w:rPr>
            <w:webHidden/>
          </w:rPr>
        </w:r>
        <w:r>
          <w:rPr>
            <w:webHidden/>
          </w:rPr>
          <w:fldChar w:fldCharType="separate"/>
        </w:r>
        <w:r>
          <w:rPr>
            <w:webHidden/>
          </w:rPr>
          <w:t>10</w:t>
        </w:r>
        <w:r>
          <w:rPr>
            <w:webHidden/>
          </w:rPr>
          <w:fldChar w:fldCharType="end"/>
        </w:r>
      </w:hyperlink>
    </w:p>
    <w:p w14:paraId="6B1C17B1" w14:textId="5626CDD5" w:rsidR="000344CB" w:rsidRDefault="000344CB">
      <w:pPr>
        <w:pStyle w:val="TOC3"/>
        <w:rPr>
          <w:rFonts w:asciiTheme="minorHAnsi" w:hAnsiTheme="minorHAnsi" w:cstheme="minorBidi"/>
          <w:sz w:val="22"/>
          <w:szCs w:val="22"/>
          <w:lang w:val="en-US" w:eastAsia="en-US"/>
        </w:rPr>
      </w:pPr>
      <w:hyperlink w:anchor="_Toc145924004" w:history="1">
        <w:r w:rsidRPr="00A51B7E">
          <w:rPr>
            <w:rStyle w:val="Hyperlink"/>
          </w:rPr>
          <w:t>2.1.6</w:t>
        </w:r>
        <w:r>
          <w:rPr>
            <w:rFonts w:asciiTheme="minorHAnsi" w:hAnsiTheme="minorHAnsi" w:cstheme="minorBidi"/>
            <w:sz w:val="22"/>
            <w:szCs w:val="22"/>
            <w:lang w:val="en-US" w:eastAsia="en-US"/>
          </w:rPr>
          <w:tab/>
        </w:r>
        <w:r w:rsidRPr="00A51B7E">
          <w:rPr>
            <w:rStyle w:val="Hyperlink"/>
          </w:rPr>
          <w:t>Barriers to participation</w:t>
        </w:r>
        <w:r>
          <w:rPr>
            <w:webHidden/>
          </w:rPr>
          <w:tab/>
        </w:r>
        <w:r>
          <w:rPr>
            <w:webHidden/>
          </w:rPr>
          <w:fldChar w:fldCharType="begin"/>
        </w:r>
        <w:r>
          <w:rPr>
            <w:webHidden/>
          </w:rPr>
          <w:instrText xml:space="preserve"> PAGEREF _Toc145924004 \h </w:instrText>
        </w:r>
        <w:r>
          <w:rPr>
            <w:webHidden/>
          </w:rPr>
        </w:r>
        <w:r>
          <w:rPr>
            <w:webHidden/>
          </w:rPr>
          <w:fldChar w:fldCharType="separate"/>
        </w:r>
        <w:r>
          <w:rPr>
            <w:webHidden/>
          </w:rPr>
          <w:t>10</w:t>
        </w:r>
        <w:r>
          <w:rPr>
            <w:webHidden/>
          </w:rPr>
          <w:fldChar w:fldCharType="end"/>
        </w:r>
      </w:hyperlink>
    </w:p>
    <w:p w14:paraId="2FC5CF5F" w14:textId="130C3EC4" w:rsidR="000344CB" w:rsidRDefault="000344CB">
      <w:pPr>
        <w:pStyle w:val="TOC3"/>
        <w:rPr>
          <w:rFonts w:asciiTheme="minorHAnsi" w:hAnsiTheme="minorHAnsi" w:cstheme="minorBidi"/>
          <w:sz w:val="22"/>
          <w:szCs w:val="22"/>
          <w:lang w:val="en-US" w:eastAsia="en-US"/>
        </w:rPr>
      </w:pPr>
      <w:hyperlink w:anchor="_Toc145924005" w:history="1">
        <w:r w:rsidRPr="00A51B7E">
          <w:rPr>
            <w:rStyle w:val="Hyperlink"/>
          </w:rPr>
          <w:t>2.1.7</w:t>
        </w:r>
        <w:r>
          <w:rPr>
            <w:rFonts w:asciiTheme="minorHAnsi" w:hAnsiTheme="minorHAnsi" w:cstheme="minorBidi"/>
            <w:sz w:val="22"/>
            <w:szCs w:val="22"/>
            <w:lang w:val="en-US" w:eastAsia="en-US"/>
          </w:rPr>
          <w:tab/>
        </w:r>
        <w:r w:rsidRPr="00A51B7E">
          <w:rPr>
            <w:rStyle w:val="Hyperlink"/>
          </w:rPr>
          <w:t>Challenges and opportunities</w:t>
        </w:r>
        <w:r>
          <w:rPr>
            <w:webHidden/>
          </w:rPr>
          <w:tab/>
        </w:r>
        <w:r>
          <w:rPr>
            <w:webHidden/>
          </w:rPr>
          <w:fldChar w:fldCharType="begin"/>
        </w:r>
        <w:r>
          <w:rPr>
            <w:webHidden/>
          </w:rPr>
          <w:instrText xml:space="preserve"> PAGEREF _Toc145924005 \h </w:instrText>
        </w:r>
        <w:r>
          <w:rPr>
            <w:webHidden/>
          </w:rPr>
        </w:r>
        <w:r>
          <w:rPr>
            <w:webHidden/>
          </w:rPr>
          <w:fldChar w:fldCharType="separate"/>
        </w:r>
        <w:r>
          <w:rPr>
            <w:webHidden/>
          </w:rPr>
          <w:t>11</w:t>
        </w:r>
        <w:r>
          <w:rPr>
            <w:webHidden/>
          </w:rPr>
          <w:fldChar w:fldCharType="end"/>
        </w:r>
      </w:hyperlink>
    </w:p>
    <w:p w14:paraId="52B142E8" w14:textId="6FDFEDF9" w:rsidR="000344CB" w:rsidRDefault="000344CB">
      <w:pPr>
        <w:pStyle w:val="TOC2"/>
        <w:rPr>
          <w:rFonts w:asciiTheme="minorHAnsi" w:hAnsiTheme="minorHAnsi" w:cstheme="minorBidi"/>
          <w:sz w:val="22"/>
          <w:szCs w:val="22"/>
          <w:lang w:val="en-US" w:eastAsia="en-US"/>
        </w:rPr>
      </w:pPr>
      <w:hyperlink w:anchor="_Toc145924006" w:history="1">
        <w:r w:rsidRPr="00A51B7E">
          <w:rPr>
            <w:rStyle w:val="Hyperlink"/>
          </w:rPr>
          <w:t>2.2</w:t>
        </w:r>
        <w:r>
          <w:rPr>
            <w:rFonts w:asciiTheme="minorHAnsi" w:hAnsiTheme="minorHAnsi" w:cstheme="minorBidi"/>
            <w:sz w:val="22"/>
            <w:szCs w:val="22"/>
            <w:lang w:val="en-US" w:eastAsia="en-US"/>
          </w:rPr>
          <w:tab/>
        </w:r>
        <w:r w:rsidRPr="00A51B7E">
          <w:rPr>
            <w:rStyle w:val="Hyperlink"/>
          </w:rPr>
          <w:t>Process findings and recommendations</w:t>
        </w:r>
        <w:r>
          <w:rPr>
            <w:webHidden/>
          </w:rPr>
          <w:tab/>
        </w:r>
        <w:r>
          <w:rPr>
            <w:webHidden/>
          </w:rPr>
          <w:fldChar w:fldCharType="begin"/>
        </w:r>
        <w:r>
          <w:rPr>
            <w:webHidden/>
          </w:rPr>
          <w:instrText xml:space="preserve"> PAGEREF _Toc145924006 \h </w:instrText>
        </w:r>
        <w:r>
          <w:rPr>
            <w:webHidden/>
          </w:rPr>
        </w:r>
        <w:r>
          <w:rPr>
            <w:webHidden/>
          </w:rPr>
          <w:fldChar w:fldCharType="separate"/>
        </w:r>
        <w:r>
          <w:rPr>
            <w:webHidden/>
          </w:rPr>
          <w:t>11</w:t>
        </w:r>
        <w:r>
          <w:rPr>
            <w:webHidden/>
          </w:rPr>
          <w:fldChar w:fldCharType="end"/>
        </w:r>
      </w:hyperlink>
    </w:p>
    <w:p w14:paraId="75609E7C" w14:textId="357F3EE0" w:rsidR="000344CB" w:rsidRDefault="000344CB">
      <w:pPr>
        <w:pStyle w:val="TOC1"/>
        <w:rPr>
          <w:rFonts w:asciiTheme="minorHAnsi" w:hAnsiTheme="minorHAnsi" w:cstheme="minorBidi"/>
          <w:caps w:val="0"/>
          <w:sz w:val="22"/>
          <w:szCs w:val="22"/>
          <w:lang w:val="en-US" w:eastAsia="en-US"/>
        </w:rPr>
      </w:pPr>
      <w:hyperlink w:anchor="_Toc145924007" w:history="1">
        <w:r w:rsidRPr="00A51B7E">
          <w:rPr>
            <w:rStyle w:val="Hyperlink"/>
          </w:rPr>
          <w:t>3</w:t>
        </w:r>
        <w:r>
          <w:rPr>
            <w:rFonts w:asciiTheme="minorHAnsi" w:hAnsiTheme="minorHAnsi" w:cstheme="minorBidi"/>
            <w:caps w:val="0"/>
            <w:sz w:val="22"/>
            <w:szCs w:val="22"/>
            <w:lang w:val="en-US" w:eastAsia="en-US"/>
          </w:rPr>
          <w:tab/>
        </w:r>
        <w:r w:rsidRPr="00A51B7E">
          <w:rPr>
            <w:rStyle w:val="Hyperlink"/>
          </w:rPr>
          <w:t>Evaluability Assessment</w:t>
        </w:r>
        <w:r>
          <w:rPr>
            <w:webHidden/>
          </w:rPr>
          <w:tab/>
        </w:r>
        <w:r>
          <w:rPr>
            <w:webHidden/>
          </w:rPr>
          <w:fldChar w:fldCharType="begin"/>
        </w:r>
        <w:r>
          <w:rPr>
            <w:webHidden/>
          </w:rPr>
          <w:instrText xml:space="preserve"> PAGEREF _Toc145924007 \h </w:instrText>
        </w:r>
        <w:r>
          <w:rPr>
            <w:webHidden/>
          </w:rPr>
        </w:r>
        <w:r>
          <w:rPr>
            <w:webHidden/>
          </w:rPr>
          <w:fldChar w:fldCharType="separate"/>
        </w:r>
        <w:r>
          <w:rPr>
            <w:webHidden/>
          </w:rPr>
          <w:t>13</w:t>
        </w:r>
        <w:r>
          <w:rPr>
            <w:webHidden/>
          </w:rPr>
          <w:fldChar w:fldCharType="end"/>
        </w:r>
      </w:hyperlink>
    </w:p>
    <w:p w14:paraId="16AD03F2" w14:textId="60DE5DC1" w:rsidR="000344CB" w:rsidRDefault="000344CB">
      <w:pPr>
        <w:pStyle w:val="TOC1"/>
        <w:rPr>
          <w:rFonts w:asciiTheme="minorHAnsi" w:hAnsiTheme="minorHAnsi" w:cstheme="minorBidi"/>
          <w:caps w:val="0"/>
          <w:sz w:val="22"/>
          <w:szCs w:val="22"/>
          <w:lang w:val="en-US" w:eastAsia="en-US"/>
        </w:rPr>
      </w:pPr>
      <w:hyperlink w:anchor="_Toc145924008" w:history="1">
        <w:r w:rsidRPr="00A51B7E">
          <w:rPr>
            <w:rStyle w:val="Hyperlink"/>
          </w:rPr>
          <w:t>4</w:t>
        </w:r>
        <w:r>
          <w:rPr>
            <w:rFonts w:asciiTheme="minorHAnsi" w:hAnsiTheme="minorHAnsi" w:cstheme="minorBidi"/>
            <w:caps w:val="0"/>
            <w:sz w:val="22"/>
            <w:szCs w:val="22"/>
            <w:lang w:val="en-US" w:eastAsia="en-US"/>
          </w:rPr>
          <w:tab/>
        </w:r>
        <w:r w:rsidRPr="00A51B7E">
          <w:rPr>
            <w:rStyle w:val="Hyperlink"/>
          </w:rPr>
          <w:t>Program Comparisons</w:t>
        </w:r>
        <w:r>
          <w:rPr>
            <w:webHidden/>
          </w:rPr>
          <w:tab/>
        </w:r>
        <w:r>
          <w:rPr>
            <w:webHidden/>
          </w:rPr>
          <w:fldChar w:fldCharType="begin"/>
        </w:r>
        <w:r>
          <w:rPr>
            <w:webHidden/>
          </w:rPr>
          <w:instrText xml:space="preserve"> PAGEREF _Toc145924008 \h </w:instrText>
        </w:r>
        <w:r>
          <w:rPr>
            <w:webHidden/>
          </w:rPr>
        </w:r>
        <w:r>
          <w:rPr>
            <w:webHidden/>
          </w:rPr>
          <w:fldChar w:fldCharType="separate"/>
        </w:r>
        <w:r>
          <w:rPr>
            <w:webHidden/>
          </w:rPr>
          <w:t>15</w:t>
        </w:r>
        <w:r>
          <w:rPr>
            <w:webHidden/>
          </w:rPr>
          <w:fldChar w:fldCharType="end"/>
        </w:r>
      </w:hyperlink>
    </w:p>
    <w:p w14:paraId="067D0900" w14:textId="550DF8E1" w:rsidR="000344CB" w:rsidRDefault="000344CB">
      <w:pPr>
        <w:pStyle w:val="TOC1"/>
        <w:tabs>
          <w:tab w:val="left" w:pos="1417"/>
        </w:tabs>
        <w:rPr>
          <w:rFonts w:asciiTheme="minorHAnsi" w:hAnsiTheme="minorHAnsi" w:cstheme="minorBidi"/>
          <w:caps w:val="0"/>
          <w:sz w:val="22"/>
          <w:szCs w:val="22"/>
          <w:lang w:val="en-US" w:eastAsia="en-US"/>
        </w:rPr>
      </w:pPr>
      <w:hyperlink w:anchor="_Toc145924009" w:history="1">
        <w:r w:rsidRPr="00A51B7E">
          <w:rPr>
            <w:rStyle w:val="Hyperlink"/>
            <w:bCs/>
            <w14:scene3d>
              <w14:camera w14:prst="orthographicFront"/>
              <w14:lightRig w14:rig="threePt" w14:dir="t">
                <w14:rot w14:lat="0" w14:lon="0" w14:rev="0"/>
              </w14:lightRig>
            </w14:scene3d>
          </w:rPr>
          <w:t>APPENDIX A.</w:t>
        </w:r>
        <w:r>
          <w:rPr>
            <w:rFonts w:asciiTheme="minorHAnsi" w:hAnsiTheme="minorHAnsi" w:cstheme="minorBidi"/>
            <w:caps w:val="0"/>
            <w:sz w:val="22"/>
            <w:szCs w:val="22"/>
            <w:lang w:val="en-US" w:eastAsia="en-US"/>
          </w:rPr>
          <w:tab/>
        </w:r>
        <w:r w:rsidRPr="00A51B7E">
          <w:rPr>
            <w:rStyle w:val="Hyperlink"/>
          </w:rPr>
          <w:t>Program staff FEEDBACK</w:t>
        </w:r>
        <w:r>
          <w:rPr>
            <w:webHidden/>
          </w:rPr>
          <w:tab/>
        </w:r>
        <w:r>
          <w:rPr>
            <w:webHidden/>
          </w:rPr>
          <w:fldChar w:fldCharType="begin"/>
        </w:r>
        <w:r>
          <w:rPr>
            <w:webHidden/>
          </w:rPr>
          <w:instrText xml:space="preserve"> PAGEREF _Toc145924009 \h </w:instrText>
        </w:r>
        <w:r>
          <w:rPr>
            <w:webHidden/>
          </w:rPr>
        </w:r>
        <w:r>
          <w:rPr>
            <w:webHidden/>
          </w:rPr>
          <w:fldChar w:fldCharType="separate"/>
        </w:r>
        <w:r>
          <w:rPr>
            <w:webHidden/>
          </w:rPr>
          <w:t>17</w:t>
        </w:r>
        <w:r>
          <w:rPr>
            <w:webHidden/>
          </w:rPr>
          <w:fldChar w:fldCharType="end"/>
        </w:r>
      </w:hyperlink>
    </w:p>
    <w:p w14:paraId="09BA141E" w14:textId="05CEED51" w:rsidR="0050384F" w:rsidRDefault="0050384F" w:rsidP="0050384F">
      <w:r>
        <w:fldChar w:fldCharType="end"/>
      </w:r>
    </w:p>
    <w:p w14:paraId="173E77B5" w14:textId="52831499" w:rsidR="0050384F" w:rsidRDefault="0050384F">
      <w:pPr>
        <w:rPr>
          <w:b/>
          <w:caps/>
          <w:color w:val="0F204B"/>
          <w:sz w:val="26"/>
        </w:rPr>
      </w:pPr>
      <w:r>
        <w:br w:type="page"/>
      </w:r>
    </w:p>
    <w:p w14:paraId="549E8AF1" w14:textId="59926A0E" w:rsidR="00DB23B1" w:rsidRDefault="00DB23B1" w:rsidP="003B4D20">
      <w:pPr>
        <w:pStyle w:val="Heading1NoNumber0"/>
      </w:pPr>
      <w:bookmarkStart w:id="0" w:name="_Toc145923992"/>
      <w:r>
        <w:lastRenderedPageBreak/>
        <w:t>Abstract</w:t>
      </w:r>
      <w:bookmarkEnd w:id="0"/>
    </w:p>
    <w:p w14:paraId="29D2B8FF" w14:textId="026ECF66" w:rsidR="00DB23B1" w:rsidRDefault="00350E23" w:rsidP="00DB23B1">
      <w:pPr>
        <w:pStyle w:val="BodyText"/>
      </w:pPr>
      <w:r w:rsidRPr="00175D33">
        <w:rPr>
          <w:lang w:val="en-US"/>
        </w:rPr>
        <w:t xml:space="preserve">DNV conducted an initial </w:t>
      </w:r>
      <w:r>
        <w:rPr>
          <w:lang w:val="en-US"/>
        </w:rPr>
        <w:t>“</w:t>
      </w:r>
      <w:r w:rsidRPr="00175D33">
        <w:rPr>
          <w:lang w:val="en-US"/>
        </w:rPr>
        <w:t>snapshot</w:t>
      </w:r>
      <w:r>
        <w:rPr>
          <w:lang w:val="en-US"/>
        </w:rPr>
        <w:t>”</w:t>
      </w:r>
      <w:r w:rsidRPr="00175D33">
        <w:rPr>
          <w:lang w:val="en-US"/>
        </w:rPr>
        <w:t xml:space="preserve"> evaluation </w:t>
      </w:r>
      <w:r>
        <w:rPr>
          <w:lang w:val="en-US"/>
        </w:rPr>
        <w:t xml:space="preserve">of </w:t>
      </w:r>
      <w:r w:rsidRPr="00217A44">
        <w:t>New Jersey Natural Gas's (NJNG) Commercial and Industrial (C&amp;I) Prescriptive &amp; Custom Measures (P&amp;C) subprogram for the period beginning July 1, 2021, and ending June 30, 2022 (</w:t>
      </w:r>
      <w:r w:rsidR="00F40EA6">
        <w:t xml:space="preserve">Project Year 1, or </w:t>
      </w:r>
      <w:r w:rsidRPr="00217A44">
        <w:t>PY1)</w:t>
      </w:r>
      <w:r w:rsidRPr="00175D33">
        <w:rPr>
          <w:lang w:val="en-US"/>
        </w:rPr>
        <w:t xml:space="preserve"> to develop a more integrated view of the portfolio as a whole and to prioritize resources for more in-depth enhanced process evaluation activities in the subsequent years.</w:t>
      </w:r>
    </w:p>
    <w:p w14:paraId="3D908D72" w14:textId="733C20DC" w:rsidR="00DB23B1" w:rsidRDefault="00DB23B1" w:rsidP="00DB23B1">
      <w:pPr>
        <w:pStyle w:val="Heading7"/>
      </w:pPr>
      <w:r>
        <w:t>Results</w:t>
      </w:r>
    </w:p>
    <w:p w14:paraId="2708ABFF" w14:textId="59E84C95" w:rsidR="00350E23" w:rsidRPr="00584E7B" w:rsidRDefault="00350E23" w:rsidP="00350E23">
      <w:pPr>
        <w:pStyle w:val="ListBullet"/>
        <w:numPr>
          <w:ilvl w:val="0"/>
          <w:numId w:val="0"/>
        </w:numPr>
        <w:ind w:left="360" w:hanging="360"/>
        <w:contextualSpacing w:val="0"/>
        <w:rPr>
          <w:b/>
          <w:bCs/>
          <w:lang w:val="en-US"/>
        </w:rPr>
      </w:pPr>
      <w:r>
        <w:rPr>
          <w:b/>
          <w:bCs/>
          <w:lang w:val="en-US"/>
        </w:rPr>
        <w:t>Process Evaluation Findings</w:t>
      </w:r>
    </w:p>
    <w:p w14:paraId="42EDD602" w14:textId="06AE23E5" w:rsidR="00C93F55" w:rsidRPr="005072BA" w:rsidRDefault="00C93F55" w:rsidP="00C93F55">
      <w:pPr>
        <w:pStyle w:val="ListBullet"/>
      </w:pPr>
      <w:r w:rsidRPr="005072BA">
        <w:t xml:space="preserve">The </w:t>
      </w:r>
      <w:r>
        <w:t xml:space="preserve">P&amp;C </w:t>
      </w:r>
      <w:r w:rsidRPr="005072BA">
        <w:t xml:space="preserve">subprogram completed 2 </w:t>
      </w:r>
      <w:r>
        <w:t xml:space="preserve">prescriptive </w:t>
      </w:r>
      <w:r w:rsidRPr="005072BA">
        <w:t xml:space="preserve">projects in PY1 </w:t>
      </w:r>
      <w:r w:rsidR="002477B2">
        <w:t xml:space="preserve">with </w:t>
      </w:r>
      <w:r>
        <w:t>540 therms in total gas savings</w:t>
      </w:r>
      <w:r w:rsidR="002477B2">
        <w:t xml:space="preserve">, </w:t>
      </w:r>
      <w:r w:rsidR="002477B2" w:rsidRPr="005072BA">
        <w:t>compared to a goal of 981 completed projects</w:t>
      </w:r>
      <w:r w:rsidR="002477B2">
        <w:t xml:space="preserve"> savings </w:t>
      </w:r>
      <w:r w:rsidR="00AC5B8F">
        <w:t xml:space="preserve">of </w:t>
      </w:r>
      <w:r w:rsidR="002477B2">
        <w:t>422,080 therms</w:t>
      </w:r>
      <w:r w:rsidRPr="005072BA">
        <w:t>.</w:t>
      </w:r>
      <w:r w:rsidR="00FE11D3">
        <w:t xml:space="preserve"> </w:t>
      </w:r>
      <w:r w:rsidR="00485F1E">
        <w:t>NJNG had 5 more participants committed but not completed in PY1.</w:t>
      </w:r>
    </w:p>
    <w:p w14:paraId="3937D821" w14:textId="64DF1B4C" w:rsidR="00C93F55" w:rsidRPr="005072BA" w:rsidRDefault="00C93F55" w:rsidP="00C93F55">
      <w:pPr>
        <w:pStyle w:val="ListBullet"/>
      </w:pPr>
      <w:r w:rsidRPr="005072BA">
        <w:t xml:space="preserve">The subprogram secured participation agreements from 46 contractors allowing them to offer on-bill repayment to </w:t>
      </w:r>
      <w:r w:rsidR="001521BC">
        <w:t xml:space="preserve">potential </w:t>
      </w:r>
      <w:r w:rsidRPr="005072BA">
        <w:t>customers for completing prescriptive measures.</w:t>
      </w:r>
      <w:r w:rsidR="00EB6B84">
        <w:t xml:space="preserve">  </w:t>
      </w:r>
    </w:p>
    <w:p w14:paraId="2E6B35D1" w14:textId="5A1CF44B" w:rsidR="00C93F55" w:rsidRDefault="00C93F55" w:rsidP="00C93F55">
      <w:pPr>
        <w:pStyle w:val="ListBullet"/>
      </w:pPr>
      <w:r w:rsidRPr="005072BA">
        <w:t>NJNG-identified barriers to participation and completed projects include replacing failed equipment, the requirement for engineering studies on many custom projects, pandemic effects</w:t>
      </w:r>
      <w:r w:rsidR="000575F4">
        <w:t>, and supply chain issues</w:t>
      </w:r>
      <w:r w:rsidRPr="005072BA">
        <w:t>.</w:t>
      </w:r>
    </w:p>
    <w:p w14:paraId="61FC65DF" w14:textId="6B454628" w:rsidR="00C93F55" w:rsidRPr="005072BA" w:rsidRDefault="00C93F55" w:rsidP="00C93F55">
      <w:pPr>
        <w:pStyle w:val="ListBullet"/>
      </w:pPr>
      <w:r>
        <w:t xml:space="preserve">DNV-identified barriers to participation included inaccuracies </w:t>
      </w:r>
      <w:r w:rsidR="00AC5B8F">
        <w:t>i</w:t>
      </w:r>
      <w:r>
        <w:t xml:space="preserve">n the program application of documentation requirements (such as </w:t>
      </w:r>
      <w:r w:rsidR="005D1BC2">
        <w:t xml:space="preserve">needing </w:t>
      </w:r>
      <w:r>
        <w:t>pre-approval for prescriptive measures) and some key shortfalls of the program website.</w:t>
      </w:r>
    </w:p>
    <w:p w14:paraId="0C94C7ED" w14:textId="69C6ECB2" w:rsidR="00DB23B1" w:rsidRPr="00350E23" w:rsidRDefault="00D42A5A" w:rsidP="00DB23B1">
      <w:pPr>
        <w:pStyle w:val="BodyText"/>
        <w:rPr>
          <w:b/>
          <w:bCs/>
        </w:rPr>
      </w:pPr>
      <w:r>
        <w:rPr>
          <w:b/>
          <w:bCs/>
        </w:rPr>
        <w:t>Impact Evaluation</w:t>
      </w:r>
      <w:r w:rsidR="00350E23" w:rsidRPr="00350E23">
        <w:rPr>
          <w:b/>
          <w:bCs/>
        </w:rPr>
        <w:t xml:space="preserve"> Findings</w:t>
      </w:r>
    </w:p>
    <w:p w14:paraId="20B9A935" w14:textId="79EE873A" w:rsidR="00350E23" w:rsidRDefault="00350E23" w:rsidP="00350E23">
      <w:pPr>
        <w:pStyle w:val="ListBullet"/>
      </w:pPr>
      <w:r>
        <w:t xml:space="preserve">Based on project documentation reviewed for each of the seven </w:t>
      </w:r>
      <w:r w:rsidRPr="00163CE0">
        <w:t xml:space="preserve">C&amp;I </w:t>
      </w:r>
      <w:r>
        <w:t>prescriptive</w:t>
      </w:r>
      <w:r w:rsidRPr="00163CE0">
        <w:t xml:space="preserve"> projects that were initiated in </w:t>
      </w:r>
      <w:r w:rsidR="00D15FA4">
        <w:t>PY1</w:t>
      </w:r>
      <w:r>
        <w:t xml:space="preserve">, DNV determined that NJNG was collecting extensive data to perform </w:t>
      </w:r>
      <w:r w:rsidR="00AC5B8F">
        <w:t xml:space="preserve">a </w:t>
      </w:r>
      <w:r>
        <w:t>detailed evaluation in the future.</w:t>
      </w:r>
    </w:p>
    <w:p w14:paraId="0D9D2635" w14:textId="377F8EA1" w:rsidR="00350E23" w:rsidRDefault="00350E23" w:rsidP="00350E23">
      <w:pPr>
        <w:pStyle w:val="ListBullet"/>
      </w:pPr>
      <w:r>
        <w:t xml:space="preserve">Evaluators verified that the iEPM database </w:t>
      </w:r>
      <w:r w:rsidR="00AC5B8F">
        <w:t>estimated</w:t>
      </w:r>
      <w:r>
        <w:t xml:space="preserve"> tracking savings appropriately per algorithms and assumptions provided in the NJ TRM.</w:t>
      </w:r>
    </w:p>
    <w:p w14:paraId="3A91A2FD" w14:textId="33B55125" w:rsidR="00350E23" w:rsidRDefault="00350E23" w:rsidP="00DB23B1">
      <w:pPr>
        <w:pStyle w:val="ListBullet"/>
      </w:pPr>
      <w:r>
        <w:t xml:space="preserve">Evaluators also verified that the electric savings calculated by iEPM for installed measures (ex: </w:t>
      </w:r>
      <w:r w:rsidR="006D3DAD">
        <w:t xml:space="preserve"> furnace</w:t>
      </w:r>
      <w:r>
        <w:t xml:space="preserve">) </w:t>
      </w:r>
      <w:r w:rsidRPr="00197105">
        <w:t xml:space="preserve">where NJNG is the lead utility </w:t>
      </w:r>
      <w:r>
        <w:t>was</w:t>
      </w:r>
      <w:r w:rsidRPr="00197105">
        <w:t xml:space="preserve"> reasonable and follow</w:t>
      </w:r>
      <w:r w:rsidR="00AC5B8F">
        <w:t>ed</w:t>
      </w:r>
      <w:r w:rsidRPr="00197105">
        <w:t xml:space="preserve"> </w:t>
      </w:r>
      <w:r>
        <w:t xml:space="preserve">algorithms and assumptions provided by </w:t>
      </w:r>
      <w:r w:rsidR="00AC5B8F">
        <w:t xml:space="preserve">the </w:t>
      </w:r>
      <w:r w:rsidR="00D24100">
        <w:t>recently developed Coordinated Measure List and NJ TRM</w:t>
      </w:r>
      <w:r>
        <w:t>.</w:t>
      </w:r>
    </w:p>
    <w:p w14:paraId="54893334" w14:textId="46D62B62" w:rsidR="00DB23B1" w:rsidRDefault="00DB23B1" w:rsidP="00DB23B1">
      <w:pPr>
        <w:pStyle w:val="Heading7"/>
      </w:pPr>
      <w:r>
        <w:t>Recommendations</w:t>
      </w:r>
    </w:p>
    <w:p w14:paraId="6D68C8F4" w14:textId="77777777" w:rsidR="00C93F55" w:rsidRPr="005072BA" w:rsidRDefault="00C93F55" w:rsidP="00C93F55">
      <w:pPr>
        <w:pStyle w:val="ListBullet"/>
      </w:pPr>
      <w:r w:rsidRPr="005072BA">
        <w:t>Continue and expand the program’s varied marketing and outreach channels.</w:t>
      </w:r>
    </w:p>
    <w:p w14:paraId="67F21B05" w14:textId="77777777" w:rsidR="00C93F55" w:rsidRPr="00600733" w:rsidRDefault="00C93F55" w:rsidP="00C93F55">
      <w:pPr>
        <w:pStyle w:val="ListBullet"/>
      </w:pPr>
      <w:r>
        <w:t>Consider amending the program application documents to clarify and better reflect actual requirements for receiving prescriptive and custom measure incentives.</w:t>
      </w:r>
    </w:p>
    <w:p w14:paraId="4E037BB0" w14:textId="77777777" w:rsidR="00C93F55" w:rsidRDefault="00C93F55" w:rsidP="00C93F55">
      <w:pPr>
        <w:pStyle w:val="ListBullet"/>
      </w:pPr>
      <w:r>
        <w:rPr>
          <w:lang w:val="en-US"/>
        </w:rPr>
        <w:t>As NJNG revamps its website in 2023, consider adding a stand-alone page for the P&amp;C program and modify program labeling away from the phrase “Multifamily Prescriptive and Custom.”</w:t>
      </w:r>
    </w:p>
    <w:p w14:paraId="76ACE5DA" w14:textId="77777777" w:rsidR="00C93F55" w:rsidRPr="005072BA" w:rsidRDefault="00C93F55" w:rsidP="00C93F55">
      <w:pPr>
        <w:pStyle w:val="ListBullet"/>
      </w:pPr>
      <w:r w:rsidRPr="005072BA">
        <w:t xml:space="preserve">Conduct </w:t>
      </w:r>
      <w:r>
        <w:t xml:space="preserve">additional </w:t>
      </w:r>
      <w:r w:rsidRPr="005072BA">
        <w:t xml:space="preserve">research to investigate </w:t>
      </w:r>
      <w:r>
        <w:t xml:space="preserve">general </w:t>
      </w:r>
      <w:r w:rsidRPr="005072BA">
        <w:t>program awareness and reasons for non</w:t>
      </w:r>
      <w:r>
        <w:t>-</w:t>
      </w:r>
      <w:r w:rsidRPr="005072BA">
        <w:t>participation.</w:t>
      </w:r>
      <w:r>
        <w:t xml:space="preserve"> </w:t>
      </w:r>
      <w:r>
        <w:rPr>
          <w:lang w:val="en-US"/>
        </w:rPr>
        <w:t xml:space="preserve">This could include surveys of nonparticipating customers and/or interviews </w:t>
      </w:r>
      <w:proofErr w:type="gramStart"/>
      <w:r>
        <w:rPr>
          <w:lang w:val="en-US"/>
        </w:rPr>
        <w:t>with ”onboarded</w:t>
      </w:r>
      <w:proofErr w:type="gramEnd"/>
      <w:r>
        <w:rPr>
          <w:lang w:val="en-US"/>
        </w:rPr>
        <w:t>” contractors.</w:t>
      </w:r>
    </w:p>
    <w:p w14:paraId="61FAD102" w14:textId="77777777" w:rsidR="00C93F55" w:rsidRPr="005072BA" w:rsidRDefault="00C93F55" w:rsidP="00C93F55">
      <w:pPr>
        <w:pStyle w:val="ListBullet"/>
      </w:pPr>
      <w:r w:rsidRPr="005072BA">
        <w:t>Consider funding a portion of engineering studies necessary to secure pre-approval for custom projects.</w:t>
      </w:r>
      <w:r>
        <w:t xml:space="preserve"> According to program staff, the costs associated with these required </w:t>
      </w:r>
      <w:r w:rsidRPr="00B04A0B">
        <w:t>engineering studies negatively impact customers’ willingness to move forward with projects</w:t>
      </w:r>
      <w:r>
        <w:t>.</w:t>
      </w:r>
    </w:p>
    <w:p w14:paraId="5A24D6B0" w14:textId="77777777" w:rsidR="00DB23B1" w:rsidRPr="00DB23B1" w:rsidRDefault="00DB23B1" w:rsidP="00DB23B1">
      <w:pPr>
        <w:pStyle w:val="BodyText"/>
      </w:pPr>
    </w:p>
    <w:p w14:paraId="68D3774B" w14:textId="3CC9729B" w:rsidR="00AA6B0A" w:rsidRDefault="00AA6B0A" w:rsidP="003B4D20">
      <w:pPr>
        <w:pStyle w:val="Heading1NoNumber0"/>
      </w:pPr>
      <w:bookmarkStart w:id="1" w:name="_Toc145923993"/>
      <w:r w:rsidRPr="00B45F46">
        <w:lastRenderedPageBreak/>
        <w:t>Executive Summary</w:t>
      </w:r>
      <w:bookmarkEnd w:id="1"/>
    </w:p>
    <w:p w14:paraId="69EC1728" w14:textId="3233CE8F" w:rsidR="00DD72E6" w:rsidRPr="00DD72E6" w:rsidRDefault="00217A44" w:rsidP="00DD72E6">
      <w:pPr>
        <w:pStyle w:val="BodyText"/>
      </w:pPr>
      <w:r w:rsidRPr="00217A44">
        <w:t>This document represents the process evaluation</w:t>
      </w:r>
      <w:r w:rsidR="000C360C">
        <w:t xml:space="preserve"> and impact evaluability assessmen</w:t>
      </w:r>
      <w:r w:rsidR="00DB23B1">
        <w:t>t</w:t>
      </w:r>
      <w:r w:rsidRPr="00217A44">
        <w:t xml:space="preserve"> for New Jersey Natural Gas's (NJNG) Commercial and Industrial (C&amp;I) Prescriptive &amp; Custom Measures (P&amp;C) subprogram for the period beginning July 1, 2021, and ending June 30, 2022 (</w:t>
      </w:r>
      <w:r w:rsidR="00F40EA6">
        <w:t xml:space="preserve">Project Year 1, or </w:t>
      </w:r>
      <w:r w:rsidRPr="00217A44">
        <w:t>PY1).</w:t>
      </w:r>
      <w:r>
        <w:t xml:space="preserve"> </w:t>
      </w:r>
    </w:p>
    <w:p w14:paraId="3E0691AE" w14:textId="5D195795" w:rsidR="00AA6B0A" w:rsidRDefault="001705F0" w:rsidP="003B4D20">
      <w:pPr>
        <w:pStyle w:val="Heading7"/>
      </w:pPr>
      <w:r>
        <w:t xml:space="preserve">Process </w:t>
      </w:r>
      <w:r w:rsidR="006D66C5">
        <w:t>e</w:t>
      </w:r>
      <w:r>
        <w:t>valuation</w:t>
      </w:r>
    </w:p>
    <w:p w14:paraId="608F15E6" w14:textId="4AD55936" w:rsidR="00844B57" w:rsidRPr="0070497B" w:rsidRDefault="0070497B" w:rsidP="00844B57">
      <w:pPr>
        <w:pStyle w:val="BodyText"/>
        <w:rPr>
          <w:lang w:val="en-US"/>
        </w:rPr>
      </w:pPr>
      <w:r>
        <w:rPr>
          <w:lang w:val="en-US"/>
        </w:rPr>
        <w:t xml:space="preserve">Across select programs, including P&amp;C, </w:t>
      </w:r>
      <w:r w:rsidRPr="00175D33">
        <w:rPr>
          <w:lang w:val="en-US"/>
        </w:rPr>
        <w:t xml:space="preserve">DNV conducted an initial </w:t>
      </w:r>
      <w:r w:rsidR="006D66C5">
        <w:rPr>
          <w:lang w:val="en-US"/>
        </w:rPr>
        <w:t>“</w:t>
      </w:r>
      <w:r w:rsidRPr="00175D33">
        <w:rPr>
          <w:lang w:val="en-US"/>
        </w:rPr>
        <w:t>snapshot</w:t>
      </w:r>
      <w:r w:rsidR="006D66C5">
        <w:rPr>
          <w:lang w:val="en-US"/>
        </w:rPr>
        <w:t>”</w:t>
      </w:r>
      <w:r w:rsidRPr="00175D33">
        <w:rPr>
          <w:lang w:val="en-US"/>
        </w:rPr>
        <w:t xml:space="preserve"> evaluation in </w:t>
      </w:r>
      <w:r>
        <w:rPr>
          <w:lang w:val="en-US"/>
        </w:rPr>
        <w:t>PY1</w:t>
      </w:r>
      <w:r w:rsidRPr="00175D33">
        <w:rPr>
          <w:lang w:val="en-US"/>
        </w:rPr>
        <w:t xml:space="preserve"> to develop a more integrated view of the portfolio as a whole and to prioritize resources for more in-depth enhanced process evaluation activities in the subsequent years. </w:t>
      </w:r>
    </w:p>
    <w:p w14:paraId="31CA9FCB" w14:textId="7E36F16E" w:rsidR="00AE372C" w:rsidRPr="006B2684" w:rsidRDefault="00844B57" w:rsidP="006B2684">
      <w:pPr>
        <w:pStyle w:val="Heading8"/>
        <w:rPr>
          <w:lang w:val="en-US"/>
        </w:rPr>
      </w:pPr>
      <w:r>
        <w:rPr>
          <w:lang w:val="en-US"/>
        </w:rPr>
        <w:t>Summary of methods</w:t>
      </w:r>
    </w:p>
    <w:p w14:paraId="74E5B256" w14:textId="352F6998" w:rsidR="00120C5A" w:rsidRDefault="00120C5A" w:rsidP="00120C5A">
      <w:pPr>
        <w:pStyle w:val="BodyText"/>
        <w:rPr>
          <w:lang w:val="en-US"/>
        </w:rPr>
      </w:pPr>
      <w:r w:rsidRPr="007A1C9B">
        <w:rPr>
          <w:lang w:val="en-US"/>
        </w:rPr>
        <w:t xml:space="preserve">To assess </w:t>
      </w:r>
      <w:r w:rsidR="001E00CB">
        <w:rPr>
          <w:lang w:val="en-US"/>
        </w:rPr>
        <w:t>C&amp;I sub</w:t>
      </w:r>
      <w:r w:rsidRPr="007A1C9B">
        <w:rPr>
          <w:lang w:val="en-US"/>
        </w:rPr>
        <w:t xml:space="preserve">program processes, DNV conducted both primary and secondary data collection. Primary data collection </w:t>
      </w:r>
      <w:r>
        <w:rPr>
          <w:lang w:val="en-US"/>
        </w:rPr>
        <w:t>consisted of</w:t>
      </w:r>
      <w:r w:rsidRPr="007A1C9B">
        <w:rPr>
          <w:lang w:val="en-US"/>
        </w:rPr>
        <w:t xml:space="preserve"> in-depth interviews (IDI</w:t>
      </w:r>
      <w:r>
        <w:rPr>
          <w:lang w:val="en-US"/>
        </w:rPr>
        <w:t>s</w:t>
      </w:r>
      <w:r w:rsidRPr="007A1C9B">
        <w:rPr>
          <w:lang w:val="en-US"/>
        </w:rPr>
        <w:t xml:space="preserve">) with </w:t>
      </w:r>
      <w:r>
        <w:rPr>
          <w:lang w:val="en-US"/>
        </w:rPr>
        <w:t xml:space="preserve">NJNG </w:t>
      </w:r>
      <w:r w:rsidRPr="007A1C9B">
        <w:rPr>
          <w:lang w:val="en-US"/>
        </w:rPr>
        <w:t>program staff</w:t>
      </w:r>
      <w:r w:rsidR="00C414F1">
        <w:rPr>
          <w:lang w:val="en-US"/>
        </w:rPr>
        <w:t xml:space="preserve"> regarding </w:t>
      </w:r>
      <w:r w:rsidR="00C414F1" w:rsidRPr="00C414F1">
        <w:rPr>
          <w:lang w:val="en-US"/>
        </w:rPr>
        <w:t>roles and responsibilities with the programs</w:t>
      </w:r>
      <w:r w:rsidR="00542C03">
        <w:rPr>
          <w:lang w:val="en-US"/>
        </w:rPr>
        <w:t>;</w:t>
      </w:r>
      <w:r w:rsidR="00C414F1">
        <w:rPr>
          <w:lang w:val="en-US"/>
        </w:rPr>
        <w:t xml:space="preserve"> </w:t>
      </w:r>
      <w:r w:rsidR="00542C03">
        <w:rPr>
          <w:lang w:val="en-US"/>
        </w:rPr>
        <w:t>p</w:t>
      </w:r>
      <w:r w:rsidR="00C414F1" w:rsidRPr="00C414F1">
        <w:rPr>
          <w:lang w:val="en-US"/>
        </w:rPr>
        <w:t>rogram design and processes, including marketing and outreach</w:t>
      </w:r>
      <w:r w:rsidR="00542C03">
        <w:rPr>
          <w:lang w:val="en-US"/>
        </w:rPr>
        <w:t>; h</w:t>
      </w:r>
      <w:r w:rsidR="00C414F1" w:rsidRPr="00C414F1">
        <w:rPr>
          <w:lang w:val="en-US"/>
        </w:rPr>
        <w:t>ow</w:t>
      </w:r>
      <w:r w:rsidR="00542C03">
        <w:rPr>
          <w:lang w:val="en-US"/>
        </w:rPr>
        <w:t xml:space="preserve"> (and if)</w:t>
      </w:r>
      <w:r w:rsidR="00C414F1" w:rsidRPr="00C414F1">
        <w:rPr>
          <w:lang w:val="en-US"/>
        </w:rPr>
        <w:t xml:space="preserve"> program delivery has changed since NJNG assumed implementation from the </w:t>
      </w:r>
      <w:r w:rsidR="0019654E">
        <w:rPr>
          <w:lang w:val="en-US"/>
        </w:rPr>
        <w:t xml:space="preserve">New Jersey </w:t>
      </w:r>
      <w:r w:rsidR="00C414F1" w:rsidRPr="00C414F1">
        <w:rPr>
          <w:lang w:val="en-US"/>
        </w:rPr>
        <w:t>Board of Public Utilities</w:t>
      </w:r>
      <w:r w:rsidR="003B4728">
        <w:rPr>
          <w:lang w:val="en-US"/>
        </w:rPr>
        <w:t xml:space="preserve"> (BPU) New Jersey’s Clean Energy Program (NJCEP)</w:t>
      </w:r>
      <w:r w:rsidR="00542C03">
        <w:rPr>
          <w:lang w:val="en-US"/>
        </w:rPr>
        <w:t>; p</w:t>
      </w:r>
      <w:r w:rsidR="00C414F1" w:rsidRPr="00C414F1">
        <w:rPr>
          <w:lang w:val="en-US"/>
        </w:rPr>
        <w:t>rogram metrics and performance</w:t>
      </w:r>
      <w:r w:rsidR="00542C03">
        <w:rPr>
          <w:lang w:val="en-US"/>
        </w:rPr>
        <w:t>; k</w:t>
      </w:r>
      <w:r w:rsidR="00C414F1" w:rsidRPr="00C414F1">
        <w:rPr>
          <w:lang w:val="en-US"/>
        </w:rPr>
        <w:t>ey program activities during and after PY1</w:t>
      </w:r>
      <w:r w:rsidR="00542C03">
        <w:rPr>
          <w:lang w:val="en-US"/>
        </w:rPr>
        <w:t>; and program c</w:t>
      </w:r>
      <w:r w:rsidR="00C414F1" w:rsidRPr="00C414F1">
        <w:rPr>
          <w:lang w:val="en-US"/>
        </w:rPr>
        <w:t>hallenges and opportunities</w:t>
      </w:r>
      <w:r w:rsidRPr="007A1C9B">
        <w:rPr>
          <w:lang w:val="en-US"/>
        </w:rPr>
        <w:t xml:space="preserve">. </w:t>
      </w:r>
      <w:r>
        <w:rPr>
          <w:lang w:val="en-US"/>
        </w:rPr>
        <w:t>S</w:t>
      </w:r>
      <w:r w:rsidRPr="007A1C9B">
        <w:rPr>
          <w:lang w:val="en-US"/>
        </w:rPr>
        <w:t xml:space="preserve">econdary review </w:t>
      </w:r>
      <w:r>
        <w:rPr>
          <w:lang w:val="en-US"/>
        </w:rPr>
        <w:t xml:space="preserve">included </w:t>
      </w:r>
      <w:r w:rsidRPr="007A1C9B">
        <w:rPr>
          <w:lang w:val="en-US"/>
        </w:rPr>
        <w:t>the SAVEGREEN Project Program Plan (Settlement 12/21/2020, approved on 3/3/2021)</w:t>
      </w:r>
      <w:r>
        <w:rPr>
          <w:lang w:val="en-US"/>
        </w:rPr>
        <w:t xml:space="preserve">, the program website, program application forms, and the </w:t>
      </w:r>
      <w:r w:rsidRPr="007A1C9B">
        <w:rPr>
          <w:lang w:val="en-US"/>
        </w:rPr>
        <w:t>Annual Progress Report for PY1</w:t>
      </w:r>
      <w:r>
        <w:rPr>
          <w:lang w:val="en-US"/>
        </w:rPr>
        <w:t>.</w:t>
      </w:r>
    </w:p>
    <w:p w14:paraId="35743B7B" w14:textId="6877BBE7" w:rsidR="00E54343" w:rsidRDefault="00E54343" w:rsidP="00E54343">
      <w:pPr>
        <w:pStyle w:val="Heading8"/>
        <w:rPr>
          <w:lang w:val="en-US"/>
        </w:rPr>
      </w:pPr>
      <w:r>
        <w:rPr>
          <w:lang w:val="en-US"/>
        </w:rPr>
        <w:t>Key findings and recommendations</w:t>
      </w:r>
    </w:p>
    <w:p w14:paraId="16FEA9B8" w14:textId="77777777" w:rsidR="00751530" w:rsidRPr="00584E7B" w:rsidRDefault="00751530" w:rsidP="00751530">
      <w:pPr>
        <w:pStyle w:val="ListBullet"/>
        <w:numPr>
          <w:ilvl w:val="0"/>
          <w:numId w:val="0"/>
        </w:numPr>
        <w:ind w:left="360" w:hanging="360"/>
        <w:contextualSpacing w:val="0"/>
        <w:rPr>
          <w:b/>
          <w:bCs/>
          <w:lang w:val="en-US"/>
        </w:rPr>
      </w:pPr>
      <w:r>
        <w:rPr>
          <w:b/>
          <w:bCs/>
          <w:lang w:val="en-US"/>
        </w:rPr>
        <w:t>Findings</w:t>
      </w:r>
    </w:p>
    <w:p w14:paraId="7A8B3867" w14:textId="77777777" w:rsidR="00E84390" w:rsidRPr="005072BA" w:rsidRDefault="00E84390" w:rsidP="00E84390">
      <w:pPr>
        <w:pStyle w:val="ListBullet"/>
      </w:pPr>
      <w:r w:rsidRPr="005072BA">
        <w:t xml:space="preserve">The </w:t>
      </w:r>
      <w:r>
        <w:t xml:space="preserve">P&amp;C </w:t>
      </w:r>
      <w:r w:rsidRPr="005072BA">
        <w:t xml:space="preserve">subprogram completed 2 </w:t>
      </w:r>
      <w:r>
        <w:t xml:space="preserve">prescriptive </w:t>
      </w:r>
      <w:r w:rsidRPr="005072BA">
        <w:t xml:space="preserve">projects in PY1 </w:t>
      </w:r>
      <w:r>
        <w:t xml:space="preserve">with 540 therms in total gas savings, </w:t>
      </w:r>
      <w:r w:rsidRPr="005072BA">
        <w:t>compared to a goal of 981 completed projects</w:t>
      </w:r>
      <w:r>
        <w:t xml:space="preserve"> savings of 422,080 therms</w:t>
      </w:r>
      <w:r w:rsidRPr="005072BA">
        <w:t>.</w:t>
      </w:r>
      <w:r>
        <w:t xml:space="preserve"> NJNG had 5 more participants committed but not completed in PY1.</w:t>
      </w:r>
    </w:p>
    <w:p w14:paraId="49FFB99C" w14:textId="77777777" w:rsidR="00E84390" w:rsidRPr="005072BA" w:rsidRDefault="00E84390" w:rsidP="00E84390">
      <w:pPr>
        <w:pStyle w:val="ListBullet"/>
      </w:pPr>
      <w:r w:rsidRPr="005072BA">
        <w:t xml:space="preserve">The subprogram secured participation agreements from 46 contractors allowing them to offer on-bill repayment to </w:t>
      </w:r>
      <w:r>
        <w:t xml:space="preserve">potential </w:t>
      </w:r>
      <w:r w:rsidRPr="005072BA">
        <w:t>customers for completing prescriptive measures.</w:t>
      </w:r>
    </w:p>
    <w:p w14:paraId="7280689D" w14:textId="4DF6D175" w:rsidR="00E84390" w:rsidRDefault="00E84390" w:rsidP="00E84390">
      <w:pPr>
        <w:pStyle w:val="ListBullet"/>
      </w:pPr>
      <w:r w:rsidRPr="005072BA">
        <w:t>NJNG-identified barriers to participation and completed projects include replacing failed equipment, the requirement for engineering studies on many custom projects, pandemic effects</w:t>
      </w:r>
      <w:r w:rsidR="000575F4">
        <w:t>, and supply chain issues</w:t>
      </w:r>
      <w:r w:rsidRPr="005072BA">
        <w:t>.</w:t>
      </w:r>
    </w:p>
    <w:p w14:paraId="433A5229" w14:textId="355EC86A" w:rsidR="00E84390" w:rsidRPr="005072BA" w:rsidRDefault="00E84390" w:rsidP="00E84390">
      <w:pPr>
        <w:pStyle w:val="ListBullet"/>
      </w:pPr>
      <w:r>
        <w:t xml:space="preserve">DNV-identified barriers to participation included inaccuracies in the program application of documentation requirements (such as </w:t>
      </w:r>
      <w:r w:rsidR="005D1BC2">
        <w:t xml:space="preserve">needing </w:t>
      </w:r>
      <w:r>
        <w:t>pre-approval for prescriptive measures) and some key shortfalls of the program website.</w:t>
      </w:r>
    </w:p>
    <w:p w14:paraId="39AA326A" w14:textId="432D138E" w:rsidR="00751530" w:rsidRPr="00751530" w:rsidRDefault="00751530" w:rsidP="00751530">
      <w:pPr>
        <w:pStyle w:val="ListBullet"/>
        <w:numPr>
          <w:ilvl w:val="0"/>
          <w:numId w:val="0"/>
        </w:numPr>
        <w:spacing w:before="140"/>
        <w:ind w:left="360" w:hanging="360"/>
        <w:contextualSpacing w:val="0"/>
        <w:rPr>
          <w:b/>
          <w:bCs/>
          <w:lang w:val="en-US"/>
        </w:rPr>
      </w:pPr>
      <w:r>
        <w:rPr>
          <w:b/>
          <w:bCs/>
          <w:lang w:val="en-US"/>
        </w:rPr>
        <w:t>Recommendations</w:t>
      </w:r>
    </w:p>
    <w:p w14:paraId="27A7CEF0" w14:textId="77777777" w:rsidR="007F1196" w:rsidRPr="005072BA" w:rsidRDefault="007F1196" w:rsidP="007F1196">
      <w:pPr>
        <w:pStyle w:val="ListBullet"/>
      </w:pPr>
      <w:r w:rsidRPr="005072BA">
        <w:t>Continue and expand the program’s varied marketing and outreach channels.</w:t>
      </w:r>
    </w:p>
    <w:p w14:paraId="6BBA92F2" w14:textId="77777777" w:rsidR="007F1196" w:rsidRPr="00600733" w:rsidRDefault="007F1196" w:rsidP="007F1196">
      <w:pPr>
        <w:pStyle w:val="ListBullet"/>
      </w:pPr>
      <w:r>
        <w:t>Consider amending the program application documents to clarify and better reflect actual requirements for receiving prescriptive and custom measure incentives.</w:t>
      </w:r>
    </w:p>
    <w:p w14:paraId="6FA42BDF" w14:textId="77777777" w:rsidR="007F1196" w:rsidRDefault="007F1196" w:rsidP="007F1196">
      <w:pPr>
        <w:pStyle w:val="ListBullet"/>
      </w:pPr>
      <w:r>
        <w:rPr>
          <w:lang w:val="en-US"/>
        </w:rPr>
        <w:t>As NJNG revamps its website in 2023, consider adding a stand-alone page for the P&amp;C program and modify program labeling away from the phrase “Multifamily Prescriptive and Custom.”</w:t>
      </w:r>
    </w:p>
    <w:p w14:paraId="083401D3" w14:textId="77777777" w:rsidR="007F1196" w:rsidRPr="005072BA" w:rsidRDefault="007F1196" w:rsidP="007F1196">
      <w:pPr>
        <w:pStyle w:val="ListBullet"/>
      </w:pPr>
      <w:r w:rsidRPr="005072BA">
        <w:t xml:space="preserve">Conduct </w:t>
      </w:r>
      <w:r>
        <w:t xml:space="preserve">additional </w:t>
      </w:r>
      <w:r w:rsidRPr="005072BA">
        <w:t xml:space="preserve">research to investigate </w:t>
      </w:r>
      <w:r>
        <w:t xml:space="preserve">general </w:t>
      </w:r>
      <w:r w:rsidRPr="005072BA">
        <w:t>program awareness and reasons for non</w:t>
      </w:r>
      <w:r>
        <w:t>-</w:t>
      </w:r>
      <w:r w:rsidRPr="005072BA">
        <w:t>participation.</w:t>
      </w:r>
      <w:r>
        <w:t xml:space="preserve"> </w:t>
      </w:r>
      <w:r>
        <w:rPr>
          <w:lang w:val="en-US"/>
        </w:rPr>
        <w:t xml:space="preserve">This could include surveys of nonparticipating customers and/or interviews </w:t>
      </w:r>
      <w:proofErr w:type="gramStart"/>
      <w:r>
        <w:rPr>
          <w:lang w:val="en-US"/>
        </w:rPr>
        <w:t>with ”onboarded</w:t>
      </w:r>
      <w:proofErr w:type="gramEnd"/>
      <w:r>
        <w:rPr>
          <w:lang w:val="en-US"/>
        </w:rPr>
        <w:t>” contractors.</w:t>
      </w:r>
    </w:p>
    <w:p w14:paraId="4E36C036" w14:textId="77777777" w:rsidR="007F1196" w:rsidRPr="005072BA" w:rsidRDefault="007F1196" w:rsidP="007F1196">
      <w:pPr>
        <w:pStyle w:val="ListBullet"/>
      </w:pPr>
      <w:r w:rsidRPr="005072BA">
        <w:t>Consider funding a portion of engineering studies necessary to secure pre-approval for custom projects.</w:t>
      </w:r>
      <w:r>
        <w:t xml:space="preserve"> According to program staff, the costs associated with these required </w:t>
      </w:r>
      <w:r w:rsidRPr="00B04A0B">
        <w:t>engineering studies negatively impact customers’ willingness to move forward with projects</w:t>
      </w:r>
      <w:r>
        <w:t>.</w:t>
      </w:r>
    </w:p>
    <w:p w14:paraId="2578B92D" w14:textId="77777777" w:rsidR="007F1196" w:rsidRPr="00DB23B1" w:rsidRDefault="007F1196" w:rsidP="007F1196">
      <w:pPr>
        <w:pStyle w:val="BodyText"/>
      </w:pPr>
    </w:p>
    <w:p w14:paraId="7903487F" w14:textId="693767B3" w:rsidR="00AA6B0A" w:rsidRPr="001B65C6" w:rsidRDefault="001705F0" w:rsidP="003B4D20">
      <w:pPr>
        <w:pStyle w:val="Heading7"/>
      </w:pPr>
      <w:r>
        <w:lastRenderedPageBreak/>
        <w:t xml:space="preserve">Evaluability </w:t>
      </w:r>
      <w:r w:rsidR="006D66C5">
        <w:t>a</w:t>
      </w:r>
      <w:r>
        <w:t>ssessment</w:t>
      </w:r>
    </w:p>
    <w:p w14:paraId="0E013164" w14:textId="32CDD587" w:rsidR="00AA6B0A" w:rsidRDefault="000C360C" w:rsidP="00DD72E6">
      <w:pPr>
        <w:pStyle w:val="BodyText"/>
      </w:pPr>
      <w:r>
        <w:t>Since the overall participation in the sub</w:t>
      </w:r>
      <w:r w:rsidRPr="005715D9">
        <w:t xml:space="preserve">program for </w:t>
      </w:r>
      <w:r w:rsidR="00D15FA4">
        <w:t>PY1</w:t>
      </w:r>
      <w:r w:rsidRPr="005715D9">
        <w:t xml:space="preserve"> </w:t>
      </w:r>
      <w:r>
        <w:t>was</w:t>
      </w:r>
      <w:r w:rsidRPr="005715D9">
        <w:t xml:space="preserve"> insufficient to perform an in-depth impact evaluation, DNV </w:t>
      </w:r>
      <w:r>
        <w:t>performed an</w:t>
      </w:r>
      <w:r w:rsidRPr="005715D9">
        <w:t xml:space="preserve"> evaluability assessment of the </w:t>
      </w:r>
      <w:r>
        <w:t>sub</w:t>
      </w:r>
      <w:r w:rsidRPr="005715D9">
        <w:t xml:space="preserve">program from an impact evaluation perspective in </w:t>
      </w:r>
      <w:r w:rsidR="00D15FA4">
        <w:t>PY1</w:t>
      </w:r>
      <w:r>
        <w:t>.</w:t>
      </w:r>
    </w:p>
    <w:p w14:paraId="0E78319F" w14:textId="77777777" w:rsidR="00E54343" w:rsidRPr="006B2684" w:rsidRDefault="00E54343" w:rsidP="00E54343">
      <w:pPr>
        <w:pStyle w:val="Heading8"/>
        <w:rPr>
          <w:lang w:val="en-US"/>
        </w:rPr>
      </w:pPr>
      <w:r>
        <w:rPr>
          <w:lang w:val="en-US"/>
        </w:rPr>
        <w:t>Summary of methods</w:t>
      </w:r>
    </w:p>
    <w:p w14:paraId="1ABE760E" w14:textId="2F867970" w:rsidR="00E5565E" w:rsidRDefault="00176DC9" w:rsidP="00E5565E">
      <w:pPr>
        <w:pStyle w:val="BodyText"/>
      </w:pPr>
      <w:r>
        <w:t xml:space="preserve">DNV identified and collected project documentation for seven C&amp;I prescriptive projects that were initiated in </w:t>
      </w:r>
      <w:r w:rsidR="00D15FA4">
        <w:t>PY1</w:t>
      </w:r>
      <w:r>
        <w:t xml:space="preserve"> to perform the evaluability assessment. </w:t>
      </w:r>
      <w:r w:rsidR="00E5565E">
        <w:t xml:space="preserve">This </w:t>
      </w:r>
      <w:r w:rsidR="00FE621F">
        <w:t>documentation allowed DNV to assess</w:t>
      </w:r>
      <w:r w:rsidR="00AC5B8F">
        <w:t xml:space="preserve"> the following</w:t>
      </w:r>
      <w:r w:rsidR="00E5565E">
        <w:t>:</w:t>
      </w:r>
    </w:p>
    <w:p w14:paraId="17C3A65E" w14:textId="77777777" w:rsidR="00E5565E" w:rsidRDefault="00E5565E" w:rsidP="00E5565E">
      <w:pPr>
        <w:pStyle w:val="ListBullet"/>
      </w:pPr>
      <w:r>
        <w:t>Data that are collected by the program to estimate tracking savings</w:t>
      </w:r>
    </w:p>
    <w:p w14:paraId="47D22F3A" w14:textId="54ED94FA" w:rsidR="00E5565E" w:rsidRDefault="00E5565E" w:rsidP="00E5565E">
      <w:pPr>
        <w:pStyle w:val="ListBullet"/>
      </w:pPr>
      <w:r>
        <w:t xml:space="preserve">Completeness of program data collection by reviewing </w:t>
      </w:r>
      <w:r w:rsidR="00AC5B8F">
        <w:t xml:space="preserve">the </w:t>
      </w:r>
      <w:r>
        <w:t>inventory of project documentation available</w:t>
      </w:r>
    </w:p>
    <w:p w14:paraId="656A9E0F" w14:textId="77777777" w:rsidR="00E5565E" w:rsidRDefault="00E5565E" w:rsidP="00E5565E">
      <w:pPr>
        <w:pStyle w:val="ListBullet"/>
      </w:pPr>
      <w:r>
        <w:t>Tracking savings estimation methodologies</w:t>
      </w:r>
    </w:p>
    <w:p w14:paraId="6FA7ABD6" w14:textId="2C48374C" w:rsidR="00E54343" w:rsidRDefault="00E5565E" w:rsidP="00DD72E6">
      <w:pPr>
        <w:pStyle w:val="ListBullet"/>
      </w:pPr>
      <w:r>
        <w:t xml:space="preserve">Electric savings estimation </w:t>
      </w:r>
      <w:r w:rsidRPr="00197105">
        <w:t>for shared measures where NJNG is the lead utility to ensure they are reasonable and follow industry best practices</w:t>
      </w:r>
    </w:p>
    <w:p w14:paraId="7EC453B2" w14:textId="00EEAFB4" w:rsidR="00E54343" w:rsidRPr="006B2684" w:rsidRDefault="00E54343" w:rsidP="00E54343">
      <w:pPr>
        <w:pStyle w:val="Heading8"/>
        <w:rPr>
          <w:lang w:val="en-US"/>
        </w:rPr>
      </w:pPr>
      <w:r>
        <w:rPr>
          <w:lang w:val="en-US"/>
        </w:rPr>
        <w:t xml:space="preserve">Key </w:t>
      </w:r>
      <w:r w:rsidR="006D66C5">
        <w:rPr>
          <w:lang w:val="en-US"/>
        </w:rPr>
        <w:t>f</w:t>
      </w:r>
      <w:r>
        <w:rPr>
          <w:lang w:val="en-US"/>
        </w:rPr>
        <w:t>indings</w:t>
      </w:r>
    </w:p>
    <w:p w14:paraId="120014FA" w14:textId="77777777" w:rsidR="0098157F" w:rsidRDefault="0098157F" w:rsidP="0098157F">
      <w:pPr>
        <w:pStyle w:val="BodyText"/>
        <w:numPr>
          <w:ilvl w:val="0"/>
          <w:numId w:val="38"/>
        </w:numPr>
      </w:pPr>
      <w:r>
        <w:t>Based on project documentation reviewed for each of the seven C&amp;I prescriptive projects that were initiated in PY1, DNV determined that NJNG was collecting extensive data to perform a detailed evaluation in the future.</w:t>
      </w:r>
    </w:p>
    <w:p w14:paraId="28316DEC" w14:textId="5479BDAC" w:rsidR="0098157F" w:rsidRDefault="0098157F" w:rsidP="0098157F">
      <w:pPr>
        <w:pStyle w:val="BodyText"/>
        <w:numPr>
          <w:ilvl w:val="0"/>
          <w:numId w:val="38"/>
        </w:numPr>
      </w:pPr>
      <w:r>
        <w:t xml:space="preserve">Evaluators verified that the iEPM database estimated tracking savings appropriately per algorithms and assumptions provided in the </w:t>
      </w:r>
      <w:r w:rsidR="005C0116">
        <w:t xml:space="preserve">recently developed Coordinated Measure List and </w:t>
      </w:r>
      <w:r>
        <w:t>NJ TRM.</w:t>
      </w:r>
    </w:p>
    <w:p w14:paraId="0B52CBEE" w14:textId="5490429B" w:rsidR="0098157F" w:rsidRDefault="0098157F" w:rsidP="0098157F">
      <w:pPr>
        <w:pStyle w:val="BodyText"/>
        <w:numPr>
          <w:ilvl w:val="0"/>
          <w:numId w:val="38"/>
        </w:numPr>
      </w:pPr>
      <w:r>
        <w:t xml:space="preserve">Evaluators also verified that the electric savings calculated by iEPM for installed measures (ex: </w:t>
      </w:r>
      <w:r w:rsidR="00486726">
        <w:t xml:space="preserve"> furnace</w:t>
      </w:r>
      <w:r>
        <w:t>) where NJNG is the lead utility was reasonable and followed algorithms and assumptions provided by the recently developed Coordinated Measure List and NJ TRM.</w:t>
      </w:r>
    </w:p>
    <w:p w14:paraId="79DC2396" w14:textId="77777777" w:rsidR="00066DEC" w:rsidRPr="00B45F46" w:rsidRDefault="00066DEC" w:rsidP="00DD72E6">
      <w:pPr>
        <w:pStyle w:val="BodyText"/>
      </w:pPr>
    </w:p>
    <w:p w14:paraId="42574B3B" w14:textId="77777777" w:rsidR="003B7F75" w:rsidRDefault="003B7F75">
      <w:pPr>
        <w:rPr>
          <w:b/>
          <w:caps/>
          <w:color w:val="0F204B"/>
          <w:sz w:val="26"/>
        </w:rPr>
      </w:pPr>
      <w:r>
        <w:br w:type="page"/>
      </w:r>
    </w:p>
    <w:p w14:paraId="5ED0898A" w14:textId="5A4597FA" w:rsidR="00AA6B0A" w:rsidRDefault="00AA6B0A" w:rsidP="003B4D20">
      <w:pPr>
        <w:pStyle w:val="Heading1"/>
      </w:pPr>
      <w:bookmarkStart w:id="2" w:name="_Toc145923994"/>
      <w:r w:rsidRPr="00B45F46">
        <w:lastRenderedPageBreak/>
        <w:t>Introduction</w:t>
      </w:r>
      <w:bookmarkEnd w:id="2"/>
    </w:p>
    <w:p w14:paraId="4EB8AE7E" w14:textId="018CE712" w:rsidR="00794ACC" w:rsidRDefault="00EA3DF8" w:rsidP="00794ACC">
      <w:pPr>
        <w:pStyle w:val="BodyText"/>
      </w:pPr>
      <w:r w:rsidRPr="00EA3DF8">
        <w:t xml:space="preserve">This document represents the combined impact and process evaluation for New Jersey Natural Gas's (NJNG) </w:t>
      </w:r>
      <w:r w:rsidR="000D5804">
        <w:t xml:space="preserve">Energy Solutions for Business, </w:t>
      </w:r>
      <w:r w:rsidRPr="00EA3DF8">
        <w:t xml:space="preserve">Commercial and Industrial (C&amp;I) </w:t>
      </w:r>
      <w:r w:rsidR="00CB7869">
        <w:t>Prescriptive &amp; Custom</w:t>
      </w:r>
      <w:r w:rsidRPr="00EA3DF8">
        <w:t xml:space="preserve"> </w:t>
      </w:r>
      <w:r w:rsidR="00551B45">
        <w:t xml:space="preserve">Measures </w:t>
      </w:r>
      <w:r>
        <w:t>(</w:t>
      </w:r>
      <w:r w:rsidR="00CB7869">
        <w:t>P&amp;C</w:t>
      </w:r>
      <w:r>
        <w:t xml:space="preserve">) </w:t>
      </w:r>
      <w:r w:rsidR="00D6455E">
        <w:t>sub</w:t>
      </w:r>
      <w:r w:rsidRPr="00EA3DF8">
        <w:t>program for the period beginning July 1, 2021, and ending on June 30, 2022 (</w:t>
      </w:r>
      <w:r w:rsidR="00F40EA6">
        <w:t xml:space="preserve">Project Year 1, or </w:t>
      </w:r>
      <w:r w:rsidR="004A0E83">
        <w:t>PY</w:t>
      </w:r>
      <w:r w:rsidRPr="00EA3DF8">
        <w:t>1).</w:t>
      </w:r>
    </w:p>
    <w:p w14:paraId="054634ED" w14:textId="42500423" w:rsidR="009D03A1" w:rsidRDefault="00A5600E" w:rsidP="00A5600E">
      <w:pPr>
        <w:pStyle w:val="BodyText"/>
      </w:pPr>
      <w:r>
        <w:t xml:space="preserve">The C&amp;I </w:t>
      </w:r>
      <w:r w:rsidR="002A4432">
        <w:t>P&amp;C</w:t>
      </w:r>
      <w:r>
        <w:t xml:space="preserve"> subprogram promotes the installation of high-efficiency natural gas equipment by NJNG</w:t>
      </w:r>
      <w:r w:rsidR="00437F16">
        <w:t>’s</w:t>
      </w:r>
      <w:r>
        <w:t xml:space="preserve"> C&amp;I customers (and electric measures when paired with the installation of qualifying natural gas equipment), either via the installation of prescriptive </w:t>
      </w:r>
      <w:r w:rsidR="00AD6F95">
        <w:t xml:space="preserve">measures, single/multiple pieces of equipment with incentives based on </w:t>
      </w:r>
      <w:r w:rsidR="008E50D2">
        <w:t>savings calculated using defined savings calculations or custom engineering analysis</w:t>
      </w:r>
      <w:r>
        <w:t>.</w:t>
      </w:r>
      <w:r w:rsidR="00B11976">
        <w:t xml:space="preserve"> </w:t>
      </w:r>
    </w:p>
    <w:p w14:paraId="6BBD6698" w14:textId="4997C295" w:rsidR="00EB26B9" w:rsidRDefault="00F752E6" w:rsidP="00A5600E">
      <w:pPr>
        <w:pStyle w:val="BodyText"/>
      </w:pPr>
      <w:r>
        <w:t>The prescriptive measures include high</w:t>
      </w:r>
      <w:r w:rsidR="00FC09DF">
        <w:t>-</w:t>
      </w:r>
      <w:r>
        <w:t>efficiency natural gas</w:t>
      </w:r>
      <w:r w:rsidR="00FC09DF">
        <w:t>-</w:t>
      </w:r>
      <w:r>
        <w:t>fired equipment and</w:t>
      </w:r>
      <w:r w:rsidR="00B45CCF">
        <w:t xml:space="preserve"> their approved</w:t>
      </w:r>
      <w:r>
        <w:t xml:space="preserve"> related controls</w:t>
      </w:r>
      <w:r w:rsidR="00C23CC9">
        <w:t xml:space="preserve">. The incentives are based on the pre-determined size and efficiency of the new equipment. </w:t>
      </w:r>
      <w:r w:rsidR="0097560E">
        <w:t>The Custom incentives are available for non-standard equipment and specialized technologies not included in the prescriptive offering</w:t>
      </w:r>
      <w:r w:rsidR="00A5600E">
        <w:t xml:space="preserve">. </w:t>
      </w:r>
    </w:p>
    <w:p w14:paraId="20902FAD" w14:textId="1AFAF7AF" w:rsidR="00BB1E70" w:rsidRDefault="00BB1E70" w:rsidP="00F36117">
      <w:pPr>
        <w:pStyle w:val="Heading2"/>
        <w:numPr>
          <w:ilvl w:val="1"/>
          <w:numId w:val="1"/>
        </w:numPr>
      </w:pPr>
      <w:bookmarkStart w:id="3" w:name="_Toc145923995"/>
      <w:r>
        <w:t>Program Design and Implementation</w:t>
      </w:r>
      <w:bookmarkEnd w:id="3"/>
    </w:p>
    <w:p w14:paraId="1C9C696F" w14:textId="6732737D" w:rsidR="00217B65" w:rsidRDefault="00217B65" w:rsidP="00217B65">
      <w:pPr>
        <w:pStyle w:val="BodyText"/>
      </w:pPr>
      <w:r w:rsidRPr="00BF6E5B">
        <w:rPr>
          <w:b/>
          <w:bCs/>
        </w:rPr>
        <w:t>Prescriptive:</w:t>
      </w:r>
      <w:r w:rsidRPr="0089509E">
        <w:t xml:space="preserve"> </w:t>
      </w:r>
      <w:r w:rsidR="005C07C4" w:rsidRPr="0089509E">
        <w:t>P</w:t>
      </w:r>
      <w:r w:rsidRPr="0089509E">
        <w:t>rescriptive</w:t>
      </w:r>
      <w:r>
        <w:t xml:space="preserve">-based incentives </w:t>
      </w:r>
      <w:r w:rsidR="005C07C4">
        <w:t xml:space="preserve">are provided </w:t>
      </w:r>
      <w:r>
        <w:t>to C&amp;I customers to purchase and install energy-efficient products, including energy-efficient lighting, appliances, heating and cooling, and food service equipment, among other efficiency measures. According to the approved program plan, prescriptive measures are designed to:</w:t>
      </w:r>
    </w:p>
    <w:p w14:paraId="37859699" w14:textId="11C76547" w:rsidR="00217B65" w:rsidRDefault="00217B65" w:rsidP="00217B65">
      <w:pPr>
        <w:pStyle w:val="ListBullet"/>
        <w:rPr>
          <w:szCs w:val="16"/>
        </w:rPr>
      </w:pPr>
      <w:r>
        <w:t>P</w:t>
      </w:r>
      <w:r w:rsidRPr="00FA54F1">
        <w:rPr>
          <w:szCs w:val="16"/>
        </w:rPr>
        <w:t xml:space="preserve">rovide easy and cost-effective access to energy efficiency measures through customers' preferred </w:t>
      </w:r>
      <w:r w:rsidR="00173BA6" w:rsidRPr="00FA54F1">
        <w:rPr>
          <w:szCs w:val="16"/>
        </w:rPr>
        <w:t>channels</w:t>
      </w:r>
      <w:r w:rsidR="00173BA6">
        <w:rPr>
          <w:szCs w:val="16"/>
        </w:rPr>
        <w:t>.</w:t>
      </w:r>
    </w:p>
    <w:p w14:paraId="1AEF4C2B" w14:textId="3F67AE02" w:rsidR="00217B65" w:rsidRPr="00BF1036" w:rsidRDefault="00217B65" w:rsidP="00217B65">
      <w:pPr>
        <w:pStyle w:val="ListBullet"/>
        <w:rPr>
          <w:szCs w:val="16"/>
        </w:rPr>
      </w:pPr>
      <w:r w:rsidRPr="00BF1036">
        <w:rPr>
          <w:rFonts w:hint="eastAsia"/>
        </w:rPr>
        <w:t>Provide incentives to facility owners and operators for</w:t>
      </w:r>
      <w:r w:rsidRPr="00BF1036">
        <w:rPr>
          <w:rFonts w:hint="eastAsia"/>
          <w:szCs w:val="16"/>
        </w:rPr>
        <w:t xml:space="preserve"> </w:t>
      </w:r>
      <w:r w:rsidR="00FC09DF">
        <w:rPr>
          <w:szCs w:val="16"/>
        </w:rPr>
        <w:t>installing</w:t>
      </w:r>
      <w:r w:rsidRPr="00BF1036">
        <w:rPr>
          <w:rFonts w:hint="eastAsia"/>
          <w:szCs w:val="16"/>
        </w:rPr>
        <w:t xml:space="preserve"> high</w:t>
      </w:r>
      <w:r>
        <w:rPr>
          <w:szCs w:val="16"/>
        </w:rPr>
        <w:t>-</w:t>
      </w:r>
      <w:r w:rsidRPr="00BF1036">
        <w:rPr>
          <w:rFonts w:hint="eastAsia"/>
          <w:szCs w:val="16"/>
        </w:rPr>
        <w:t>efficiency</w:t>
      </w:r>
      <w:r w:rsidRPr="00BF1036">
        <w:rPr>
          <w:szCs w:val="16"/>
        </w:rPr>
        <w:t xml:space="preserve"> equipment and </w:t>
      </w:r>
      <w:r w:rsidR="00173BA6" w:rsidRPr="00BF1036">
        <w:rPr>
          <w:szCs w:val="16"/>
        </w:rPr>
        <w:t>controls.</w:t>
      </w:r>
    </w:p>
    <w:p w14:paraId="6949C644" w14:textId="77777777" w:rsidR="00217B65" w:rsidRPr="00BF1036" w:rsidRDefault="00217B65" w:rsidP="00217B65">
      <w:pPr>
        <w:pStyle w:val="ListBullet"/>
        <w:rPr>
          <w:szCs w:val="16"/>
        </w:rPr>
      </w:pPr>
      <w:r w:rsidRPr="00BF1036">
        <w:rPr>
          <w:rFonts w:hint="eastAsia"/>
        </w:rPr>
        <w:t>Promote the marketing of high</w:t>
      </w:r>
      <w:r>
        <w:rPr>
          <w:szCs w:val="16"/>
        </w:rPr>
        <w:t>-</w:t>
      </w:r>
      <w:r w:rsidRPr="00BF1036">
        <w:rPr>
          <w:rFonts w:hint="eastAsia"/>
          <w:szCs w:val="16"/>
        </w:rPr>
        <w:t>efficiency measures by trade allies such as electrical</w:t>
      </w:r>
      <w:r w:rsidRPr="00BF1036">
        <w:rPr>
          <w:szCs w:val="16"/>
        </w:rPr>
        <w:t xml:space="preserve"> contractors, mechanical contractors, and their distributors to increase market demand; and </w:t>
      </w:r>
    </w:p>
    <w:p w14:paraId="4E4804D4" w14:textId="77777777" w:rsidR="00217B65" w:rsidRPr="00BF1036" w:rsidRDefault="00217B65" w:rsidP="00217B65">
      <w:pPr>
        <w:pStyle w:val="ListBullet"/>
        <w:rPr>
          <w:szCs w:val="16"/>
        </w:rPr>
      </w:pPr>
      <w:r w:rsidRPr="00BF1036">
        <w:rPr>
          <w:rFonts w:hint="eastAsia"/>
        </w:rPr>
        <w:t>Ensure the partici</w:t>
      </w:r>
      <w:r w:rsidRPr="00BF1036">
        <w:rPr>
          <w:rFonts w:hint="eastAsia"/>
          <w:szCs w:val="16"/>
        </w:rPr>
        <w:t>pation process is clear and simple.</w:t>
      </w:r>
    </w:p>
    <w:p w14:paraId="3BEE28F6" w14:textId="4284EA0D" w:rsidR="00217B65" w:rsidRDefault="00217B65" w:rsidP="00217B65">
      <w:pPr>
        <w:pStyle w:val="BodyText"/>
        <w:rPr>
          <w:lang w:val="en-US"/>
        </w:rPr>
      </w:pPr>
      <w:r w:rsidRPr="00BF6E5B">
        <w:rPr>
          <w:b/>
          <w:bCs/>
        </w:rPr>
        <w:t xml:space="preserve">Custom: </w:t>
      </w:r>
      <w:r w:rsidR="008E7445" w:rsidRPr="0089509E">
        <w:t>The</w:t>
      </w:r>
      <w:r w:rsidR="008E7445">
        <w:rPr>
          <w:b/>
          <w:bCs/>
        </w:rPr>
        <w:t xml:space="preserve"> </w:t>
      </w:r>
      <w:r>
        <w:t>measures that provide calculated or performance-based incentives for electric and/or natural gas efficiency opportunities for commercial, industrial, and other non-residential customers that are non-standard and not captured by prescriptive equipment</w:t>
      </w:r>
      <w:r w:rsidR="008E7445">
        <w:t xml:space="preserve"> </w:t>
      </w:r>
      <w:r w:rsidR="000C387A">
        <w:t>will be part of this pathway</w:t>
      </w:r>
      <w:r>
        <w:t xml:space="preserve">. Typical custom measures eligible for incentives are either less common measures or efficiency opportunities in specialized applications, including manufacturing or industry-specific processes or non-traditional use cases. In many cases, custom efficiency projects are more complex than prescriptive equipment replacement. </w:t>
      </w:r>
      <w:r>
        <w:rPr>
          <w:lang w:val="en-US"/>
        </w:rPr>
        <w:t xml:space="preserve">Potential participants are required to </w:t>
      </w:r>
      <w:proofErr w:type="gramStart"/>
      <w:r>
        <w:rPr>
          <w:lang w:val="en-US"/>
        </w:rPr>
        <w:t>submit an application</w:t>
      </w:r>
      <w:proofErr w:type="gramEnd"/>
      <w:r>
        <w:rPr>
          <w:lang w:val="en-US"/>
        </w:rPr>
        <w:t xml:space="preserve"> for pre-approval to confirm project eligibility and reserve funding. Large projects, or subsets of projects, may be required to undergo pre-and post-inspection to validate project energy savings.</w:t>
      </w:r>
    </w:p>
    <w:p w14:paraId="38C29785" w14:textId="0162A72F" w:rsidR="00381463" w:rsidRDefault="0021684D" w:rsidP="00217B65">
      <w:pPr>
        <w:pStyle w:val="BodyText"/>
        <w:rPr>
          <w:lang w:val="en-US"/>
        </w:rPr>
      </w:pPr>
      <w:r w:rsidRPr="00FC12AF">
        <w:t>NJNG administers and promotes this program</w:t>
      </w:r>
      <w:r w:rsidR="005716B9">
        <w:t xml:space="preserve">. </w:t>
      </w:r>
      <w:r w:rsidR="0030557B">
        <w:t xml:space="preserve">Large projects </w:t>
      </w:r>
      <w:r w:rsidR="005D12F6">
        <w:t>may require pre- and post-inspection to validate project energy savin</w:t>
      </w:r>
      <w:r w:rsidR="00CD294D">
        <w:t xml:space="preserve">gs. Approved projects may also be eligible for no-cost </w:t>
      </w:r>
      <w:r w:rsidR="0001109E">
        <w:t>On-Bill Repayment Program (</w:t>
      </w:r>
      <w:proofErr w:type="gramStart"/>
      <w:r w:rsidR="0001109E">
        <w:t xml:space="preserve">OBRP) </w:t>
      </w:r>
      <w:r w:rsidR="00CD294D">
        <w:t xml:space="preserve"> to</w:t>
      </w:r>
      <w:proofErr w:type="gramEnd"/>
      <w:r w:rsidR="00CD294D">
        <w:t xml:space="preserve"> further reduce first-cost barriers. </w:t>
      </w:r>
    </w:p>
    <w:p w14:paraId="2C19C4A8" w14:textId="60CAAC48" w:rsidR="0045261D" w:rsidRDefault="0045261D" w:rsidP="00756676">
      <w:pPr>
        <w:pStyle w:val="Heading2"/>
        <w:numPr>
          <w:ilvl w:val="1"/>
          <w:numId w:val="1"/>
        </w:numPr>
        <w:rPr>
          <w:lang w:val="en-US"/>
        </w:rPr>
      </w:pPr>
      <w:bookmarkStart w:id="4" w:name="_Toc145923996"/>
      <w:r>
        <w:rPr>
          <w:lang w:val="en-US"/>
        </w:rPr>
        <w:t>Program goal</w:t>
      </w:r>
      <w:r w:rsidR="00531267">
        <w:rPr>
          <w:lang w:val="en-US"/>
        </w:rPr>
        <w:t>s</w:t>
      </w:r>
      <w:bookmarkEnd w:id="4"/>
      <w:r>
        <w:rPr>
          <w:lang w:val="en-US"/>
        </w:rPr>
        <w:t xml:space="preserve"> </w:t>
      </w:r>
    </w:p>
    <w:p w14:paraId="21CC6B61" w14:textId="3AA442D3" w:rsidR="0045261D" w:rsidRDefault="00E66E91" w:rsidP="00217B65">
      <w:pPr>
        <w:pStyle w:val="BodyText"/>
        <w:rPr>
          <w:lang w:val="en-US"/>
        </w:rPr>
      </w:pPr>
      <w:r>
        <w:rPr>
          <w:lang w:val="en-US"/>
        </w:rPr>
        <w:t xml:space="preserve">Per the </w:t>
      </w:r>
      <w:r w:rsidR="00AE71A5">
        <w:rPr>
          <w:lang w:val="en-US"/>
        </w:rPr>
        <w:t>NJNG’s approved program plan</w:t>
      </w:r>
      <w:r w:rsidR="00381463">
        <w:rPr>
          <w:rStyle w:val="FootnoteReference"/>
          <w:lang w:val="en-US"/>
        </w:rPr>
        <w:footnoteReference w:id="2"/>
      </w:r>
      <w:r w:rsidR="00381463">
        <w:rPr>
          <w:lang w:val="en-US"/>
        </w:rPr>
        <w:t xml:space="preserve">, </w:t>
      </w:r>
      <w:r w:rsidR="00FC09DF">
        <w:rPr>
          <w:lang w:val="en-US"/>
        </w:rPr>
        <w:t>the</w:t>
      </w:r>
      <w:r w:rsidR="00AE71A5">
        <w:rPr>
          <w:lang w:val="en-US"/>
        </w:rPr>
        <w:t xml:space="preserve"> </w:t>
      </w:r>
      <w:r w:rsidR="00381463">
        <w:t xml:space="preserve">P&amp;C subprogram’s </w:t>
      </w:r>
      <w:r w:rsidR="00D6040F">
        <w:t>gas</w:t>
      </w:r>
      <w:r w:rsidR="00381463">
        <w:t xml:space="preserve"> savings and participant goals from PY1 through PY3 are listed in </w:t>
      </w:r>
      <w:r w:rsidR="00381463">
        <w:fldChar w:fldCharType="begin"/>
      </w:r>
      <w:r w:rsidR="00381463">
        <w:instrText xml:space="preserve"> REF _Ref124957797 \h </w:instrText>
      </w:r>
      <w:r w:rsidR="00381463">
        <w:fldChar w:fldCharType="separate"/>
      </w:r>
      <w:r w:rsidR="000344CB">
        <w:t xml:space="preserve">Table </w:t>
      </w:r>
      <w:r w:rsidR="000344CB">
        <w:rPr>
          <w:noProof/>
        </w:rPr>
        <w:t>1</w:t>
      </w:r>
      <w:r w:rsidR="000344CB">
        <w:noBreakHyphen/>
      </w:r>
      <w:r w:rsidR="000344CB">
        <w:rPr>
          <w:noProof/>
        </w:rPr>
        <w:t>1</w:t>
      </w:r>
      <w:r w:rsidR="00381463">
        <w:fldChar w:fldCharType="end"/>
      </w:r>
      <w:r w:rsidR="00381463">
        <w:t>.</w:t>
      </w:r>
      <w:r w:rsidR="00CE6BF7">
        <w:t xml:space="preserve"> </w:t>
      </w:r>
      <w:r w:rsidR="00AA1B54">
        <w:t>For the first triennium</w:t>
      </w:r>
      <w:r w:rsidR="00D6040F">
        <w:t>,</w:t>
      </w:r>
      <w:r w:rsidR="00AA1B54">
        <w:t xml:space="preserve"> NJNG has </w:t>
      </w:r>
      <w:r w:rsidR="007E4235">
        <w:t>projected</w:t>
      </w:r>
      <w:r w:rsidR="00AA1B54">
        <w:t xml:space="preserve"> </w:t>
      </w:r>
      <w:r w:rsidR="00DA43EB">
        <w:t>1.38 million therms</w:t>
      </w:r>
      <w:r w:rsidR="000F5840">
        <w:t xml:space="preserve"> saved</w:t>
      </w:r>
      <w:r w:rsidR="00DA43EB">
        <w:t xml:space="preserve"> from 3,196 </w:t>
      </w:r>
      <w:r w:rsidR="00E514F0">
        <w:t xml:space="preserve">projects in </w:t>
      </w:r>
      <w:r w:rsidR="00BB51B4">
        <w:t xml:space="preserve">the </w:t>
      </w:r>
      <w:r w:rsidR="00E514F0">
        <w:t>P&amp;C subprogram</w:t>
      </w:r>
      <w:r w:rsidR="00DA43EB">
        <w:t xml:space="preserve">. </w:t>
      </w:r>
    </w:p>
    <w:p w14:paraId="331DFC0A" w14:textId="3BEA39B0" w:rsidR="00C81D81" w:rsidRDefault="00C81D81" w:rsidP="00C81D81">
      <w:pPr>
        <w:pStyle w:val="Caption"/>
      </w:pPr>
      <w:bookmarkStart w:id="5" w:name="_Ref124957797"/>
      <w:r>
        <w:lastRenderedPageBreak/>
        <w:t xml:space="preserve">Table </w:t>
      </w:r>
      <w:r>
        <w:fldChar w:fldCharType="begin"/>
      </w:r>
      <w:r>
        <w:instrText xml:space="preserve"> STYLEREF 1 \s </w:instrText>
      </w:r>
      <w:r>
        <w:fldChar w:fldCharType="separate"/>
      </w:r>
      <w:r w:rsidR="000344CB">
        <w:rPr>
          <w:noProof/>
        </w:rPr>
        <w:t>1</w:t>
      </w:r>
      <w:r>
        <w:fldChar w:fldCharType="end"/>
      </w:r>
      <w:r>
        <w:noBreakHyphen/>
      </w:r>
      <w:r>
        <w:fldChar w:fldCharType="begin"/>
      </w:r>
      <w:r>
        <w:instrText xml:space="preserve"> SEQ Table \* ARABIC \s 1 </w:instrText>
      </w:r>
      <w:r>
        <w:fldChar w:fldCharType="separate"/>
      </w:r>
      <w:r w:rsidR="000344CB">
        <w:rPr>
          <w:noProof/>
        </w:rPr>
        <w:t>1</w:t>
      </w:r>
      <w:r>
        <w:fldChar w:fldCharType="end"/>
      </w:r>
      <w:bookmarkEnd w:id="5"/>
      <w:r>
        <w:t>: C&amp;I Prescriptive/Custom subprogram triennial goals</w:t>
      </w:r>
      <w:r w:rsidR="003B35FE">
        <w:t xml:space="preserve"> (natural gas only)</w:t>
      </w:r>
    </w:p>
    <w:tbl>
      <w:tblPr>
        <w:tblStyle w:val="DNVNiceStyle"/>
        <w:tblpPr w:leftFromText="180" w:rightFromText="180" w:vertAnchor="text" w:horzAnchor="margin" w:tblpXSpec="right" w:tblpY="32"/>
        <w:tblW w:w="4995" w:type="pct"/>
        <w:tblLook w:val="04A0" w:firstRow="1" w:lastRow="0" w:firstColumn="1" w:lastColumn="0" w:noHBand="0" w:noVBand="1"/>
      </w:tblPr>
      <w:tblGrid>
        <w:gridCol w:w="2782"/>
        <w:gridCol w:w="2375"/>
        <w:gridCol w:w="2244"/>
        <w:gridCol w:w="2504"/>
      </w:tblGrid>
      <w:tr w:rsidR="006008BA" w:rsidRPr="002153CE" w14:paraId="50D5E3C1" w14:textId="77777777" w:rsidTr="00577E10">
        <w:trPr>
          <w:cnfStyle w:val="100000000000" w:firstRow="1" w:lastRow="0" w:firstColumn="0" w:lastColumn="0" w:oddVBand="0" w:evenVBand="0" w:oddHBand="0" w:evenHBand="0" w:firstRowFirstColumn="0" w:firstRowLastColumn="0" w:lastRowFirstColumn="0" w:lastRowLastColumn="0"/>
          <w:trHeight w:val="418"/>
        </w:trPr>
        <w:tc>
          <w:tcPr>
            <w:cnfStyle w:val="001000000100" w:firstRow="0" w:lastRow="0" w:firstColumn="1" w:lastColumn="0" w:oddVBand="0" w:evenVBand="0" w:oddHBand="0" w:evenHBand="0" w:firstRowFirstColumn="1" w:firstRowLastColumn="0" w:lastRowFirstColumn="0" w:lastRowLastColumn="0"/>
            <w:tcW w:w="1404" w:type="pct"/>
            <w:hideMark/>
          </w:tcPr>
          <w:p w14:paraId="10ACBF73" w14:textId="77777777" w:rsidR="006008BA" w:rsidRPr="00D954CF" w:rsidRDefault="006008BA" w:rsidP="00BF6E5B">
            <w:pPr>
              <w:pStyle w:val="BodyText"/>
              <w:keepNext/>
              <w:jc w:val="left"/>
              <w:rPr>
                <w:rFonts w:ascii="Times New Roman" w:hAnsi="Times New Roman"/>
                <w:lang w:val="en-US"/>
              </w:rPr>
            </w:pPr>
            <w:r w:rsidRPr="00816F1D">
              <w:t>Metric</w:t>
            </w:r>
          </w:p>
        </w:tc>
        <w:tc>
          <w:tcPr>
            <w:tcW w:w="1199" w:type="pct"/>
            <w:hideMark/>
          </w:tcPr>
          <w:p w14:paraId="4E3959F8" w14:textId="77777777" w:rsidR="006008BA" w:rsidRPr="00816F1D" w:rsidRDefault="006008BA" w:rsidP="00BF6E5B">
            <w:pPr>
              <w:pStyle w:val="BodyText"/>
              <w:keepNext/>
              <w:jc w:val="left"/>
              <w:cnfStyle w:val="100000000000" w:firstRow="1" w:lastRow="0" w:firstColumn="0" w:lastColumn="0" w:oddVBand="0" w:evenVBand="0" w:oddHBand="0" w:evenHBand="0" w:firstRowFirstColumn="0" w:firstRowLastColumn="0" w:lastRowFirstColumn="0" w:lastRowLastColumn="0"/>
            </w:pPr>
            <w:r w:rsidRPr="00816F1D">
              <w:t>PY1</w:t>
            </w:r>
          </w:p>
        </w:tc>
        <w:tc>
          <w:tcPr>
            <w:tcW w:w="1133" w:type="pct"/>
            <w:hideMark/>
          </w:tcPr>
          <w:p w14:paraId="093D6BF8" w14:textId="77777777" w:rsidR="006008BA" w:rsidRPr="00816F1D" w:rsidRDefault="006008BA" w:rsidP="00BF6E5B">
            <w:pPr>
              <w:pStyle w:val="BodyText"/>
              <w:keepNext/>
              <w:jc w:val="left"/>
              <w:cnfStyle w:val="100000000000" w:firstRow="1" w:lastRow="0" w:firstColumn="0" w:lastColumn="0" w:oddVBand="0" w:evenVBand="0" w:oddHBand="0" w:evenHBand="0" w:firstRowFirstColumn="0" w:firstRowLastColumn="0" w:lastRowFirstColumn="0" w:lastRowLastColumn="0"/>
            </w:pPr>
            <w:r w:rsidRPr="00816F1D">
              <w:t>PY2</w:t>
            </w:r>
          </w:p>
        </w:tc>
        <w:tc>
          <w:tcPr>
            <w:tcW w:w="1264" w:type="pct"/>
            <w:hideMark/>
          </w:tcPr>
          <w:p w14:paraId="1463B9A6" w14:textId="77777777" w:rsidR="006008BA" w:rsidRPr="00816F1D" w:rsidRDefault="006008BA" w:rsidP="00BF6E5B">
            <w:pPr>
              <w:pStyle w:val="BodyText"/>
              <w:keepNext/>
              <w:jc w:val="left"/>
              <w:cnfStyle w:val="100000000000" w:firstRow="1" w:lastRow="0" w:firstColumn="0" w:lastColumn="0" w:oddVBand="0" w:evenVBand="0" w:oddHBand="0" w:evenHBand="0" w:firstRowFirstColumn="0" w:firstRowLastColumn="0" w:lastRowFirstColumn="0" w:lastRowLastColumn="0"/>
            </w:pPr>
            <w:r w:rsidRPr="00816F1D">
              <w:t>PY3</w:t>
            </w:r>
          </w:p>
        </w:tc>
      </w:tr>
      <w:tr w:rsidR="006008BA" w:rsidRPr="002153CE" w14:paraId="4277CC8E" w14:textId="77777777" w:rsidTr="00577E1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04" w:type="pct"/>
            <w:hideMark/>
          </w:tcPr>
          <w:p w14:paraId="388F43C6" w14:textId="791F5442" w:rsidR="006008BA" w:rsidRPr="00816F1D" w:rsidRDefault="006008BA" w:rsidP="00BF6E5B">
            <w:pPr>
              <w:keepNext/>
              <w:spacing w:line="256" w:lineRule="auto"/>
              <w:rPr>
                <w:b w:val="0"/>
              </w:rPr>
            </w:pPr>
            <w:r w:rsidRPr="00816F1D">
              <w:rPr>
                <w:b w:val="0"/>
              </w:rPr>
              <w:t>Estimated Participants</w:t>
            </w:r>
            <w:r w:rsidR="00173BA6">
              <w:rPr>
                <w:rStyle w:val="FootnoteReference"/>
                <w:b w:val="0"/>
              </w:rPr>
              <w:footnoteReference w:id="3"/>
            </w:r>
            <w:r w:rsidRPr="00816F1D">
              <w:rPr>
                <w:b w:val="0"/>
              </w:rPr>
              <w:t xml:space="preserve"> </w:t>
            </w:r>
          </w:p>
        </w:tc>
        <w:tc>
          <w:tcPr>
            <w:tcW w:w="1199" w:type="pct"/>
            <w:hideMark/>
          </w:tcPr>
          <w:p w14:paraId="6B27C28B" w14:textId="4BF3799D" w:rsidR="006008BA" w:rsidRPr="002153CE" w:rsidRDefault="002C2516" w:rsidP="00BF6E5B">
            <w:pPr>
              <w:keepNext/>
              <w:spacing w:line="256" w:lineRule="auto"/>
              <w:cnfStyle w:val="000000100000" w:firstRow="0" w:lastRow="0" w:firstColumn="0" w:lastColumn="0" w:oddVBand="0" w:evenVBand="0" w:oddHBand="1" w:evenHBand="0" w:firstRowFirstColumn="0" w:firstRowLastColumn="0" w:lastRowFirstColumn="0" w:lastRowLastColumn="0"/>
            </w:pPr>
            <w:r>
              <w:t>981</w:t>
            </w:r>
          </w:p>
        </w:tc>
        <w:tc>
          <w:tcPr>
            <w:tcW w:w="1133" w:type="pct"/>
            <w:hideMark/>
          </w:tcPr>
          <w:p w14:paraId="6F5F3080" w14:textId="245DF59D" w:rsidR="006008BA" w:rsidRPr="002153CE" w:rsidRDefault="002C2516" w:rsidP="00BF6E5B">
            <w:pPr>
              <w:keepNext/>
              <w:spacing w:line="256" w:lineRule="auto"/>
              <w:cnfStyle w:val="000000100000" w:firstRow="0" w:lastRow="0" w:firstColumn="0" w:lastColumn="0" w:oddVBand="0" w:evenVBand="0" w:oddHBand="1" w:evenHBand="0" w:firstRowFirstColumn="0" w:firstRowLastColumn="0" w:lastRowFirstColumn="0" w:lastRowLastColumn="0"/>
            </w:pPr>
            <w:r>
              <w:t>1,080</w:t>
            </w:r>
          </w:p>
        </w:tc>
        <w:tc>
          <w:tcPr>
            <w:tcW w:w="1264" w:type="pct"/>
            <w:hideMark/>
          </w:tcPr>
          <w:p w14:paraId="31D48ED2" w14:textId="70CC6363" w:rsidR="006008BA" w:rsidRPr="002153CE" w:rsidRDefault="002C2516" w:rsidP="00BF6E5B">
            <w:pPr>
              <w:keepNext/>
              <w:spacing w:line="256" w:lineRule="auto"/>
              <w:cnfStyle w:val="000000100000" w:firstRow="0" w:lastRow="0" w:firstColumn="0" w:lastColumn="0" w:oddVBand="0" w:evenVBand="0" w:oddHBand="1" w:evenHBand="0" w:firstRowFirstColumn="0" w:firstRowLastColumn="0" w:lastRowFirstColumn="0" w:lastRowLastColumn="0"/>
            </w:pPr>
            <w:r>
              <w:t>1,135</w:t>
            </w:r>
          </w:p>
        </w:tc>
      </w:tr>
      <w:tr w:rsidR="006008BA" w:rsidRPr="002153CE" w14:paraId="0943EA10" w14:textId="77777777" w:rsidTr="00577E10">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04" w:type="pct"/>
            <w:hideMark/>
          </w:tcPr>
          <w:p w14:paraId="08EF3B41" w14:textId="0CB5783C" w:rsidR="006008BA" w:rsidRPr="00816F1D" w:rsidRDefault="006008BA" w:rsidP="00BF6E5B">
            <w:pPr>
              <w:keepNext/>
              <w:spacing w:line="256" w:lineRule="auto"/>
              <w:rPr>
                <w:b w:val="0"/>
              </w:rPr>
            </w:pPr>
            <w:r w:rsidRPr="00816F1D">
              <w:rPr>
                <w:b w:val="0"/>
              </w:rPr>
              <w:t>Projected Net Annual Natural Gas Savings (</w:t>
            </w:r>
            <w:r>
              <w:rPr>
                <w:b w:val="0"/>
                <w:bCs w:val="0"/>
              </w:rPr>
              <w:t>t</w:t>
            </w:r>
            <w:r w:rsidRPr="005F3441">
              <w:rPr>
                <w:b w:val="0"/>
                <w:bCs w:val="0"/>
              </w:rPr>
              <w:t>herms</w:t>
            </w:r>
            <w:r w:rsidRPr="00816F1D">
              <w:rPr>
                <w:b w:val="0"/>
              </w:rPr>
              <w:t>)</w:t>
            </w:r>
          </w:p>
        </w:tc>
        <w:tc>
          <w:tcPr>
            <w:tcW w:w="1199" w:type="pct"/>
            <w:hideMark/>
          </w:tcPr>
          <w:p w14:paraId="5CC0F405" w14:textId="71C889DE" w:rsidR="006008BA" w:rsidRPr="002153CE" w:rsidRDefault="002C2516" w:rsidP="00BF6E5B">
            <w:pPr>
              <w:keepNext/>
              <w:spacing w:line="256" w:lineRule="auto"/>
              <w:cnfStyle w:val="000000010000" w:firstRow="0" w:lastRow="0" w:firstColumn="0" w:lastColumn="0" w:oddVBand="0" w:evenVBand="0" w:oddHBand="0" w:evenHBand="1" w:firstRowFirstColumn="0" w:firstRowLastColumn="0" w:lastRowFirstColumn="0" w:lastRowLastColumn="0"/>
            </w:pPr>
            <w:r>
              <w:t>422,080</w:t>
            </w:r>
          </w:p>
        </w:tc>
        <w:tc>
          <w:tcPr>
            <w:tcW w:w="1133" w:type="pct"/>
            <w:hideMark/>
          </w:tcPr>
          <w:p w14:paraId="715E41A0" w14:textId="66E270B6" w:rsidR="006008BA" w:rsidRPr="002153CE" w:rsidRDefault="002C2516" w:rsidP="00BF6E5B">
            <w:pPr>
              <w:keepNext/>
              <w:spacing w:line="256" w:lineRule="auto"/>
              <w:cnfStyle w:val="000000010000" w:firstRow="0" w:lastRow="0" w:firstColumn="0" w:lastColumn="0" w:oddVBand="0" w:evenVBand="0" w:oddHBand="0" w:evenHBand="1" w:firstRowFirstColumn="0" w:firstRowLastColumn="0" w:lastRowFirstColumn="0" w:lastRowLastColumn="0"/>
            </w:pPr>
            <w:r>
              <w:t>464,521</w:t>
            </w:r>
          </w:p>
        </w:tc>
        <w:tc>
          <w:tcPr>
            <w:tcW w:w="1264" w:type="pct"/>
            <w:hideMark/>
          </w:tcPr>
          <w:p w14:paraId="480880D9" w14:textId="2AC09D03" w:rsidR="006008BA" w:rsidRPr="002153CE" w:rsidRDefault="002C2516" w:rsidP="00BF6E5B">
            <w:pPr>
              <w:keepNext/>
              <w:spacing w:line="256" w:lineRule="auto"/>
              <w:cnfStyle w:val="000000010000" w:firstRow="0" w:lastRow="0" w:firstColumn="0" w:lastColumn="0" w:oddVBand="0" w:evenVBand="0" w:oddHBand="0" w:evenHBand="1" w:firstRowFirstColumn="0" w:firstRowLastColumn="0" w:lastRowFirstColumn="0" w:lastRowLastColumn="0"/>
            </w:pPr>
            <w:r>
              <w:t>489,546</w:t>
            </w:r>
          </w:p>
        </w:tc>
      </w:tr>
      <w:tr w:rsidR="002C2516" w:rsidRPr="002153CE" w14:paraId="2E8133A6" w14:textId="77777777" w:rsidTr="00577E1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404" w:type="pct"/>
          </w:tcPr>
          <w:p w14:paraId="22329B44" w14:textId="64A360EC" w:rsidR="002C2516" w:rsidRPr="0093629D" w:rsidRDefault="002C2516" w:rsidP="00BF6E5B">
            <w:pPr>
              <w:keepNext/>
              <w:spacing w:line="256" w:lineRule="auto"/>
              <w:rPr>
                <w:b w:val="0"/>
                <w:bCs w:val="0"/>
              </w:rPr>
            </w:pPr>
            <w:r w:rsidRPr="0093629D">
              <w:rPr>
                <w:b w:val="0"/>
                <w:bCs w:val="0"/>
              </w:rPr>
              <w:t>Avg</w:t>
            </w:r>
            <w:r w:rsidR="003B35FE" w:rsidRPr="0093629D">
              <w:rPr>
                <w:b w:val="0"/>
                <w:bCs w:val="0"/>
              </w:rPr>
              <w:t>.</w:t>
            </w:r>
            <w:r w:rsidRPr="0093629D">
              <w:rPr>
                <w:b w:val="0"/>
                <w:bCs w:val="0"/>
              </w:rPr>
              <w:t xml:space="preserve"> therms/participant</w:t>
            </w:r>
          </w:p>
        </w:tc>
        <w:tc>
          <w:tcPr>
            <w:tcW w:w="1199" w:type="pct"/>
          </w:tcPr>
          <w:p w14:paraId="0A7B4205" w14:textId="0108A095" w:rsidR="002C2516" w:rsidRPr="002153CE" w:rsidRDefault="00265CE9" w:rsidP="00BF6E5B">
            <w:pPr>
              <w:keepNext/>
              <w:spacing w:line="256" w:lineRule="auto"/>
              <w:cnfStyle w:val="000000100000" w:firstRow="0" w:lastRow="0" w:firstColumn="0" w:lastColumn="0" w:oddVBand="0" w:evenVBand="0" w:oddHBand="1" w:evenHBand="0" w:firstRowFirstColumn="0" w:firstRowLastColumn="0" w:lastRowFirstColumn="0" w:lastRowLastColumn="0"/>
            </w:pPr>
            <w:r>
              <w:t>432</w:t>
            </w:r>
          </w:p>
        </w:tc>
        <w:tc>
          <w:tcPr>
            <w:tcW w:w="1133" w:type="pct"/>
          </w:tcPr>
          <w:p w14:paraId="35A063C7" w14:textId="53147504" w:rsidR="002C2516" w:rsidRPr="002153CE" w:rsidRDefault="00265CE9" w:rsidP="00BF6E5B">
            <w:pPr>
              <w:keepNext/>
              <w:spacing w:line="256" w:lineRule="auto"/>
              <w:cnfStyle w:val="000000100000" w:firstRow="0" w:lastRow="0" w:firstColumn="0" w:lastColumn="0" w:oddVBand="0" w:evenVBand="0" w:oddHBand="1" w:evenHBand="0" w:firstRowFirstColumn="0" w:firstRowLastColumn="0" w:lastRowFirstColumn="0" w:lastRowLastColumn="0"/>
            </w:pPr>
            <w:r>
              <w:t>430</w:t>
            </w:r>
          </w:p>
        </w:tc>
        <w:tc>
          <w:tcPr>
            <w:tcW w:w="1264" w:type="pct"/>
          </w:tcPr>
          <w:p w14:paraId="65209857" w14:textId="32739458" w:rsidR="002C2516" w:rsidRPr="002153CE" w:rsidRDefault="00265CE9" w:rsidP="00BF6E5B">
            <w:pPr>
              <w:keepNext/>
              <w:spacing w:line="256" w:lineRule="auto"/>
              <w:cnfStyle w:val="000000100000" w:firstRow="0" w:lastRow="0" w:firstColumn="0" w:lastColumn="0" w:oddVBand="0" w:evenVBand="0" w:oddHBand="1" w:evenHBand="0" w:firstRowFirstColumn="0" w:firstRowLastColumn="0" w:lastRowFirstColumn="0" w:lastRowLastColumn="0"/>
            </w:pPr>
            <w:r>
              <w:t>431</w:t>
            </w:r>
          </w:p>
        </w:tc>
      </w:tr>
    </w:tbl>
    <w:bookmarkStart w:id="6" w:name="_Ref121752338"/>
    <w:bookmarkStart w:id="7" w:name="_Ref121824900"/>
    <w:p w14:paraId="6ACD4322" w14:textId="5CA85177" w:rsidR="004B2D38" w:rsidRDefault="00053E69" w:rsidP="004B2D38">
      <w:pPr>
        <w:pStyle w:val="BodyText"/>
        <w:rPr>
          <w:lang w:val="en-US"/>
        </w:rPr>
      </w:pPr>
      <w:r>
        <w:fldChar w:fldCharType="begin"/>
      </w:r>
      <w:r>
        <w:instrText xml:space="preserve"> REF _Ref125022494 \h </w:instrText>
      </w:r>
      <w:r>
        <w:fldChar w:fldCharType="separate"/>
      </w:r>
      <w:r w:rsidR="000344CB">
        <w:t xml:space="preserve">Table </w:t>
      </w:r>
      <w:r w:rsidR="000344CB">
        <w:rPr>
          <w:noProof/>
        </w:rPr>
        <w:t>1</w:t>
      </w:r>
      <w:r w:rsidR="000344CB">
        <w:noBreakHyphen/>
      </w:r>
      <w:r w:rsidR="000344CB">
        <w:rPr>
          <w:noProof/>
        </w:rPr>
        <w:t>2</w:t>
      </w:r>
      <w:r>
        <w:fldChar w:fldCharType="end"/>
      </w:r>
      <w:r>
        <w:t xml:space="preserve"> </w:t>
      </w:r>
      <w:r w:rsidR="004B2D38">
        <w:t xml:space="preserve">presents the actual participation </w:t>
      </w:r>
      <w:r w:rsidR="003F092A">
        <w:t>at the end of</w:t>
      </w:r>
      <w:r w:rsidR="004B2D38">
        <w:t xml:space="preserve"> PY1 based on the Annual Progress Report filing</w:t>
      </w:r>
      <w:r w:rsidR="004B2D38">
        <w:rPr>
          <w:rStyle w:val="FootnoteReference"/>
        </w:rPr>
        <w:footnoteReference w:id="4"/>
      </w:r>
      <w:r w:rsidR="004B2D38">
        <w:t>. NJNG ha</w:t>
      </w:r>
      <w:r w:rsidR="003F092A">
        <w:t>d</w:t>
      </w:r>
      <w:r w:rsidR="004B2D38">
        <w:t xml:space="preserve"> 2 completions with a net savings of 540 therms, which is about 0.2% of the participant and 0.1% of the annual therms savings goal. Both the completed projects were part of the Prescriptive pathway. </w:t>
      </w:r>
      <w:r w:rsidR="00D2236F">
        <w:t>However</w:t>
      </w:r>
      <w:r w:rsidR="00AD57FF">
        <w:t>,</w:t>
      </w:r>
      <w:r w:rsidR="00D2236F">
        <w:t xml:space="preserve"> </w:t>
      </w:r>
      <w:r w:rsidR="00AD57FF">
        <w:t>5 other prescriptive projects</w:t>
      </w:r>
      <w:r w:rsidR="00D2236F">
        <w:t xml:space="preserve"> were in</w:t>
      </w:r>
      <w:r w:rsidR="00541026">
        <w:t xml:space="preserve"> the tracking system but not completed in PY1. </w:t>
      </w:r>
    </w:p>
    <w:p w14:paraId="40D94B7A" w14:textId="1546B2B4" w:rsidR="00DD3492" w:rsidRDefault="00DD3492" w:rsidP="00DD3492">
      <w:pPr>
        <w:pStyle w:val="Caption"/>
        <w:spacing w:before="240"/>
      </w:pPr>
      <w:bookmarkStart w:id="8" w:name="_Ref125022494"/>
      <w:r>
        <w:t xml:space="preserve">Table </w:t>
      </w:r>
      <w:r>
        <w:fldChar w:fldCharType="begin"/>
      </w:r>
      <w:r>
        <w:instrText xml:space="preserve"> STYLEREF 1 \s </w:instrText>
      </w:r>
      <w:r>
        <w:fldChar w:fldCharType="separate"/>
      </w:r>
      <w:r w:rsidR="000344CB">
        <w:rPr>
          <w:noProof/>
        </w:rPr>
        <w:t>1</w:t>
      </w:r>
      <w:r>
        <w:fldChar w:fldCharType="end"/>
      </w:r>
      <w:r>
        <w:noBreakHyphen/>
      </w:r>
      <w:r>
        <w:fldChar w:fldCharType="begin"/>
      </w:r>
      <w:r>
        <w:instrText xml:space="preserve"> SEQ Table \* ARABIC \s 1 </w:instrText>
      </w:r>
      <w:r>
        <w:fldChar w:fldCharType="separate"/>
      </w:r>
      <w:r w:rsidR="000344CB">
        <w:rPr>
          <w:noProof/>
        </w:rPr>
        <w:t>2</w:t>
      </w:r>
      <w:r>
        <w:fldChar w:fldCharType="end"/>
      </w:r>
      <w:bookmarkEnd w:id="6"/>
      <w:bookmarkEnd w:id="7"/>
      <w:bookmarkEnd w:id="8"/>
      <w:r>
        <w:t>. PY1 actual participation</w:t>
      </w:r>
    </w:p>
    <w:tbl>
      <w:tblPr>
        <w:tblStyle w:val="DNVNiceStyle"/>
        <w:tblW w:w="5000" w:type="pct"/>
        <w:tblLook w:val="0420" w:firstRow="1" w:lastRow="0" w:firstColumn="0" w:lastColumn="0" w:noHBand="0" w:noVBand="1"/>
      </w:tblPr>
      <w:tblGrid>
        <w:gridCol w:w="2789"/>
        <w:gridCol w:w="2432"/>
        <w:gridCol w:w="2195"/>
        <w:gridCol w:w="2499"/>
      </w:tblGrid>
      <w:tr w:rsidR="000631E7" w:rsidRPr="008277D4" w14:paraId="61D0B76B" w14:textId="77777777" w:rsidTr="00577E10">
        <w:trPr>
          <w:cnfStyle w:val="100000000000" w:firstRow="1" w:lastRow="0" w:firstColumn="0" w:lastColumn="0" w:oddVBand="0" w:evenVBand="0" w:oddHBand="0" w:evenHBand="0" w:firstRowFirstColumn="0" w:firstRowLastColumn="0" w:lastRowFirstColumn="0" w:lastRowLastColumn="0"/>
          <w:trHeight w:val="423"/>
        </w:trPr>
        <w:tc>
          <w:tcPr>
            <w:tcW w:w="1406" w:type="pct"/>
            <w:hideMark/>
          </w:tcPr>
          <w:p w14:paraId="6B316DD2" w14:textId="77777777" w:rsidR="00DD3492" w:rsidRPr="004F0145" w:rsidRDefault="00DD3492" w:rsidP="00BF6E5B">
            <w:pPr>
              <w:pStyle w:val="BodyText"/>
              <w:jc w:val="left"/>
            </w:pPr>
            <w:r w:rsidRPr="004F0145">
              <w:t>PY1 metrics</w:t>
            </w:r>
          </w:p>
        </w:tc>
        <w:tc>
          <w:tcPr>
            <w:tcW w:w="1226" w:type="pct"/>
            <w:hideMark/>
          </w:tcPr>
          <w:p w14:paraId="624EFDB5" w14:textId="77777777" w:rsidR="00DD3492" w:rsidRPr="004F0145" w:rsidRDefault="00DD3492" w:rsidP="00BF6E5B">
            <w:pPr>
              <w:pStyle w:val="BodyText"/>
              <w:jc w:val="left"/>
            </w:pPr>
            <w:r w:rsidRPr="004F0145">
              <w:t>Target</w:t>
            </w:r>
          </w:p>
        </w:tc>
        <w:tc>
          <w:tcPr>
            <w:tcW w:w="1107" w:type="pct"/>
            <w:hideMark/>
          </w:tcPr>
          <w:p w14:paraId="0B6802AA" w14:textId="77777777" w:rsidR="00DD3492" w:rsidRPr="004F0145" w:rsidRDefault="00DD3492" w:rsidP="00BF6E5B">
            <w:pPr>
              <w:pStyle w:val="BodyText"/>
              <w:jc w:val="left"/>
            </w:pPr>
            <w:r w:rsidRPr="004F0145">
              <w:t>Achieved</w:t>
            </w:r>
          </w:p>
        </w:tc>
        <w:tc>
          <w:tcPr>
            <w:tcW w:w="1260" w:type="pct"/>
            <w:hideMark/>
          </w:tcPr>
          <w:p w14:paraId="303AFB8A" w14:textId="77777777" w:rsidR="00DD3492" w:rsidRPr="004F0145" w:rsidRDefault="00DD3492" w:rsidP="00BF6E5B">
            <w:pPr>
              <w:pStyle w:val="BodyText"/>
              <w:jc w:val="left"/>
            </w:pPr>
            <w:r w:rsidRPr="004F0145">
              <w:t>%</w:t>
            </w:r>
            <w:r>
              <w:t xml:space="preserve"> </w:t>
            </w:r>
            <w:r w:rsidRPr="004F0145">
              <w:t>Achieved</w:t>
            </w:r>
          </w:p>
        </w:tc>
      </w:tr>
      <w:tr w:rsidR="00E53584" w:rsidRPr="008277D4" w14:paraId="2BB8B77E" w14:textId="77777777" w:rsidTr="00577E10">
        <w:trPr>
          <w:cnfStyle w:val="000000100000" w:firstRow="0" w:lastRow="0" w:firstColumn="0" w:lastColumn="0" w:oddVBand="0" w:evenVBand="0" w:oddHBand="1" w:evenHBand="0" w:firstRowFirstColumn="0" w:firstRowLastColumn="0" w:lastRowFirstColumn="0" w:lastRowLastColumn="0"/>
          <w:trHeight w:val="575"/>
        </w:trPr>
        <w:tc>
          <w:tcPr>
            <w:tcW w:w="1406" w:type="pct"/>
            <w:hideMark/>
          </w:tcPr>
          <w:p w14:paraId="303786B9" w14:textId="3EED2E71" w:rsidR="00DD3492" w:rsidRPr="008277D4" w:rsidRDefault="00DD3492" w:rsidP="00DD3492">
            <w:pPr>
              <w:pStyle w:val="BodyText"/>
              <w:spacing w:before="0" w:after="0"/>
              <w:rPr>
                <w:lang w:val="en-US"/>
              </w:rPr>
            </w:pPr>
            <w:r w:rsidRPr="00816F1D">
              <w:t xml:space="preserve">Estimated Participants </w:t>
            </w:r>
          </w:p>
        </w:tc>
        <w:tc>
          <w:tcPr>
            <w:tcW w:w="1226" w:type="pct"/>
            <w:hideMark/>
          </w:tcPr>
          <w:p w14:paraId="5D3837AE" w14:textId="4C0A8954" w:rsidR="00DD3492" w:rsidRPr="008277D4" w:rsidRDefault="00DD3492" w:rsidP="00DD3492">
            <w:pPr>
              <w:pStyle w:val="BodyText"/>
              <w:spacing w:before="0" w:after="0"/>
              <w:rPr>
                <w:lang w:val="en-US"/>
              </w:rPr>
            </w:pPr>
            <w:r>
              <w:t>981</w:t>
            </w:r>
          </w:p>
        </w:tc>
        <w:tc>
          <w:tcPr>
            <w:tcW w:w="1107" w:type="pct"/>
            <w:hideMark/>
          </w:tcPr>
          <w:p w14:paraId="50BCEB32" w14:textId="6E10CB81" w:rsidR="00DD3492" w:rsidRPr="008277D4" w:rsidRDefault="00FF4446" w:rsidP="00DD3492">
            <w:pPr>
              <w:pStyle w:val="BodyText"/>
              <w:spacing w:before="0" w:after="0"/>
              <w:rPr>
                <w:lang w:val="en-US"/>
              </w:rPr>
            </w:pPr>
            <w:r>
              <w:rPr>
                <w:lang w:val="en-US"/>
              </w:rPr>
              <w:t>2</w:t>
            </w:r>
          </w:p>
        </w:tc>
        <w:tc>
          <w:tcPr>
            <w:tcW w:w="1260" w:type="pct"/>
            <w:hideMark/>
          </w:tcPr>
          <w:p w14:paraId="7A97C6F6" w14:textId="659CC8C0" w:rsidR="00DD3492" w:rsidRPr="008277D4" w:rsidRDefault="00515FA9" w:rsidP="00DD3492">
            <w:pPr>
              <w:pStyle w:val="BodyText"/>
              <w:spacing w:before="0" w:after="0"/>
              <w:rPr>
                <w:lang w:val="en-US"/>
              </w:rPr>
            </w:pPr>
            <w:r>
              <w:rPr>
                <w:lang w:val="en-US"/>
              </w:rPr>
              <w:t>0.2%</w:t>
            </w:r>
          </w:p>
        </w:tc>
      </w:tr>
      <w:tr w:rsidR="00DD3492" w:rsidRPr="008277D4" w14:paraId="37BE6F9D" w14:textId="77777777" w:rsidTr="00577E10">
        <w:trPr>
          <w:cnfStyle w:val="000000010000" w:firstRow="0" w:lastRow="0" w:firstColumn="0" w:lastColumn="0" w:oddVBand="0" w:evenVBand="0" w:oddHBand="0" w:evenHBand="1" w:firstRowFirstColumn="0" w:firstRowLastColumn="0" w:lastRowFirstColumn="0" w:lastRowLastColumn="0"/>
          <w:trHeight w:val="395"/>
        </w:trPr>
        <w:tc>
          <w:tcPr>
            <w:tcW w:w="1406" w:type="pct"/>
            <w:hideMark/>
          </w:tcPr>
          <w:p w14:paraId="68641471" w14:textId="7D8D5ADC" w:rsidR="00DD3492" w:rsidRPr="008277D4" w:rsidRDefault="00DD3492" w:rsidP="00DD3492">
            <w:pPr>
              <w:pStyle w:val="BodyText"/>
              <w:spacing w:before="0" w:after="0"/>
              <w:rPr>
                <w:lang w:val="en-US"/>
              </w:rPr>
            </w:pPr>
            <w:r w:rsidRPr="00816F1D">
              <w:t>Projected Net Annual Natural Gas Savings (</w:t>
            </w:r>
            <w:r>
              <w:t>t</w:t>
            </w:r>
            <w:r w:rsidRPr="005F3441">
              <w:t>herms</w:t>
            </w:r>
            <w:r w:rsidRPr="00816F1D">
              <w:t>)</w:t>
            </w:r>
          </w:p>
        </w:tc>
        <w:tc>
          <w:tcPr>
            <w:tcW w:w="1226" w:type="pct"/>
            <w:hideMark/>
          </w:tcPr>
          <w:p w14:paraId="627131AE" w14:textId="60507E69" w:rsidR="00DD3492" w:rsidRPr="008277D4" w:rsidRDefault="00DD3492" w:rsidP="00DD3492">
            <w:pPr>
              <w:pStyle w:val="BodyText"/>
              <w:spacing w:before="0" w:after="0"/>
              <w:rPr>
                <w:lang w:val="en-US"/>
              </w:rPr>
            </w:pPr>
            <w:r>
              <w:t>422,080</w:t>
            </w:r>
          </w:p>
        </w:tc>
        <w:tc>
          <w:tcPr>
            <w:tcW w:w="1107" w:type="pct"/>
            <w:hideMark/>
          </w:tcPr>
          <w:p w14:paraId="2B8BB901" w14:textId="75E85809" w:rsidR="00DD3492" w:rsidRPr="008277D4" w:rsidRDefault="00FF4446" w:rsidP="00DD3492">
            <w:pPr>
              <w:pStyle w:val="BodyText"/>
              <w:spacing w:before="0" w:after="0"/>
              <w:rPr>
                <w:lang w:val="en-US"/>
              </w:rPr>
            </w:pPr>
            <w:r>
              <w:rPr>
                <w:lang w:val="en-US"/>
              </w:rPr>
              <w:t>54</w:t>
            </w:r>
            <w:r w:rsidR="00E65A11">
              <w:rPr>
                <w:lang w:val="en-US"/>
              </w:rPr>
              <w:t>0</w:t>
            </w:r>
          </w:p>
        </w:tc>
        <w:tc>
          <w:tcPr>
            <w:tcW w:w="1260" w:type="pct"/>
            <w:hideMark/>
          </w:tcPr>
          <w:p w14:paraId="2A451835" w14:textId="1C35977C" w:rsidR="00DD3492" w:rsidRPr="008277D4" w:rsidRDefault="00E65A11" w:rsidP="00DD3492">
            <w:pPr>
              <w:pStyle w:val="BodyText"/>
              <w:spacing w:before="0" w:after="0"/>
              <w:rPr>
                <w:lang w:val="en-US"/>
              </w:rPr>
            </w:pPr>
            <w:r>
              <w:rPr>
                <w:lang w:val="en-US"/>
              </w:rPr>
              <w:t>0.1%</w:t>
            </w:r>
          </w:p>
        </w:tc>
      </w:tr>
      <w:tr w:rsidR="00DD3492" w:rsidRPr="008277D4" w14:paraId="50FB31C1" w14:textId="77777777" w:rsidTr="00577E10">
        <w:trPr>
          <w:cnfStyle w:val="000000100000" w:firstRow="0" w:lastRow="0" w:firstColumn="0" w:lastColumn="0" w:oddVBand="0" w:evenVBand="0" w:oddHBand="1" w:evenHBand="0" w:firstRowFirstColumn="0" w:firstRowLastColumn="0" w:lastRowFirstColumn="0" w:lastRowLastColumn="0"/>
          <w:trHeight w:val="395"/>
        </w:trPr>
        <w:tc>
          <w:tcPr>
            <w:tcW w:w="1406" w:type="pct"/>
          </w:tcPr>
          <w:p w14:paraId="728B6FA3" w14:textId="0B0E5A1D" w:rsidR="00DD3492" w:rsidRPr="00580ED2" w:rsidRDefault="00DD3492" w:rsidP="00DD3492">
            <w:pPr>
              <w:pStyle w:val="BodyText"/>
              <w:spacing w:before="0" w:after="0"/>
              <w:rPr>
                <w:bCs/>
                <w:lang w:val="en-US"/>
              </w:rPr>
            </w:pPr>
            <w:r w:rsidRPr="00756676">
              <w:rPr>
                <w:bCs/>
              </w:rPr>
              <w:t>Avg. therms/participant</w:t>
            </w:r>
          </w:p>
        </w:tc>
        <w:tc>
          <w:tcPr>
            <w:tcW w:w="1226" w:type="pct"/>
          </w:tcPr>
          <w:p w14:paraId="6A46AF7B" w14:textId="40A3C774" w:rsidR="00DD3492" w:rsidRDefault="00DD3492" w:rsidP="00DD3492">
            <w:pPr>
              <w:pStyle w:val="BodyText"/>
              <w:spacing w:before="0" w:after="0"/>
            </w:pPr>
            <w:r>
              <w:t>432</w:t>
            </w:r>
          </w:p>
        </w:tc>
        <w:tc>
          <w:tcPr>
            <w:tcW w:w="1107" w:type="pct"/>
          </w:tcPr>
          <w:p w14:paraId="34C6F7D9" w14:textId="4E59273E" w:rsidR="00DD3492" w:rsidRPr="008277D4" w:rsidRDefault="00515FA9" w:rsidP="00DD3492">
            <w:pPr>
              <w:pStyle w:val="BodyText"/>
              <w:spacing w:before="0" w:after="0"/>
              <w:rPr>
                <w:lang w:val="en-US"/>
              </w:rPr>
            </w:pPr>
            <w:r>
              <w:rPr>
                <w:lang w:val="en-US"/>
              </w:rPr>
              <w:t>270</w:t>
            </w:r>
          </w:p>
        </w:tc>
        <w:tc>
          <w:tcPr>
            <w:tcW w:w="1260" w:type="pct"/>
          </w:tcPr>
          <w:p w14:paraId="501F0477" w14:textId="449F87BC" w:rsidR="00DD3492" w:rsidRPr="008277D4" w:rsidRDefault="001E2079" w:rsidP="00DD3492">
            <w:pPr>
              <w:pStyle w:val="BodyText"/>
              <w:spacing w:before="0" w:after="0"/>
              <w:rPr>
                <w:lang w:val="en-US"/>
              </w:rPr>
            </w:pPr>
            <w:r>
              <w:rPr>
                <w:lang w:val="en-US"/>
              </w:rPr>
              <w:t>63%</w:t>
            </w:r>
          </w:p>
        </w:tc>
      </w:tr>
    </w:tbl>
    <w:p w14:paraId="0EAA7D8A" w14:textId="77777777" w:rsidR="00DD72E6" w:rsidRDefault="00DD72E6" w:rsidP="00F04375">
      <w:pPr>
        <w:pStyle w:val="BodyText"/>
        <w:rPr>
          <w:color w:val="0F204B"/>
          <w:sz w:val="26"/>
        </w:rPr>
      </w:pPr>
      <w:r>
        <w:br w:type="page"/>
      </w:r>
    </w:p>
    <w:p w14:paraId="36DFD6B9" w14:textId="4F518880" w:rsidR="00AA6B0A" w:rsidRDefault="00AA6B0A" w:rsidP="00D417F9">
      <w:pPr>
        <w:pStyle w:val="Heading1"/>
      </w:pPr>
      <w:bookmarkStart w:id="9" w:name="_Toc145923997"/>
      <w:r>
        <w:lastRenderedPageBreak/>
        <w:t>Process Evaluation</w:t>
      </w:r>
      <w:bookmarkEnd w:id="9"/>
    </w:p>
    <w:p w14:paraId="39F7BCC8" w14:textId="19064B33" w:rsidR="00AF1DFC" w:rsidRDefault="00AF1DFC" w:rsidP="00AF1DFC">
      <w:pPr>
        <w:pStyle w:val="BodyText"/>
      </w:pPr>
      <w:r w:rsidRPr="00175D33">
        <w:rPr>
          <w:lang w:val="en-US"/>
        </w:rPr>
        <w:t xml:space="preserve">DNV conducted an initial </w:t>
      </w:r>
      <w:r w:rsidR="00EF111C">
        <w:rPr>
          <w:lang w:val="en-US"/>
        </w:rPr>
        <w:t>“</w:t>
      </w:r>
      <w:r w:rsidRPr="00175D33">
        <w:rPr>
          <w:lang w:val="en-US"/>
        </w:rPr>
        <w:t>snapshot</w:t>
      </w:r>
      <w:r w:rsidR="00EF111C">
        <w:rPr>
          <w:lang w:val="en-US"/>
        </w:rPr>
        <w:t>”</w:t>
      </w:r>
      <w:r w:rsidRPr="00175D33">
        <w:rPr>
          <w:lang w:val="en-US"/>
        </w:rPr>
        <w:t xml:space="preserve"> evaluation </w:t>
      </w:r>
      <w:r w:rsidR="009414CD">
        <w:rPr>
          <w:lang w:val="en-US"/>
        </w:rPr>
        <w:t xml:space="preserve">of the P&amp;C subprogram </w:t>
      </w:r>
      <w:r w:rsidRPr="00175D33">
        <w:rPr>
          <w:lang w:val="en-US"/>
        </w:rPr>
        <w:t xml:space="preserve">in </w:t>
      </w:r>
      <w:r>
        <w:rPr>
          <w:lang w:val="en-US"/>
        </w:rPr>
        <w:t>PY1</w:t>
      </w:r>
      <w:r w:rsidRPr="00175D33">
        <w:rPr>
          <w:lang w:val="en-US"/>
        </w:rPr>
        <w:t xml:space="preserve"> to develop a more integrated view of the portfolio as a whole and to prioritize resources for more in-depth enhanced process evaluation activities in the subsequent years</w:t>
      </w:r>
      <w:r>
        <w:rPr>
          <w:lang w:val="en-US"/>
        </w:rPr>
        <w:t xml:space="preserve"> of the triennium.</w:t>
      </w:r>
    </w:p>
    <w:p w14:paraId="15B41E36" w14:textId="0507ED67" w:rsidR="00AF1DFC" w:rsidRDefault="00C175E1" w:rsidP="00024E75">
      <w:pPr>
        <w:pStyle w:val="Heading2"/>
      </w:pPr>
      <w:bookmarkStart w:id="10" w:name="_Toc122444738"/>
      <w:bookmarkStart w:id="11" w:name="_Toc145923998"/>
      <w:r>
        <w:t>Research conducted</w:t>
      </w:r>
      <w:bookmarkEnd w:id="10"/>
      <w:bookmarkEnd w:id="11"/>
    </w:p>
    <w:p w14:paraId="19E54A18" w14:textId="217F9907" w:rsidR="008150FA" w:rsidRPr="00504EE3" w:rsidRDefault="008150FA" w:rsidP="008150FA">
      <w:pPr>
        <w:pStyle w:val="BodyText"/>
      </w:pPr>
      <w:r w:rsidRPr="002378B7">
        <w:t xml:space="preserve">To assess </w:t>
      </w:r>
      <w:r w:rsidR="008253D5">
        <w:t>P&amp;C</w:t>
      </w:r>
      <w:r w:rsidRPr="002378B7">
        <w:t xml:space="preserve"> </w:t>
      </w:r>
      <w:r w:rsidR="0059697B">
        <w:t>sub</w:t>
      </w:r>
      <w:r w:rsidRPr="002378B7">
        <w:t>program processes, DNV conducted both primary and secondary data collection. Primary data collection included in-depth interviews (IDIs) with NJNG program staff</w:t>
      </w:r>
      <w:r>
        <w:t xml:space="preserve"> in June and December 2022. We used these interviews to both learn about and document staff perceptions </w:t>
      </w:r>
      <w:r w:rsidR="009414CD">
        <w:t xml:space="preserve">of </w:t>
      </w:r>
      <w:r>
        <w:t xml:space="preserve">the following: </w:t>
      </w:r>
    </w:p>
    <w:p w14:paraId="0C5834CB" w14:textId="77777777" w:rsidR="008150FA" w:rsidRDefault="008150FA" w:rsidP="008150FA">
      <w:pPr>
        <w:pStyle w:val="ListBullet"/>
      </w:pPr>
      <w:r>
        <w:t>Roles and responsibilities with the programs</w:t>
      </w:r>
    </w:p>
    <w:p w14:paraId="2EEDFA75" w14:textId="77777777" w:rsidR="008150FA" w:rsidRDefault="008150FA" w:rsidP="008150FA">
      <w:pPr>
        <w:pStyle w:val="ListBullet"/>
      </w:pPr>
      <w:r>
        <w:t>Program design and processes, including marketing and outreach</w:t>
      </w:r>
    </w:p>
    <w:p w14:paraId="7AAE2282" w14:textId="52E7C070" w:rsidR="008150FA" w:rsidRDefault="008150FA" w:rsidP="008150FA">
      <w:pPr>
        <w:pStyle w:val="ListBullet"/>
      </w:pPr>
      <w:r>
        <w:t xml:space="preserve">How, if at all, </w:t>
      </w:r>
      <w:r w:rsidR="009414CD">
        <w:t>has program delivery</w:t>
      </w:r>
      <w:r>
        <w:t xml:space="preserve"> changed since NJNG assumed implementation from the </w:t>
      </w:r>
      <w:r w:rsidR="00616410">
        <w:t xml:space="preserve">New Jersey </w:t>
      </w:r>
      <w:r>
        <w:t>Board of Public</w:t>
      </w:r>
      <w:r w:rsidR="00616410">
        <w:t xml:space="preserve"> (BPU)</w:t>
      </w:r>
      <w:r>
        <w:t xml:space="preserve"> Utilities</w:t>
      </w:r>
      <w:r w:rsidR="00616410">
        <w:t>’ New Jersey’s Clean Energy Program</w:t>
      </w:r>
      <w:r w:rsidR="000953E2">
        <w:t xml:space="preserve"> (NJCEP)</w:t>
      </w:r>
      <w:r w:rsidR="00616410">
        <w:t xml:space="preserve"> </w:t>
      </w:r>
    </w:p>
    <w:p w14:paraId="056EC46D" w14:textId="77777777" w:rsidR="00024E75" w:rsidRDefault="00024E75" w:rsidP="008150FA">
      <w:pPr>
        <w:pStyle w:val="ListBullet"/>
      </w:pPr>
      <w:r>
        <w:t>Program metrics and performance against goals</w:t>
      </w:r>
    </w:p>
    <w:p w14:paraId="05722BFE" w14:textId="77777777" w:rsidR="00024E75" w:rsidRDefault="00024E75" w:rsidP="008150FA">
      <w:pPr>
        <w:pStyle w:val="ListBullet"/>
      </w:pPr>
      <w:r>
        <w:t>Key program activities during and after PY1</w:t>
      </w:r>
    </w:p>
    <w:p w14:paraId="080E7110" w14:textId="77777777" w:rsidR="008150FA" w:rsidRDefault="008150FA" w:rsidP="008150FA">
      <w:pPr>
        <w:pStyle w:val="ListBullet"/>
      </w:pPr>
      <w:r>
        <w:t>Challenges and opportunities</w:t>
      </w:r>
    </w:p>
    <w:p w14:paraId="2D1438B9" w14:textId="77777777" w:rsidR="008150FA" w:rsidRDefault="008150FA" w:rsidP="008150FA">
      <w:pPr>
        <w:tabs>
          <w:tab w:val="left" w:pos="360"/>
        </w:tabs>
        <w:spacing w:before="40" w:after="140" w:line="280" w:lineRule="atLeast"/>
        <w:rPr>
          <w:rFonts w:eastAsia="Arial"/>
        </w:rPr>
      </w:pPr>
      <w:r>
        <w:rPr>
          <w:rFonts w:eastAsia="Arial"/>
        </w:rPr>
        <w:t xml:space="preserve">The DNV evaluation team also conducted a secondary review of the following documents: </w:t>
      </w:r>
    </w:p>
    <w:p w14:paraId="7BD0D6BD" w14:textId="77777777" w:rsidR="008150FA" w:rsidRDefault="008150FA" w:rsidP="008150FA">
      <w:pPr>
        <w:pStyle w:val="ListBullet"/>
        <w:rPr>
          <w:rFonts w:eastAsia="Arial"/>
        </w:rPr>
      </w:pPr>
      <w:r>
        <w:rPr>
          <w:rFonts w:eastAsia="Arial"/>
        </w:rPr>
        <w:t>The SAVEGREEN Project Program Plan (Settlement 12/21/2020</w:t>
      </w:r>
      <w:r w:rsidRPr="48EC445F">
        <w:rPr>
          <w:rFonts w:eastAsia="Arial"/>
        </w:rPr>
        <w:t>, approved on 3/3/2021</w:t>
      </w:r>
      <w:r>
        <w:rPr>
          <w:rFonts w:eastAsia="Arial"/>
        </w:rPr>
        <w:t>)</w:t>
      </w:r>
    </w:p>
    <w:p w14:paraId="15CB0015" w14:textId="77777777" w:rsidR="008150FA" w:rsidRDefault="008150FA" w:rsidP="008150FA">
      <w:pPr>
        <w:pStyle w:val="ListBullet"/>
        <w:rPr>
          <w:rFonts w:eastAsia="Arial"/>
        </w:rPr>
      </w:pPr>
      <w:r>
        <w:rPr>
          <w:rFonts w:eastAsia="Arial"/>
        </w:rPr>
        <w:t>Program application forms</w:t>
      </w:r>
    </w:p>
    <w:p w14:paraId="27CEDD01" w14:textId="77777777" w:rsidR="008150FA" w:rsidRDefault="008150FA" w:rsidP="008150FA">
      <w:pPr>
        <w:pStyle w:val="ListBullet"/>
        <w:rPr>
          <w:rFonts w:eastAsia="Arial"/>
        </w:rPr>
      </w:pPr>
      <w:r>
        <w:rPr>
          <w:rFonts w:eastAsia="Arial"/>
        </w:rPr>
        <w:t>The program website</w:t>
      </w:r>
      <w:r>
        <w:rPr>
          <w:rStyle w:val="FootnoteReference"/>
          <w:rFonts w:eastAsia="Arial"/>
        </w:rPr>
        <w:footnoteReference w:id="5"/>
      </w:r>
    </w:p>
    <w:p w14:paraId="6CBA59F8" w14:textId="26C6F369" w:rsidR="00B530D7" w:rsidRDefault="00B530D7" w:rsidP="008150FA">
      <w:pPr>
        <w:pStyle w:val="ListBullet"/>
        <w:rPr>
          <w:rFonts w:eastAsia="Arial"/>
        </w:rPr>
      </w:pPr>
      <w:r>
        <w:rPr>
          <w:rFonts w:eastAsia="Arial"/>
        </w:rPr>
        <w:t>NJNG’s Quarterly Reports</w:t>
      </w:r>
    </w:p>
    <w:p w14:paraId="46012BC1" w14:textId="4C9C9B7B" w:rsidR="008150FA" w:rsidRPr="00844B13" w:rsidRDefault="00B530D7" w:rsidP="008150FA">
      <w:pPr>
        <w:pStyle w:val="ListBullet"/>
        <w:rPr>
          <w:rFonts w:eastAsia="Arial"/>
        </w:rPr>
      </w:pPr>
      <w:r>
        <w:rPr>
          <w:rFonts w:eastAsia="Arial"/>
        </w:rPr>
        <w:t xml:space="preserve">NJNG’s </w:t>
      </w:r>
      <w:r w:rsidR="008150FA">
        <w:rPr>
          <w:rFonts w:eastAsia="Arial"/>
        </w:rPr>
        <w:t xml:space="preserve">Annual Progress Report for </w:t>
      </w:r>
      <w:r w:rsidR="008150FA">
        <w:t>PY1</w:t>
      </w:r>
      <w:bookmarkStart w:id="12" w:name="_Ref122113200"/>
      <w:r w:rsidR="008150FA">
        <w:rPr>
          <w:rStyle w:val="FootnoteReference"/>
        </w:rPr>
        <w:footnoteReference w:id="6"/>
      </w:r>
      <w:bookmarkEnd w:id="12"/>
    </w:p>
    <w:p w14:paraId="5DC13CFE" w14:textId="4C5A29F9" w:rsidR="00D1436A" w:rsidRDefault="00D1436A" w:rsidP="008150FA">
      <w:pPr>
        <w:pStyle w:val="Heading3"/>
      </w:pPr>
      <w:bookmarkStart w:id="13" w:name="_Toc145923999"/>
      <w:r>
        <w:t>Pro</w:t>
      </w:r>
      <w:r w:rsidR="00D05810">
        <w:t>g</w:t>
      </w:r>
      <w:r>
        <w:t xml:space="preserve">ram </w:t>
      </w:r>
      <w:r w:rsidR="003C019A">
        <w:t xml:space="preserve">theory and </w:t>
      </w:r>
      <w:r>
        <w:t>design</w:t>
      </w:r>
      <w:bookmarkEnd w:id="13"/>
    </w:p>
    <w:p w14:paraId="5CA83FAC" w14:textId="68F0E43E" w:rsidR="00254DFD" w:rsidRPr="00254DFD" w:rsidRDefault="0094375F" w:rsidP="00D1436A">
      <w:pPr>
        <w:pStyle w:val="BodyText"/>
      </w:pPr>
      <w:r w:rsidRPr="00254DFD">
        <w:t>T</w:t>
      </w:r>
      <w:r w:rsidR="00D1436A" w:rsidRPr="00254DFD">
        <w:t xml:space="preserve">he </w:t>
      </w:r>
      <w:r w:rsidR="00AE17A5" w:rsidRPr="00254DFD">
        <w:t>P&amp;C sub</w:t>
      </w:r>
      <w:r w:rsidR="00D1436A" w:rsidRPr="00254DFD">
        <w:t xml:space="preserve">program </w:t>
      </w:r>
      <w:r w:rsidRPr="00254DFD">
        <w:t>i</w:t>
      </w:r>
      <w:r w:rsidR="00D1436A" w:rsidRPr="00254DFD">
        <w:t xml:space="preserve">s </w:t>
      </w:r>
      <w:r w:rsidR="00254DFD">
        <w:t>available to all non-residential customers within NJNG’s service territory</w:t>
      </w:r>
      <w:r w:rsidR="00B26B52">
        <w:t xml:space="preserve">. </w:t>
      </w:r>
      <w:r w:rsidR="00B8587A">
        <w:t>It focuses on promoting sales and installations of efficient natural gas and/or electric equipment across all major end-use categories</w:t>
      </w:r>
      <w:r w:rsidR="00AF3A03">
        <w:t xml:space="preserve"> </w:t>
      </w:r>
      <w:r w:rsidR="002F78BD">
        <w:t>through</w:t>
      </w:r>
      <w:r w:rsidR="00AF3A03">
        <w:t xml:space="preserve"> </w:t>
      </w:r>
      <w:r w:rsidR="00A9502B">
        <w:t>financial incentives (both up-front rebates and no-interest financing</w:t>
      </w:r>
      <w:r w:rsidR="007633DD">
        <w:t xml:space="preserve"> through on-bill repayment</w:t>
      </w:r>
      <w:r w:rsidR="00A9502B">
        <w:t>)</w:t>
      </w:r>
      <w:r w:rsidR="00EA1AF5">
        <w:t>.</w:t>
      </w:r>
      <w:r w:rsidR="00A9502B">
        <w:t xml:space="preserve"> </w:t>
      </w:r>
      <w:r w:rsidR="00EA1AF5">
        <w:t xml:space="preserve"> </w:t>
      </w:r>
    </w:p>
    <w:p w14:paraId="6D11FCC9" w14:textId="4BD096E3" w:rsidR="001A62CB" w:rsidRPr="0080686B" w:rsidRDefault="009849BD" w:rsidP="00D1436A">
      <w:pPr>
        <w:pStyle w:val="BodyText"/>
      </w:pPr>
      <w:r w:rsidRPr="00D616CE">
        <w:t xml:space="preserve">The </w:t>
      </w:r>
      <w:r w:rsidRPr="003E6DCF">
        <w:t>prog</w:t>
      </w:r>
      <w:r w:rsidR="00E3700C" w:rsidRPr="003E6DCF">
        <w:t xml:space="preserve">ram </w:t>
      </w:r>
      <w:r w:rsidR="00353F8E" w:rsidRPr="003E6DCF">
        <w:t xml:space="preserve">aims to </w:t>
      </w:r>
      <w:r w:rsidR="00E3700C" w:rsidRPr="003E6DCF">
        <w:t xml:space="preserve">address </w:t>
      </w:r>
      <w:r w:rsidR="00E3700C" w:rsidRPr="0080686B">
        <w:t>several market barriers, including</w:t>
      </w:r>
      <w:r w:rsidR="001A62CB" w:rsidRPr="0080686B">
        <w:t>:</w:t>
      </w:r>
    </w:p>
    <w:p w14:paraId="608FC74D" w14:textId="71F4F869" w:rsidR="00D616CE" w:rsidRPr="0080686B" w:rsidRDefault="00D616CE" w:rsidP="00DF7C51">
      <w:pPr>
        <w:pStyle w:val="ListBullet"/>
      </w:pPr>
      <w:r w:rsidRPr="0080686B">
        <w:rPr>
          <w:i/>
        </w:rPr>
        <w:t>Initial cost of efficient equipment:</w:t>
      </w:r>
      <w:r w:rsidRPr="0080686B">
        <w:t xml:space="preserve"> </w:t>
      </w:r>
      <w:r w:rsidR="00773B42">
        <w:t>Specifically, t</w:t>
      </w:r>
      <w:r w:rsidR="007633DD" w:rsidRPr="0080686B">
        <w:t xml:space="preserve">he </w:t>
      </w:r>
      <w:r w:rsidR="00CC2B28">
        <w:t xml:space="preserve">up-front </w:t>
      </w:r>
      <w:r w:rsidR="00D80A79">
        <w:t xml:space="preserve">financial </w:t>
      </w:r>
      <w:r w:rsidR="007633DD" w:rsidRPr="0080686B">
        <w:t xml:space="preserve">incentives and access to </w:t>
      </w:r>
      <w:r w:rsidR="007217E4">
        <w:t xml:space="preserve">no-interest financing through </w:t>
      </w:r>
      <w:r w:rsidR="007633DD" w:rsidRPr="0080686B">
        <w:t>on-bill repayment</w:t>
      </w:r>
      <w:r w:rsidRPr="0080686B">
        <w:t xml:space="preserve"> </w:t>
      </w:r>
      <w:r w:rsidR="006C3D93">
        <w:t>(</w:t>
      </w:r>
      <w:r w:rsidR="000331EC">
        <w:t xml:space="preserve">up to 5 years and $130,000) </w:t>
      </w:r>
      <w:r w:rsidRPr="0080686B">
        <w:t>are intended to mitigate this customer barrier.</w:t>
      </w:r>
    </w:p>
    <w:p w14:paraId="3B281026" w14:textId="4C53E4ED" w:rsidR="001A62CB" w:rsidRPr="00D278EE" w:rsidRDefault="001A62CB" w:rsidP="00DF7C51">
      <w:pPr>
        <w:pStyle w:val="ListBullet"/>
      </w:pPr>
      <w:r w:rsidRPr="0080686B">
        <w:rPr>
          <w:i/>
        </w:rPr>
        <w:t>Customer awareness and engagement</w:t>
      </w:r>
      <w:r w:rsidR="00FF1F79" w:rsidRPr="0080686B">
        <w:rPr>
          <w:i/>
        </w:rPr>
        <w:t>:</w:t>
      </w:r>
      <w:r w:rsidR="00FF1F79" w:rsidRPr="0080686B">
        <w:t xml:space="preserve"> </w:t>
      </w:r>
      <w:r w:rsidR="0015692C" w:rsidRPr="0080686B">
        <w:t xml:space="preserve">To mitigate these barriers, NJNG </w:t>
      </w:r>
      <w:r w:rsidR="0080686B" w:rsidRPr="0080686B">
        <w:t xml:space="preserve">pursues </w:t>
      </w:r>
      <w:r w:rsidR="005A46CB" w:rsidRPr="0080686B">
        <w:t>customer</w:t>
      </w:r>
      <w:r w:rsidR="001B3408" w:rsidRPr="0080686B">
        <w:t xml:space="preserve"> </w:t>
      </w:r>
      <w:r w:rsidR="005A46CB" w:rsidRPr="0080686B">
        <w:t xml:space="preserve">education on the benefits of installing efficient equipment </w:t>
      </w:r>
      <w:r w:rsidR="0080686B" w:rsidRPr="0080686B">
        <w:t>as well as</w:t>
      </w:r>
      <w:r w:rsidR="005A46CB" w:rsidRPr="0080686B">
        <w:t xml:space="preserve"> </w:t>
      </w:r>
      <w:r w:rsidR="001B3408" w:rsidRPr="0080686B">
        <w:t>outreac</w:t>
      </w:r>
      <w:r w:rsidR="00003BF9" w:rsidRPr="0080686B">
        <w:t xml:space="preserve">h to trade allies to ensure awareness of incentives and </w:t>
      </w:r>
      <w:r w:rsidR="00003BF9" w:rsidRPr="00D278EE">
        <w:t>preparation to serve customers</w:t>
      </w:r>
      <w:r w:rsidR="00CF5CE3" w:rsidRPr="00D278EE">
        <w:t>.</w:t>
      </w:r>
    </w:p>
    <w:p w14:paraId="64FA9A57" w14:textId="0DD0DE37" w:rsidR="009849BD" w:rsidRPr="00D278EE" w:rsidRDefault="001A62CB" w:rsidP="00DF7C51">
      <w:pPr>
        <w:pStyle w:val="ListBullet"/>
        <w:rPr>
          <w:i/>
          <w:iCs/>
        </w:rPr>
      </w:pPr>
      <w:r w:rsidRPr="00D278EE">
        <w:rPr>
          <w:i/>
          <w:iCs/>
        </w:rPr>
        <w:t xml:space="preserve">Landlord/tenant </w:t>
      </w:r>
      <w:r w:rsidR="001F767E" w:rsidRPr="00D278EE">
        <w:rPr>
          <w:i/>
          <w:iCs/>
        </w:rPr>
        <w:t xml:space="preserve">arrangements: </w:t>
      </w:r>
      <w:r w:rsidR="00282D03">
        <w:t xml:space="preserve">The program aims to market to both </w:t>
      </w:r>
      <w:r w:rsidR="00282D03" w:rsidRPr="00E06EC3">
        <w:t xml:space="preserve">landlords and tenants to </w:t>
      </w:r>
      <w:r w:rsidR="00282D03">
        <w:t>help deal with the challenge of s</w:t>
      </w:r>
      <w:r w:rsidR="00282D03" w:rsidRPr="00F2019B">
        <w:t xml:space="preserve">plit incentives </w:t>
      </w:r>
      <w:r w:rsidR="00282D03">
        <w:t>(meaning,</w:t>
      </w:r>
      <w:r w:rsidR="00282D03" w:rsidRPr="00F2019B">
        <w:t xml:space="preserve"> who pays for energy use </w:t>
      </w:r>
      <w:r w:rsidR="00282D03">
        <w:t xml:space="preserve">and will thus reap the benefits of participating </w:t>
      </w:r>
      <w:r w:rsidR="00282D03" w:rsidRPr="00F2019B">
        <w:t>versus who owns the energy-using equipment</w:t>
      </w:r>
      <w:r w:rsidR="00282D03">
        <w:t>).</w:t>
      </w:r>
    </w:p>
    <w:p w14:paraId="3AD03400" w14:textId="72E73A67" w:rsidR="00024E75" w:rsidRDefault="00024E75" w:rsidP="008150FA">
      <w:pPr>
        <w:pStyle w:val="Heading3"/>
      </w:pPr>
      <w:bookmarkStart w:id="14" w:name="_Toc145924000"/>
      <w:r>
        <w:lastRenderedPageBreak/>
        <w:t xml:space="preserve">Program </w:t>
      </w:r>
      <w:r w:rsidR="00130EE2">
        <w:t>delivery</w:t>
      </w:r>
      <w:r w:rsidR="00522308">
        <w:t xml:space="preserve"> and changes</w:t>
      </w:r>
      <w:bookmarkEnd w:id="14"/>
    </w:p>
    <w:p w14:paraId="0EB57362" w14:textId="731C04BA" w:rsidR="0098741F" w:rsidRPr="00114E57" w:rsidRDefault="00CF50FA" w:rsidP="00C22EB6">
      <w:pPr>
        <w:pStyle w:val="BodyText"/>
      </w:pPr>
      <w:r w:rsidRPr="00114E57">
        <w:t xml:space="preserve">NJNG does not utilize third-party implementers for the </w:t>
      </w:r>
      <w:r w:rsidR="000C491D">
        <w:t>P&amp;C sub</w:t>
      </w:r>
      <w:r w:rsidRPr="00114E57">
        <w:t>program</w:t>
      </w:r>
      <w:r w:rsidR="00187C32" w:rsidRPr="00114E57">
        <w:t>, instead implem</w:t>
      </w:r>
      <w:r w:rsidR="005507DD" w:rsidRPr="00114E57">
        <w:t>en</w:t>
      </w:r>
      <w:r w:rsidR="00187C32" w:rsidRPr="00114E57">
        <w:t xml:space="preserve">ting </w:t>
      </w:r>
      <w:r w:rsidR="00B95F37" w:rsidRPr="00114E57">
        <w:t xml:space="preserve">it </w:t>
      </w:r>
      <w:r w:rsidR="00187C32" w:rsidRPr="00114E57">
        <w:t xml:space="preserve">in-house primarily with a team of </w:t>
      </w:r>
      <w:r w:rsidR="00B95F37" w:rsidRPr="00114E57">
        <w:t xml:space="preserve">six </w:t>
      </w:r>
      <w:r w:rsidR="003B4853" w:rsidRPr="00114E57">
        <w:t>staff members (</w:t>
      </w:r>
      <w:r w:rsidR="003F0FF9" w:rsidRPr="00114E57">
        <w:t>wh</w:t>
      </w:r>
      <w:r w:rsidR="003F0FF9">
        <w:t>o</w:t>
      </w:r>
      <w:r w:rsidR="003F0FF9" w:rsidRPr="00114E57">
        <w:t xml:space="preserve"> </w:t>
      </w:r>
      <w:r w:rsidR="00D3657E" w:rsidRPr="00114E57">
        <w:t>are involved in all C&amp;I programs)</w:t>
      </w:r>
      <w:r w:rsidRPr="00114E57">
        <w:t>.</w:t>
      </w:r>
      <w:r w:rsidR="00863264" w:rsidRPr="00114E57">
        <w:t xml:space="preserve"> NJNG’s</w:t>
      </w:r>
      <w:r w:rsidR="00024E75" w:rsidRPr="00114E57">
        <w:t xml:space="preserve"> </w:t>
      </w:r>
      <w:r w:rsidR="00863264" w:rsidRPr="00114E57">
        <w:t>Director of Energy Efficiency</w:t>
      </w:r>
      <w:r w:rsidR="00024E75" w:rsidRPr="00114E57">
        <w:t xml:space="preserve"> expressed a preference for this internal delivery approach, stating that it fosters an ability to cultivate closer customer relationships </w:t>
      </w:r>
      <w:r w:rsidR="00863264" w:rsidRPr="00114E57">
        <w:t>as well as</w:t>
      </w:r>
      <w:r w:rsidR="00024E75" w:rsidRPr="00114E57">
        <w:t xml:space="preserve"> provide information and address any complaints directly with the customer. </w:t>
      </w:r>
    </w:p>
    <w:p w14:paraId="4FC33601" w14:textId="6EF69562" w:rsidR="001E29B3" w:rsidRPr="001E29B3" w:rsidRDefault="001E29B3" w:rsidP="00C22EB6">
      <w:pPr>
        <w:pStyle w:val="BodyText"/>
      </w:pPr>
      <w:r w:rsidRPr="001E29B3">
        <w:t>While the NJNG staff administer</w:t>
      </w:r>
      <w:r w:rsidR="00571CF8">
        <w:t>s</w:t>
      </w:r>
      <w:r w:rsidRPr="001E29B3">
        <w:t xml:space="preserve"> and implement</w:t>
      </w:r>
      <w:r w:rsidR="00571CF8">
        <w:t>s</w:t>
      </w:r>
      <w:r w:rsidRPr="001E29B3">
        <w:t xml:space="preserve"> the P&amp;C subprogram, any licensed contractor </w:t>
      </w:r>
      <w:r>
        <w:t xml:space="preserve">can </w:t>
      </w:r>
      <w:r w:rsidR="00F92B28">
        <w:t xml:space="preserve">offer customers rebates for qualifying </w:t>
      </w:r>
      <w:r w:rsidR="00C94346">
        <w:t>Prescriptive equipment (without direct NJNG involvement)</w:t>
      </w:r>
      <w:r w:rsidR="00571CF8">
        <w:t>,</w:t>
      </w:r>
      <w:r w:rsidR="00C94346">
        <w:t xml:space="preserve"> </w:t>
      </w:r>
      <w:r w:rsidR="00141C6A">
        <w:t>and any approved contractor can offer the on-bill repayment.</w:t>
      </w:r>
    </w:p>
    <w:p w14:paraId="0FF9F991" w14:textId="08BD2F1F" w:rsidR="002E1E91" w:rsidRPr="002E1E91" w:rsidRDefault="00465EC7" w:rsidP="00C22EB6">
      <w:pPr>
        <w:pStyle w:val="BodyText"/>
      </w:pPr>
      <w:r>
        <w:t>The</w:t>
      </w:r>
      <w:r w:rsidR="00094554">
        <w:t xml:space="preserve"> previous</w:t>
      </w:r>
      <w:r>
        <w:t xml:space="preserve"> </w:t>
      </w:r>
      <w:proofErr w:type="gramStart"/>
      <w:r w:rsidR="003122C0">
        <w:t xml:space="preserve">NJCEP </w:t>
      </w:r>
      <w:r>
        <w:t xml:space="preserve"> </w:t>
      </w:r>
      <w:r w:rsidR="000B4147">
        <w:t>program</w:t>
      </w:r>
      <w:proofErr w:type="gramEnd"/>
      <w:r w:rsidR="000B4147">
        <w:t xml:space="preserve"> portfolio did not include </w:t>
      </w:r>
      <w:r w:rsidR="00BE45D0">
        <w:t xml:space="preserve">a </w:t>
      </w:r>
      <w:r w:rsidR="00F77B61">
        <w:t>specific</w:t>
      </w:r>
      <w:r w:rsidR="00BE45D0">
        <w:t xml:space="preserve"> “Prescriptive and Custom Measures” program; rather,</w:t>
      </w:r>
      <w:r w:rsidR="002E1E91" w:rsidRPr="002E1E91">
        <w:t xml:space="preserve"> </w:t>
      </w:r>
      <w:r w:rsidR="00BC1DF1">
        <w:t xml:space="preserve">a few </w:t>
      </w:r>
      <w:r w:rsidR="00F13AA2">
        <w:t xml:space="preserve">separate </w:t>
      </w:r>
      <w:r w:rsidR="00BC1DF1">
        <w:t>programs, including SmartStart Existing Buildings (SSB), Custom Tailored Energy Efficiency Program (CTEEP), and Pay for Performance Existing Buildings (</w:t>
      </w:r>
      <w:r w:rsidR="00B46DE9">
        <w:t>P4PEB)</w:t>
      </w:r>
      <w:r w:rsidR="00FF2D61">
        <w:t xml:space="preserve">, contained </w:t>
      </w:r>
      <w:r w:rsidR="00F13AA2">
        <w:t xml:space="preserve">custom and prescriptive measures. According to NJNG staff, </w:t>
      </w:r>
      <w:r w:rsidR="0095442B">
        <w:t xml:space="preserve">the </w:t>
      </w:r>
      <w:r w:rsidR="007430B8">
        <w:t>p</w:t>
      </w:r>
      <w:r w:rsidR="0095442B">
        <w:t xml:space="preserve">rescriptive </w:t>
      </w:r>
      <w:r w:rsidR="007430B8">
        <w:t>measures</w:t>
      </w:r>
      <w:r w:rsidR="0095442B">
        <w:t xml:space="preserve"> </w:t>
      </w:r>
      <w:r w:rsidR="005530AA">
        <w:t xml:space="preserve">offered by the P&amp;C subprogram in PY1 are </w:t>
      </w:r>
      <w:r w:rsidR="002F76C6">
        <w:t xml:space="preserve">extremely </w:t>
      </w:r>
      <w:proofErr w:type="gramStart"/>
      <w:r w:rsidR="002F76C6">
        <w:t>similar to</w:t>
      </w:r>
      <w:proofErr w:type="gramEnd"/>
      <w:r w:rsidR="002F76C6">
        <w:t xml:space="preserve"> the offerings across </w:t>
      </w:r>
      <w:r w:rsidR="00ED2C54">
        <w:t>those</w:t>
      </w:r>
      <w:r w:rsidR="002F76C6">
        <w:t xml:space="preserve"> previous programs. </w:t>
      </w:r>
      <w:r w:rsidR="00200F3B">
        <w:t xml:space="preserve">Compared to the previous custom measures, </w:t>
      </w:r>
      <w:r w:rsidR="008D2240">
        <w:t>NJNG staff said</w:t>
      </w:r>
      <w:r w:rsidR="00200F3B">
        <w:t xml:space="preserve"> the P&amp;C subprogram has more flexibility in </w:t>
      </w:r>
      <w:r w:rsidR="003268B5">
        <w:t xml:space="preserve">addition to </w:t>
      </w:r>
      <w:r w:rsidR="000509F5">
        <w:t xml:space="preserve">covering larger projects with larger financial thresholds. </w:t>
      </w:r>
    </w:p>
    <w:p w14:paraId="420BDCFF" w14:textId="40510711" w:rsidR="00DE3934" w:rsidRPr="002C5D9C" w:rsidRDefault="00E6031F" w:rsidP="00C22EB6">
      <w:pPr>
        <w:pStyle w:val="BodyText"/>
      </w:pPr>
      <w:r w:rsidRPr="002C5D9C">
        <w:t xml:space="preserve">Because </w:t>
      </w:r>
      <w:r w:rsidR="00242821" w:rsidRPr="002C5D9C">
        <w:t xml:space="preserve">it </w:t>
      </w:r>
      <w:r w:rsidRPr="002C5D9C">
        <w:t xml:space="preserve">is a “core” program, </w:t>
      </w:r>
      <w:r w:rsidR="00242821" w:rsidRPr="002C5D9C">
        <w:t xml:space="preserve">NJNG implements the </w:t>
      </w:r>
      <w:r w:rsidR="004C73B2">
        <w:t>P&amp;</w:t>
      </w:r>
      <w:r w:rsidR="00242821" w:rsidRPr="002C5D9C">
        <w:t xml:space="preserve">C </w:t>
      </w:r>
      <w:r w:rsidR="00D924DE">
        <w:t>sub</w:t>
      </w:r>
      <w:r w:rsidR="005A486B">
        <w:t>p</w:t>
      </w:r>
      <w:r w:rsidR="00242821" w:rsidRPr="002C5D9C">
        <w:t xml:space="preserve">rogram in </w:t>
      </w:r>
      <w:r w:rsidR="00525A59" w:rsidRPr="002C5D9C">
        <w:t xml:space="preserve">a similar fashion as </w:t>
      </w:r>
      <w:r w:rsidR="00242821" w:rsidRPr="002C5D9C">
        <w:t xml:space="preserve">other investor-owned utilities </w:t>
      </w:r>
      <w:r w:rsidR="00E50C1A" w:rsidRPr="002C5D9C">
        <w:t xml:space="preserve">in the </w:t>
      </w:r>
      <w:r w:rsidR="008772CB">
        <w:t>S</w:t>
      </w:r>
      <w:r w:rsidR="00E50C1A" w:rsidRPr="002C5D9C">
        <w:t xml:space="preserve">tate (the “joint utilities”). </w:t>
      </w:r>
      <w:r w:rsidR="00DE3934" w:rsidRPr="002C5D9C">
        <w:t>As such, NJNG cannot unilaterally make changes to the program without approval by the joint utilities.</w:t>
      </w:r>
      <w:r w:rsidR="008F6D6B" w:rsidRPr="002C5D9C">
        <w:t xml:space="preserve"> </w:t>
      </w:r>
      <w:r w:rsidR="001C08B7" w:rsidRPr="002C5D9C">
        <w:t xml:space="preserve">Additionally, while NJNG does not work directly </w:t>
      </w:r>
      <w:r w:rsidR="00A01737" w:rsidRPr="002C5D9C">
        <w:t>on</w:t>
      </w:r>
      <w:r w:rsidR="002C5D9C" w:rsidRPr="002C5D9C">
        <w:t xml:space="preserve"> P&amp;C</w:t>
      </w:r>
      <w:r w:rsidR="00A01737" w:rsidRPr="002C5D9C">
        <w:t xml:space="preserve"> projects with customers’ electric utilities, those utilities are responsible for covering the costs of any electric savings achieved through </w:t>
      </w:r>
      <w:r w:rsidR="00123D86" w:rsidRPr="002C5D9C">
        <w:t>NJNG projects through the statewide coordinator system</w:t>
      </w:r>
      <w:r w:rsidR="00FA7286">
        <w:t xml:space="preserve">, and NJNG can </w:t>
      </w:r>
      <w:r w:rsidR="00ED0785">
        <w:t xml:space="preserve">offer financing </w:t>
      </w:r>
      <w:r w:rsidR="004E1129">
        <w:t>(via on-bill repayment)</w:t>
      </w:r>
      <w:r w:rsidR="00ED0785">
        <w:t xml:space="preserve"> for the entirety of </w:t>
      </w:r>
      <w:r w:rsidR="004E1129">
        <w:t xml:space="preserve">the project, including measures with electric </w:t>
      </w:r>
      <w:r w:rsidR="0042347F">
        <w:t>savings</w:t>
      </w:r>
      <w:r w:rsidR="00123D86" w:rsidRPr="002C5D9C">
        <w:t>.</w:t>
      </w:r>
    </w:p>
    <w:p w14:paraId="7C6C3CC2" w14:textId="421A8ABC" w:rsidR="00910709" w:rsidRDefault="003C019A" w:rsidP="008150FA">
      <w:pPr>
        <w:pStyle w:val="Heading3"/>
      </w:pPr>
      <w:bookmarkStart w:id="15" w:name="_Toc145924001"/>
      <w:r>
        <w:t>M</w:t>
      </w:r>
      <w:r w:rsidR="00D1436A">
        <w:t>arketing and outreach</w:t>
      </w:r>
      <w:bookmarkEnd w:id="15"/>
    </w:p>
    <w:p w14:paraId="1287F975" w14:textId="016AB546" w:rsidR="00F51BED" w:rsidRDefault="00B44654" w:rsidP="00910709">
      <w:pPr>
        <w:pStyle w:val="BodyText"/>
      </w:pPr>
      <w:r w:rsidRPr="006D31FA">
        <w:t xml:space="preserve">NJNG program staff </w:t>
      </w:r>
      <w:r w:rsidR="00293D74" w:rsidRPr="006D31FA">
        <w:t xml:space="preserve">reported </w:t>
      </w:r>
      <w:r w:rsidR="00763DB3" w:rsidRPr="006D31FA">
        <w:t xml:space="preserve">utilizing </w:t>
      </w:r>
      <w:r w:rsidR="002B7CA3" w:rsidRPr="006D31FA">
        <w:t xml:space="preserve">various </w:t>
      </w:r>
      <w:r w:rsidR="00763DB3" w:rsidRPr="006D31FA">
        <w:t xml:space="preserve">methods to market the </w:t>
      </w:r>
      <w:r w:rsidR="001521C7" w:rsidRPr="006D31FA">
        <w:t>P&amp;C sub</w:t>
      </w:r>
      <w:r w:rsidR="00763DB3" w:rsidRPr="006D31FA">
        <w:t>program</w:t>
      </w:r>
      <w:r w:rsidR="0001399D" w:rsidRPr="006D31FA">
        <w:t xml:space="preserve"> (both to customers and contractors)</w:t>
      </w:r>
      <w:r w:rsidR="006824DA" w:rsidRPr="006D31FA">
        <w:t>, in large part through t</w:t>
      </w:r>
      <w:r w:rsidR="000165FF" w:rsidRPr="006D31FA">
        <w:t xml:space="preserve">wo program liaisons </w:t>
      </w:r>
      <w:r w:rsidR="005230E4" w:rsidRPr="006D31FA">
        <w:t xml:space="preserve">“pounding the pavement.” </w:t>
      </w:r>
      <w:r w:rsidR="0045462C" w:rsidRPr="006D31FA">
        <w:t>The liaisons</w:t>
      </w:r>
      <w:r w:rsidR="005230E4" w:rsidRPr="006D31FA">
        <w:t xml:space="preserve"> </w:t>
      </w:r>
      <w:r w:rsidR="004747B1" w:rsidRPr="006D31FA">
        <w:t xml:space="preserve">engage </w:t>
      </w:r>
      <w:r w:rsidR="0063158A">
        <w:t>with</w:t>
      </w:r>
      <w:r w:rsidR="004747B1" w:rsidRPr="006D31FA">
        <w:t xml:space="preserve"> local and regional chambers of commerce and </w:t>
      </w:r>
      <w:r w:rsidR="00DC5C3F" w:rsidRPr="006D31FA">
        <w:t xml:space="preserve">appear </w:t>
      </w:r>
      <w:r w:rsidR="004747B1" w:rsidRPr="006D31FA">
        <w:t>at sustainability events an</w:t>
      </w:r>
      <w:r w:rsidR="007C0EF4" w:rsidRPr="006D31FA">
        <w:t xml:space="preserve">d other town events or fairs. </w:t>
      </w:r>
      <w:r w:rsidR="004D5B33">
        <w:t xml:space="preserve">Further, </w:t>
      </w:r>
      <w:r w:rsidR="00FC362C">
        <w:t>the prog</w:t>
      </w:r>
      <w:r w:rsidR="00303EC6">
        <w:t>r</w:t>
      </w:r>
      <w:r w:rsidR="00FC362C">
        <w:t xml:space="preserve">am’s marketing manager </w:t>
      </w:r>
      <w:r w:rsidR="00540FF8">
        <w:t xml:space="preserve">performs outreach through multiple channels, including social media. </w:t>
      </w:r>
    </w:p>
    <w:p w14:paraId="20740DEF" w14:textId="3651ABBA" w:rsidR="00024C74" w:rsidRDefault="00B61E4D" w:rsidP="00910709">
      <w:pPr>
        <w:pStyle w:val="BodyText"/>
      </w:pPr>
      <w:r w:rsidRPr="006D31FA">
        <w:t>The program website (</w:t>
      </w:r>
      <w:r w:rsidR="00B30A52">
        <w:t xml:space="preserve">currently </w:t>
      </w:r>
      <w:r w:rsidR="00A7509D" w:rsidRPr="006D31FA">
        <w:t xml:space="preserve">being revamped) </w:t>
      </w:r>
      <w:r w:rsidRPr="006D31FA">
        <w:t xml:space="preserve">includes </w:t>
      </w:r>
      <w:r w:rsidR="001521C7" w:rsidRPr="006D31FA">
        <w:t>P&amp;C</w:t>
      </w:r>
      <w:r w:rsidR="00A7509D" w:rsidRPr="006D31FA">
        <w:t xml:space="preserve">-specific content. Additionally, a C&amp;I portfolio “one sheet” marketing material </w:t>
      </w:r>
      <w:r w:rsidR="004567E0" w:rsidRPr="006D31FA">
        <w:t xml:space="preserve">includes </w:t>
      </w:r>
      <w:r w:rsidR="001521C7" w:rsidRPr="006D31FA">
        <w:t>P&amp;C</w:t>
      </w:r>
      <w:r w:rsidR="004567E0" w:rsidRPr="006D31FA">
        <w:t xml:space="preserve"> program information</w:t>
      </w:r>
      <w:r w:rsidR="006D31FA" w:rsidRPr="006D31FA">
        <w:t>.</w:t>
      </w:r>
      <w:r w:rsidR="000A17EC" w:rsidRPr="006D31FA">
        <w:t xml:space="preserve"> </w:t>
      </w:r>
      <w:r w:rsidR="00383305">
        <w:t xml:space="preserve">A quarterly bill insert for commercial customers also includes program information. </w:t>
      </w:r>
    </w:p>
    <w:p w14:paraId="68D93D08" w14:textId="6AB4D4B9" w:rsidR="00CA779E" w:rsidRDefault="006D31FA" w:rsidP="00910709">
      <w:pPr>
        <w:pStyle w:val="BodyText"/>
      </w:pPr>
      <w:r>
        <w:t xml:space="preserve">Finally, </w:t>
      </w:r>
      <w:r w:rsidR="00024C74">
        <w:t xml:space="preserve">according to program staff, a major focus in PY1 involved building relationships </w:t>
      </w:r>
      <w:r w:rsidR="00A91EA8">
        <w:t xml:space="preserve">with </w:t>
      </w:r>
      <w:r w:rsidR="00024C74">
        <w:t>contractors</w:t>
      </w:r>
      <w:r w:rsidR="00E54D87">
        <w:t>,</w:t>
      </w:r>
      <w:r w:rsidR="006616FE">
        <w:t xml:space="preserve"> </w:t>
      </w:r>
      <w:r w:rsidR="00E54D87">
        <w:t>as</w:t>
      </w:r>
      <w:r w:rsidR="00300156">
        <w:t xml:space="preserve"> </w:t>
      </w:r>
      <w:r>
        <w:t>a</w:t>
      </w:r>
      <w:r w:rsidR="00813C2F" w:rsidRPr="006D31FA">
        <w:t>ny licen</w:t>
      </w:r>
      <w:r w:rsidR="00F51BED">
        <w:t>s</w:t>
      </w:r>
      <w:r w:rsidR="00813C2F" w:rsidRPr="006D31FA">
        <w:t xml:space="preserve">ed </w:t>
      </w:r>
      <w:r w:rsidR="000A17EC" w:rsidRPr="006D31FA">
        <w:t xml:space="preserve">contractor can also market </w:t>
      </w:r>
      <w:r w:rsidR="00AA3275">
        <w:t>the subprogram</w:t>
      </w:r>
      <w:r w:rsidR="000A17EC" w:rsidRPr="007A22FF">
        <w:t xml:space="preserve"> directly to customers without direct NJNG involvement.</w:t>
      </w:r>
    </w:p>
    <w:p w14:paraId="5C2C09C1" w14:textId="71B468EF" w:rsidR="00A933F9" w:rsidRDefault="008150FA" w:rsidP="008150FA">
      <w:pPr>
        <w:pStyle w:val="Heading3"/>
      </w:pPr>
      <w:bookmarkStart w:id="16" w:name="_Toc145924002"/>
      <w:r>
        <w:t>Tracking metrics and performance</w:t>
      </w:r>
      <w:bookmarkEnd w:id="16"/>
    </w:p>
    <w:p w14:paraId="7183EF32" w14:textId="2772F643" w:rsidR="0053536B" w:rsidRDefault="0053536B" w:rsidP="0053536B">
      <w:pPr>
        <w:pStyle w:val="BodyText"/>
      </w:pPr>
      <w:r>
        <w:t>Program staff explained that NJNG is bound by the June 10, 2020</w:t>
      </w:r>
      <w:r w:rsidR="006D2FA6">
        <w:t>,</w:t>
      </w:r>
      <w:r>
        <w:t xml:space="preserve"> BPU order to report program metrics within </w:t>
      </w:r>
      <w:r w:rsidR="002D0327">
        <w:t xml:space="preserve">75 </w:t>
      </w:r>
      <w:r w:rsidR="00D45095">
        <w:t>days</w:t>
      </w:r>
      <w:r w:rsidR="00D45095">
        <w:rPr>
          <w:rStyle w:val="FootnoteReference"/>
        </w:rPr>
        <w:footnoteReference w:id="7"/>
      </w:r>
      <w:r w:rsidR="00D45095">
        <w:t xml:space="preserve"> </w:t>
      </w:r>
      <w:r>
        <w:t xml:space="preserve">of </w:t>
      </w:r>
      <w:r w:rsidR="0016039E">
        <w:t>each program year's close, which runs</w:t>
      </w:r>
      <w:r>
        <w:t xml:space="preserve"> from July 1 through June 30. The C&amp;I subprogram tracks </w:t>
      </w:r>
      <w:r w:rsidR="00785E71">
        <w:t xml:space="preserve">metrics related to gas savings, customer participation, invested dollars, administrative costs, </w:t>
      </w:r>
      <w:r>
        <w:t xml:space="preserve">and </w:t>
      </w:r>
      <w:r w:rsidR="00785E71">
        <w:t>other qualit</w:t>
      </w:r>
      <w:r w:rsidR="0016039E">
        <w:t>ativ</w:t>
      </w:r>
      <w:r w:rsidR="00785E71">
        <w:t xml:space="preserve">e performance </w:t>
      </w:r>
      <w:r w:rsidR="00A40AAF">
        <w:t xml:space="preserve">indicators. </w:t>
      </w:r>
      <w:r w:rsidR="0016039E">
        <w:t xml:space="preserve">NJNG </w:t>
      </w:r>
      <w:r>
        <w:t xml:space="preserve">is also required to track </w:t>
      </w:r>
      <w:r w:rsidR="0016039E">
        <w:t xml:space="preserve">the </w:t>
      </w:r>
      <w:r>
        <w:t xml:space="preserve">relative participation of overburdened communities. NJNG </w:t>
      </w:r>
      <w:r w:rsidR="00B767B2">
        <w:t xml:space="preserve">files </w:t>
      </w:r>
      <w:r>
        <w:t xml:space="preserve">quarterly reports to the BPU </w:t>
      </w:r>
      <w:r w:rsidR="00B767B2">
        <w:t>and</w:t>
      </w:r>
      <w:r>
        <w:t xml:space="preserve"> the annual evaluation report.</w:t>
      </w:r>
    </w:p>
    <w:p w14:paraId="207F1A04" w14:textId="79F2245E" w:rsidR="00A933F9" w:rsidRPr="00F234F5" w:rsidRDefault="00803355" w:rsidP="00A933F9">
      <w:pPr>
        <w:pStyle w:val="BodyText"/>
      </w:pPr>
      <w:r w:rsidRPr="00F234F5">
        <w:t>T</w:t>
      </w:r>
      <w:r w:rsidR="00A933F9" w:rsidRPr="00F234F5">
        <w:t xml:space="preserve">he SAVEGREEN </w:t>
      </w:r>
      <w:r w:rsidR="0053536B">
        <w:t>Project P</w:t>
      </w:r>
      <w:r w:rsidR="00A933F9" w:rsidRPr="00F234F5">
        <w:t xml:space="preserve">rogram </w:t>
      </w:r>
      <w:r w:rsidR="0053536B">
        <w:t>P</w:t>
      </w:r>
      <w:r w:rsidR="00A933F9" w:rsidRPr="00F234F5">
        <w:t xml:space="preserve">lan forecasted </w:t>
      </w:r>
      <w:r w:rsidR="001A243A" w:rsidRPr="00F234F5">
        <w:t>981</w:t>
      </w:r>
      <w:r w:rsidR="00A933F9" w:rsidRPr="00F234F5">
        <w:t xml:space="preserve"> participants in PY1</w:t>
      </w:r>
      <w:r w:rsidRPr="00F234F5">
        <w:t>,</w:t>
      </w:r>
      <w:r w:rsidR="00A933F9" w:rsidRPr="00F234F5">
        <w:t xml:space="preserve"> with an estimated net annual gas savings of </w:t>
      </w:r>
      <w:r w:rsidR="00F234F5" w:rsidRPr="00F234F5">
        <w:t>422,080</w:t>
      </w:r>
      <w:r w:rsidR="00A933F9" w:rsidRPr="00F234F5">
        <w:t xml:space="preserve"> therms. The </w:t>
      </w:r>
      <w:r w:rsidR="00F234F5" w:rsidRPr="00F234F5">
        <w:t>sub</w:t>
      </w:r>
      <w:r w:rsidR="00A933F9" w:rsidRPr="00F234F5">
        <w:t xml:space="preserve">program completed </w:t>
      </w:r>
      <w:r w:rsidR="00181D30">
        <w:t>2</w:t>
      </w:r>
      <w:r w:rsidR="00A933F9" w:rsidRPr="00F234F5">
        <w:t xml:space="preserve"> projects in PY1.</w:t>
      </w:r>
      <w:r w:rsidR="002F740E">
        <w:t xml:space="preserve"> </w:t>
      </w:r>
      <w:r w:rsidR="00404B60">
        <w:t>Per the Annual filing</w:t>
      </w:r>
      <w:r w:rsidR="00404B60">
        <w:fldChar w:fldCharType="begin"/>
      </w:r>
      <w:r w:rsidR="00404B60">
        <w:instrText xml:space="preserve"> NOTEREF _Ref122113200 \f \h </w:instrText>
      </w:r>
      <w:r w:rsidR="00404B60">
        <w:fldChar w:fldCharType="separate"/>
      </w:r>
      <w:r w:rsidR="000344CB" w:rsidRPr="000344CB">
        <w:rPr>
          <w:rStyle w:val="FootnoteReference"/>
        </w:rPr>
        <w:t>5</w:t>
      </w:r>
      <w:r w:rsidR="00404B60">
        <w:fldChar w:fldCharType="end"/>
      </w:r>
      <w:r w:rsidR="00404B60">
        <w:t xml:space="preserve">, NJNG claimed 540 therms of natural </w:t>
      </w:r>
      <w:r w:rsidR="00404B60">
        <w:lastRenderedPageBreak/>
        <w:t>gas savings from 2 participants</w:t>
      </w:r>
      <w:r w:rsidR="00277BE7">
        <w:t xml:space="preserve"> in PY1.</w:t>
      </w:r>
      <w:r w:rsidR="006D1164">
        <w:t xml:space="preserve"> It </w:t>
      </w:r>
      <w:r w:rsidR="002E1D17">
        <w:t xml:space="preserve">is </w:t>
      </w:r>
      <w:r w:rsidR="006D1164">
        <w:t>worth noting</w:t>
      </w:r>
      <w:r w:rsidR="004B6216">
        <w:t xml:space="preserve"> that five</w:t>
      </w:r>
      <w:r w:rsidR="006D1164">
        <w:t xml:space="preserve"> other participants had committed but completed before the PY1 filing. </w:t>
      </w:r>
      <w:r w:rsidR="00277BE7">
        <w:t xml:space="preserve"> </w:t>
      </w:r>
    </w:p>
    <w:p w14:paraId="3D38F57E" w14:textId="0ED16C8F" w:rsidR="00D900B9" w:rsidRDefault="00D900B9" w:rsidP="008150FA">
      <w:pPr>
        <w:pStyle w:val="Heading3"/>
      </w:pPr>
      <w:bookmarkStart w:id="17" w:name="_Toc145924003"/>
      <w:r>
        <w:t xml:space="preserve">Key </w:t>
      </w:r>
      <w:r w:rsidR="00266756">
        <w:t xml:space="preserve">program </w:t>
      </w:r>
      <w:r>
        <w:t>activities</w:t>
      </w:r>
      <w:bookmarkEnd w:id="17"/>
    </w:p>
    <w:p w14:paraId="3A533E02" w14:textId="15A4CB29" w:rsidR="00CD7B89" w:rsidRPr="009C75D3" w:rsidRDefault="009C75D3" w:rsidP="00CD7B89">
      <w:pPr>
        <w:pStyle w:val="BodyText"/>
      </w:pPr>
      <w:r w:rsidRPr="009C75D3">
        <w:t xml:space="preserve">In PY1, the P&amp;C subprogram </w:t>
      </w:r>
      <w:r w:rsidR="003E4CA4">
        <w:t xml:space="preserve">secured participation agreements from </w:t>
      </w:r>
      <w:r w:rsidR="00C74535">
        <w:t xml:space="preserve">46 contractors </w:t>
      </w:r>
      <w:r w:rsidR="00AF0CB4">
        <w:t xml:space="preserve">allowing them to offer on-bill repayment to customers for </w:t>
      </w:r>
      <w:r w:rsidR="00944399">
        <w:t>completing prescriptive measures.</w:t>
      </w:r>
      <w:r w:rsidR="00877A6F">
        <w:t xml:space="preserve">  </w:t>
      </w:r>
      <w:r w:rsidR="00667A5A">
        <w:t xml:space="preserve">Contractors who have not executed a participation agreement can still offer rebates to customers.  </w:t>
      </w:r>
    </w:p>
    <w:p w14:paraId="2798B3B2" w14:textId="15B29D52" w:rsidR="00E7057E" w:rsidRDefault="00E7057E" w:rsidP="008150FA">
      <w:pPr>
        <w:pStyle w:val="Heading3"/>
      </w:pPr>
      <w:bookmarkStart w:id="18" w:name="_Ref112354433"/>
      <w:bookmarkStart w:id="19" w:name="_Toc145924004"/>
      <w:r>
        <w:t>Barriers to participation</w:t>
      </w:r>
      <w:bookmarkEnd w:id="19"/>
    </w:p>
    <w:p w14:paraId="3C152074" w14:textId="08A49778" w:rsidR="002B0E65" w:rsidRPr="00204BCE" w:rsidRDefault="002B0E65" w:rsidP="002B0E65">
      <w:pPr>
        <w:pStyle w:val="BodyText"/>
      </w:pPr>
      <w:r w:rsidRPr="00204BCE">
        <w:t>NJNG staff mentioned a few different barrier</w:t>
      </w:r>
      <w:r w:rsidR="00B047F7" w:rsidRPr="00204BCE">
        <w:t>s</w:t>
      </w:r>
      <w:r w:rsidRPr="00204BCE">
        <w:t xml:space="preserve"> to customers participating in the </w:t>
      </w:r>
      <w:r w:rsidR="00451051">
        <w:t>P&amp;C sub</w:t>
      </w:r>
      <w:r w:rsidRPr="000E4677">
        <w:t>program.</w:t>
      </w:r>
      <w:r w:rsidRPr="00204BCE">
        <w:t xml:space="preserve"> These included:</w:t>
      </w:r>
    </w:p>
    <w:p w14:paraId="5D559016" w14:textId="5CDB9982" w:rsidR="002B0E65" w:rsidRPr="000E4677" w:rsidRDefault="00DC3FF8" w:rsidP="00A23B90">
      <w:pPr>
        <w:pStyle w:val="ListNumber"/>
      </w:pPr>
      <w:r>
        <w:rPr>
          <w:i/>
          <w:iCs/>
        </w:rPr>
        <w:t>The nature of replacing</w:t>
      </w:r>
      <w:r w:rsidR="00A30A92" w:rsidRPr="000E4677">
        <w:rPr>
          <w:i/>
          <w:iCs/>
        </w:rPr>
        <w:t xml:space="preserve"> failed equipment</w:t>
      </w:r>
      <w:r w:rsidR="00E3508B" w:rsidRPr="000E4677">
        <w:rPr>
          <w:i/>
          <w:iCs/>
        </w:rPr>
        <w:t>:</w:t>
      </w:r>
      <w:r w:rsidR="00E3508B" w:rsidRPr="000E4677">
        <w:t xml:space="preserve"> </w:t>
      </w:r>
      <w:r w:rsidR="000576CC">
        <w:t>According to program staff, prescriptive measure installations</w:t>
      </w:r>
      <w:r w:rsidR="002E1D17">
        <w:t>,</w:t>
      </w:r>
      <w:r w:rsidR="000576CC">
        <w:t xml:space="preserve"> in general</w:t>
      </w:r>
      <w:r w:rsidR="00F85539">
        <w:t>,</w:t>
      </w:r>
      <w:r w:rsidR="000576CC">
        <w:t xml:space="preserve"> are dominated by replacing failed equipment</w:t>
      </w:r>
      <w:r w:rsidR="00744FC9">
        <w:t xml:space="preserve"> </w:t>
      </w:r>
      <w:r w:rsidR="006A6EE2">
        <w:t>w</w:t>
      </w:r>
      <w:r w:rsidR="00CB7386">
        <w:t xml:space="preserve">ith an associated sense of urgency </w:t>
      </w:r>
      <w:r w:rsidR="00D602D4">
        <w:t>from</w:t>
      </w:r>
      <w:r w:rsidR="00CB7386">
        <w:t xml:space="preserve"> the </w:t>
      </w:r>
      <w:r w:rsidR="00D602D4">
        <w:t>customer. In this common situation, customers tend to select</w:t>
      </w:r>
      <w:r w:rsidR="00215D7E">
        <w:t xml:space="preserve"> </w:t>
      </w:r>
      <w:r w:rsidR="00A36AD7">
        <w:t>bids based on price</w:t>
      </w:r>
      <w:r w:rsidR="00BB4C0D">
        <w:t xml:space="preserve"> and ability </w:t>
      </w:r>
      <w:r w:rsidR="002E2145">
        <w:t xml:space="preserve">to </w:t>
      </w:r>
      <w:r w:rsidR="00950AD3">
        <w:t>install quickly</w:t>
      </w:r>
      <w:r w:rsidR="009C4339">
        <w:t>, which means winning contractors of</w:t>
      </w:r>
      <w:r w:rsidR="003C5617">
        <w:t>t</w:t>
      </w:r>
      <w:r w:rsidR="009C4339">
        <w:t xml:space="preserve">en do not quote </w:t>
      </w:r>
      <w:r w:rsidR="00935487">
        <w:t>high-efficiency equipment that would qualify for program incentives.</w:t>
      </w:r>
    </w:p>
    <w:p w14:paraId="71C4E66E" w14:textId="2C866E5D" w:rsidR="00522E04" w:rsidRPr="000E4677" w:rsidRDefault="000D400A" w:rsidP="00A23B90">
      <w:pPr>
        <w:pStyle w:val="ListNumber"/>
      </w:pPr>
      <w:r>
        <w:rPr>
          <w:i/>
          <w:iCs/>
        </w:rPr>
        <w:t xml:space="preserve">Engineering studies: </w:t>
      </w:r>
      <w:r w:rsidR="00084D47">
        <w:rPr>
          <w:lang w:val="en-US"/>
        </w:rPr>
        <w:t>Custom projects require</w:t>
      </w:r>
      <w:r w:rsidR="00D950B8">
        <w:rPr>
          <w:lang w:val="en-US"/>
        </w:rPr>
        <w:t xml:space="preserve"> an application for pre-approval to confirm project eligibility and reserve funding. </w:t>
      </w:r>
      <w:r w:rsidR="008B2F00">
        <w:t>This p</w:t>
      </w:r>
      <w:r w:rsidR="00C164AF">
        <w:t>re</w:t>
      </w:r>
      <w:r w:rsidR="00403173">
        <w:t>-approval</w:t>
      </w:r>
      <w:r w:rsidRPr="000D400A">
        <w:t xml:space="preserve"> often necessitate</w:t>
      </w:r>
      <w:r w:rsidR="00C164AF">
        <w:t>s</w:t>
      </w:r>
      <w:r w:rsidRPr="000D400A">
        <w:t xml:space="preserve"> costly and time-consuming engineering studies to </w:t>
      </w:r>
      <w:r w:rsidR="002A7123">
        <w:t>verify</w:t>
      </w:r>
      <w:r w:rsidRPr="000D400A">
        <w:t xml:space="preserve"> the </w:t>
      </w:r>
      <w:r w:rsidR="002A7123">
        <w:t>potential</w:t>
      </w:r>
      <w:r w:rsidRPr="000D400A">
        <w:t xml:space="preserve"> </w:t>
      </w:r>
      <w:r w:rsidR="00575BD6">
        <w:t>energy</w:t>
      </w:r>
      <w:r w:rsidRPr="000D400A">
        <w:t xml:space="preserve"> savings, </w:t>
      </w:r>
      <w:r w:rsidR="00F85539">
        <w:t>negatively impacting</w:t>
      </w:r>
      <w:r w:rsidR="00FD2DE4">
        <w:t xml:space="preserve"> some customers’ willingness</w:t>
      </w:r>
      <w:r w:rsidRPr="000D400A">
        <w:t xml:space="preserve"> to </w:t>
      </w:r>
      <w:r w:rsidR="00FD2DE4">
        <w:t>move forward with projects</w:t>
      </w:r>
      <w:r w:rsidRPr="000D400A">
        <w:t>.</w:t>
      </w:r>
    </w:p>
    <w:p w14:paraId="36857C81" w14:textId="1CF9A0E1" w:rsidR="002B0E65" w:rsidRDefault="00347F75" w:rsidP="00A23B90">
      <w:pPr>
        <w:pStyle w:val="ListNumber"/>
      </w:pPr>
      <w:r w:rsidRPr="006C464C">
        <w:rPr>
          <w:i/>
        </w:rPr>
        <w:t>Impacts of the pandemic:</w:t>
      </w:r>
      <w:r w:rsidRPr="006C464C">
        <w:t xml:space="preserve"> </w:t>
      </w:r>
      <w:r w:rsidR="002B0E65" w:rsidRPr="006C464C">
        <w:t xml:space="preserve">NJNG staff explained that the COVID-19 pandemic </w:t>
      </w:r>
      <w:r w:rsidR="009C7DCA">
        <w:t xml:space="preserve">had multiple impacts. These included </w:t>
      </w:r>
      <w:r w:rsidR="009C7DCA" w:rsidRPr="006C464C">
        <w:t>chang</w:t>
      </w:r>
      <w:r w:rsidR="009C7DCA">
        <w:t>ing</w:t>
      </w:r>
      <w:r w:rsidR="009C7DCA" w:rsidRPr="006C464C">
        <w:t xml:space="preserve"> </w:t>
      </w:r>
      <w:r w:rsidR="002B0E65" w:rsidRPr="006C464C">
        <w:t xml:space="preserve">the way people work, resulting in </w:t>
      </w:r>
      <w:r w:rsidR="004C439C" w:rsidRPr="006C464C">
        <w:t>fewer</w:t>
      </w:r>
      <w:r w:rsidR="002B0E65" w:rsidRPr="006C464C">
        <w:t xml:space="preserve"> people working from </w:t>
      </w:r>
      <w:r w:rsidR="004C439C" w:rsidRPr="006C464C">
        <w:t>their employer’s physical workspace</w:t>
      </w:r>
      <w:r w:rsidR="00C330B5" w:rsidRPr="006C464C">
        <w:t xml:space="preserve"> and les</w:t>
      </w:r>
      <w:r w:rsidR="00A03F35" w:rsidRPr="006C464C">
        <w:t>s of a benefit to improving the energy efficiency of that space</w:t>
      </w:r>
      <w:r w:rsidR="002B0E65" w:rsidRPr="006C464C">
        <w:t>. Office buildings</w:t>
      </w:r>
      <w:proofErr w:type="gramStart"/>
      <w:r w:rsidR="00F85539">
        <w:t>,</w:t>
      </w:r>
      <w:r w:rsidR="002B0E65" w:rsidRPr="006C464C">
        <w:t xml:space="preserve"> in particular</w:t>
      </w:r>
      <w:r w:rsidR="00F85539">
        <w:t>,</w:t>
      </w:r>
      <w:r w:rsidR="002B0E65" w:rsidRPr="006C464C">
        <w:t xml:space="preserve"> saw</w:t>
      </w:r>
      <w:proofErr w:type="gramEnd"/>
      <w:r w:rsidR="002B0E65" w:rsidRPr="006C464C">
        <w:t xml:space="preserve"> a steep decrease in participation, but C&amp;I programs across the board declined during the pandemic.</w:t>
      </w:r>
      <w:r w:rsidR="009C7DCA">
        <w:t xml:space="preserve"> Another pandemic impact was supply chain disruptions </w:t>
      </w:r>
      <w:r w:rsidR="00DB6B90">
        <w:t>that delayed projects.</w:t>
      </w:r>
    </w:p>
    <w:p w14:paraId="5399C687" w14:textId="689EBC6D" w:rsidR="00600733" w:rsidRDefault="00EC4C34" w:rsidP="00CE24EE">
      <w:pPr>
        <w:pStyle w:val="BodyText"/>
      </w:pPr>
      <w:r>
        <w:t>Additionally, e</w:t>
      </w:r>
      <w:r w:rsidR="00774605">
        <w:t xml:space="preserve">valuators </w:t>
      </w:r>
      <w:r w:rsidR="00957B29">
        <w:t>identified some inaccuracies</w:t>
      </w:r>
      <w:r w:rsidR="001E1FED">
        <w:t xml:space="preserve"> </w:t>
      </w:r>
      <w:r w:rsidR="002E1D17">
        <w:t>i</w:t>
      </w:r>
      <w:r w:rsidR="001E1FED">
        <w:t>n the program application</w:t>
      </w:r>
      <w:bookmarkStart w:id="20" w:name="_Ref125129321"/>
      <w:r w:rsidR="000F2BC5">
        <w:rPr>
          <w:rStyle w:val="FootnoteReference"/>
        </w:rPr>
        <w:footnoteReference w:id="8"/>
      </w:r>
      <w:bookmarkEnd w:id="20"/>
      <w:r w:rsidR="001E1FED">
        <w:t xml:space="preserve"> </w:t>
      </w:r>
      <w:r w:rsidR="002E1D17">
        <w:t xml:space="preserve">, </w:t>
      </w:r>
      <w:r w:rsidR="00304DD2">
        <w:t xml:space="preserve">which </w:t>
      </w:r>
      <w:r w:rsidR="001E1FED">
        <w:t>may serve as a</w:t>
      </w:r>
      <w:r w:rsidR="00483898">
        <w:t xml:space="preserve"> </w:t>
      </w:r>
      <w:r w:rsidR="001E1FED">
        <w:t xml:space="preserve">barrier to customer participation. </w:t>
      </w:r>
      <w:r w:rsidR="00811D7C">
        <w:t xml:space="preserve">For example, while program staff indicated that </w:t>
      </w:r>
      <w:r w:rsidR="009248C5">
        <w:t xml:space="preserve">application </w:t>
      </w:r>
      <w:r w:rsidR="00811D7C">
        <w:t xml:space="preserve">pre-approval is not required for prescriptive rebates, the application </w:t>
      </w:r>
      <w:r w:rsidR="00F82EBF">
        <w:t>instruction</w:t>
      </w:r>
      <w:r w:rsidR="00B02321">
        <w:t>s state</w:t>
      </w:r>
      <w:r w:rsidR="00E325B6">
        <w:t>, "</w:t>
      </w:r>
      <w:r w:rsidR="00B02321">
        <w:t>Application pre-approval is required prior to purchase and installation of any prescriptive and custom measures.”</w:t>
      </w:r>
      <w:r w:rsidR="00A650FC">
        <w:t xml:space="preserve"> </w:t>
      </w:r>
      <w:r w:rsidR="00E40C31">
        <w:t xml:space="preserve">Further, </w:t>
      </w:r>
      <w:r w:rsidR="005D4939">
        <w:t xml:space="preserve">although </w:t>
      </w:r>
      <w:r w:rsidR="00E40C31">
        <w:t xml:space="preserve">the Application Final Approval and Payment Checklist </w:t>
      </w:r>
      <w:r w:rsidR="00C160E6">
        <w:t>states that both</w:t>
      </w:r>
      <w:r w:rsidR="00F16846">
        <w:t xml:space="preserve"> a W9 form and a “Tax Clearance Certificate obtained from NJ Division of Taxation” </w:t>
      </w:r>
      <w:r w:rsidR="00C160E6">
        <w:t xml:space="preserve">must be </w:t>
      </w:r>
      <w:r w:rsidR="005D4939">
        <w:t xml:space="preserve">completed or </w:t>
      </w:r>
      <w:r w:rsidR="00C160E6">
        <w:t>obtained</w:t>
      </w:r>
      <w:r w:rsidR="005D4939">
        <w:t xml:space="preserve">, program staff indicated that these </w:t>
      </w:r>
      <w:r w:rsidR="00385D75">
        <w:t xml:space="preserve">documents are not required. </w:t>
      </w:r>
      <w:r w:rsidR="001B33AB">
        <w:t xml:space="preserve">These listed requirements </w:t>
      </w:r>
      <w:r w:rsidR="00C06D40">
        <w:t xml:space="preserve">(in particular, application pre-approval for prescriptive measures) </w:t>
      </w:r>
      <w:r w:rsidR="00AE1752">
        <w:t xml:space="preserve">may give prospective customers or contractors </w:t>
      </w:r>
      <w:r w:rsidR="00E732A8">
        <w:t>a</w:t>
      </w:r>
      <w:r w:rsidR="00AE1752">
        <w:t xml:space="preserve"> </w:t>
      </w:r>
      <w:r w:rsidR="00E732A8">
        <w:t xml:space="preserve">false </w:t>
      </w:r>
      <w:r w:rsidR="00AE1752">
        <w:t xml:space="preserve">perception of </w:t>
      </w:r>
      <w:r w:rsidR="007C6052">
        <w:t>inordinate</w:t>
      </w:r>
      <w:r w:rsidR="006B3AC9">
        <w:t xml:space="preserve"> </w:t>
      </w:r>
      <w:r w:rsidR="00C06D40">
        <w:t xml:space="preserve">participation requirements and </w:t>
      </w:r>
      <w:r w:rsidR="00CC5BB5">
        <w:t xml:space="preserve">decrease their likelihood </w:t>
      </w:r>
      <w:r w:rsidR="00026B63">
        <w:t>of participating.</w:t>
      </w:r>
    </w:p>
    <w:p w14:paraId="6C6E496D" w14:textId="35A35EB0" w:rsidR="00EF21E4" w:rsidRDefault="008C77BB" w:rsidP="00CE24EE">
      <w:pPr>
        <w:pStyle w:val="BodyText"/>
      </w:pPr>
      <w:r>
        <w:t xml:space="preserve">Finally, evaluators </w:t>
      </w:r>
      <w:r w:rsidR="006065C6">
        <w:t>also identified that some key shortfalls of the program website m</w:t>
      </w:r>
      <w:r w:rsidR="00F85539">
        <w:t>ight</w:t>
      </w:r>
      <w:r w:rsidR="006065C6">
        <w:t xml:space="preserve"> also be a barrier to participation.</w:t>
      </w:r>
      <w:r w:rsidR="00EF21E4">
        <w:t xml:space="preserve"> These included:</w:t>
      </w:r>
      <w:r w:rsidR="00AC174C">
        <w:t xml:space="preserve"> </w:t>
      </w:r>
    </w:p>
    <w:p w14:paraId="45D52523" w14:textId="554315B5" w:rsidR="008C77BB" w:rsidRDefault="008C77BB" w:rsidP="008C77BB">
      <w:pPr>
        <w:pStyle w:val="BodyText"/>
        <w:numPr>
          <w:ilvl w:val="0"/>
          <w:numId w:val="36"/>
        </w:numPr>
      </w:pPr>
      <w:r>
        <w:t>W</w:t>
      </w:r>
      <w:r w:rsidR="00AC174C" w:rsidRPr="00AC174C">
        <w:t xml:space="preserve">ebsites for other utilities in the </w:t>
      </w:r>
      <w:r w:rsidR="004C22B9">
        <w:t>S</w:t>
      </w:r>
      <w:r w:rsidR="00AC174C" w:rsidRPr="00AC174C">
        <w:t>tate generally have their own stand-alone informational web</w:t>
      </w:r>
      <w:r w:rsidR="00E325B6">
        <w:t xml:space="preserve"> </w:t>
      </w:r>
      <w:r w:rsidR="00AC174C" w:rsidRPr="00AC174C">
        <w:t xml:space="preserve">pages about the </w:t>
      </w:r>
      <w:r w:rsidR="002C6D87">
        <w:t xml:space="preserve">P&amp;C </w:t>
      </w:r>
      <w:r w:rsidR="00AC174C" w:rsidRPr="00AC174C">
        <w:t>program</w:t>
      </w:r>
      <w:r w:rsidR="00C20D4F">
        <w:t xml:space="preserve">, which include links to </w:t>
      </w:r>
      <w:r w:rsidR="00C115EE">
        <w:t>additional information</w:t>
      </w:r>
      <w:r w:rsidR="00E325B6">
        <w:t>,</w:t>
      </w:r>
      <w:r w:rsidR="00C115EE">
        <w:t xml:space="preserve"> such as program brochures. </w:t>
      </w:r>
      <w:r w:rsidR="006D053C" w:rsidRPr="006D053C">
        <w:t xml:space="preserve">By comparison, the SAVEGREEN website does not have a dedicated webpage for the </w:t>
      </w:r>
      <w:r w:rsidR="00C61D5F">
        <w:t>P&amp;C</w:t>
      </w:r>
      <w:r w:rsidR="006D053C" w:rsidRPr="006D053C">
        <w:t xml:space="preserve"> program</w:t>
      </w:r>
      <w:r w:rsidR="006D053C">
        <w:t xml:space="preserve">, </w:t>
      </w:r>
      <w:r w:rsidR="006775E3">
        <w:t xml:space="preserve">and customers need to directly contact specific NJNG staff via email or phone to learn more about the program. </w:t>
      </w:r>
      <w:r w:rsidR="009D5AC7">
        <w:t xml:space="preserve">These factors represent marginal </w:t>
      </w:r>
      <w:r w:rsidR="00AE28E9">
        <w:t>impediments for customers to learn</w:t>
      </w:r>
      <w:r w:rsidR="00E325B6">
        <w:t>ing</w:t>
      </w:r>
      <w:r w:rsidR="00AE28E9">
        <w:t xml:space="preserve"> more about the program.</w:t>
      </w:r>
    </w:p>
    <w:p w14:paraId="16F06593" w14:textId="235F723F" w:rsidR="008C77BB" w:rsidRDefault="008C77BB" w:rsidP="008C77BB">
      <w:pPr>
        <w:pStyle w:val="BodyText"/>
        <w:numPr>
          <w:ilvl w:val="0"/>
          <w:numId w:val="36"/>
        </w:numPr>
      </w:pPr>
      <w:r>
        <w:t>T</w:t>
      </w:r>
      <w:r w:rsidR="00C61D5F">
        <w:t xml:space="preserve">he </w:t>
      </w:r>
      <w:r w:rsidR="006775E3">
        <w:t>SAVEGREEN web</w:t>
      </w:r>
      <w:r w:rsidR="00C61D5F">
        <w:t>pages that do contain P&amp;C program information</w:t>
      </w:r>
      <w:r w:rsidR="00A12BD6">
        <w:t xml:space="preserve"> often</w:t>
      </w:r>
      <w:r w:rsidR="00C61D5F">
        <w:t xml:space="preserve"> label </w:t>
      </w:r>
      <w:r w:rsidR="00A12BD6">
        <w:t xml:space="preserve">the program as </w:t>
      </w:r>
      <w:r w:rsidR="00C61D5F">
        <w:t>“Multifamily Prescriptive &amp; Custom</w:t>
      </w:r>
      <w:r w:rsidR="00F85539">
        <w:t>,”</w:t>
      </w:r>
      <w:r w:rsidR="002F2ED7">
        <w:t xml:space="preserve"> which may give customers the false impression that the program is only </w:t>
      </w:r>
      <w:r w:rsidR="00834828">
        <w:t>intended for multifamily housing properties.</w:t>
      </w:r>
      <w:r w:rsidR="00EA2DCC">
        <w:t xml:space="preserve"> </w:t>
      </w:r>
    </w:p>
    <w:p w14:paraId="1234C40C" w14:textId="08056709" w:rsidR="00CE24EE" w:rsidRDefault="008C77BB" w:rsidP="009B3C6D">
      <w:pPr>
        <w:pStyle w:val="BodyText"/>
        <w:numPr>
          <w:ilvl w:val="0"/>
          <w:numId w:val="36"/>
        </w:numPr>
      </w:pPr>
      <w:r>
        <w:lastRenderedPageBreak/>
        <w:t>A</w:t>
      </w:r>
      <w:r w:rsidR="00EA2DCC">
        <w:t xml:space="preserve"> feature on the website for customers to enter their address to “search for a qualified contractor in your area” does identify nearby contractors, but relevant energy efficiency programs listed under each contractor are out-of-date and do not include </w:t>
      </w:r>
      <w:r w:rsidR="00B86917">
        <w:t>P&amp;C</w:t>
      </w:r>
      <w:r w:rsidR="000D58EC">
        <w:t xml:space="preserve"> program</w:t>
      </w:r>
      <w:r w:rsidR="00EA2DCC">
        <w:t xml:space="preserve">, potentially giving the impression that no nearby contractors </w:t>
      </w:r>
      <w:r w:rsidR="00B86917">
        <w:t>can assist with</w:t>
      </w:r>
      <w:r w:rsidR="00EA2DCC">
        <w:t xml:space="preserve"> </w:t>
      </w:r>
      <w:r w:rsidR="00B86917">
        <w:t>P&amp;C</w:t>
      </w:r>
      <w:r w:rsidR="00EA2DCC">
        <w:t xml:space="preserve"> program</w:t>
      </w:r>
      <w:r w:rsidR="00B86917">
        <w:t xml:space="preserve"> participation</w:t>
      </w:r>
      <w:r w:rsidR="00EA2DCC">
        <w:t>.</w:t>
      </w:r>
    </w:p>
    <w:p w14:paraId="17B9C187" w14:textId="046D2D18" w:rsidR="00B17465" w:rsidRPr="006C464C" w:rsidRDefault="00774A41" w:rsidP="00CE24EE">
      <w:pPr>
        <w:pStyle w:val="BodyText"/>
      </w:pPr>
      <w:r>
        <w:t xml:space="preserve">It is worth noting that the SAVEGREEN website is </w:t>
      </w:r>
      <w:r w:rsidR="0098125E">
        <w:t>currently being revamped</w:t>
      </w:r>
      <w:r>
        <w:t>. However, through PY1 and half of PY2, these factors regarding the website may have served as barriers to participation.</w:t>
      </w:r>
    </w:p>
    <w:p w14:paraId="4B9623FD" w14:textId="64905DB9" w:rsidR="00910709" w:rsidRDefault="00910709" w:rsidP="008150FA">
      <w:pPr>
        <w:pStyle w:val="Heading3"/>
      </w:pPr>
      <w:bookmarkStart w:id="21" w:name="_Toc145924005"/>
      <w:r>
        <w:t xml:space="preserve">Challenges and </w:t>
      </w:r>
      <w:r w:rsidR="00DD72E6">
        <w:t>o</w:t>
      </w:r>
      <w:r>
        <w:t>pportunities</w:t>
      </w:r>
      <w:bookmarkEnd w:id="18"/>
      <w:bookmarkEnd w:id="21"/>
      <w:r w:rsidR="009D3347">
        <w:tab/>
      </w:r>
    </w:p>
    <w:p w14:paraId="152DA151" w14:textId="336B67A1" w:rsidR="00C4735F" w:rsidRDefault="00B42B70" w:rsidP="00F9340B">
      <w:pPr>
        <w:pStyle w:val="BodyText"/>
      </w:pPr>
      <w:r w:rsidRPr="003B5F0A">
        <w:t>Participation in the P&amp;C subprogram in PY1 was low and</w:t>
      </w:r>
      <w:r w:rsidR="00161D6F">
        <w:t>,</w:t>
      </w:r>
      <w:r w:rsidRPr="003B5F0A">
        <w:t xml:space="preserve"> according to NJNG staff, </w:t>
      </w:r>
      <w:r w:rsidR="005F1125" w:rsidRPr="003B5F0A">
        <w:t xml:space="preserve">remains low in PY2. </w:t>
      </w:r>
      <w:r w:rsidR="00BD1634">
        <w:t xml:space="preserve">NJNG </w:t>
      </w:r>
      <w:r w:rsidR="00FE62FB">
        <w:t>staff</w:t>
      </w:r>
      <w:r w:rsidR="00BD1634">
        <w:t xml:space="preserve"> ascribed </w:t>
      </w:r>
      <w:proofErr w:type="gramStart"/>
      <w:r w:rsidR="00B12763">
        <w:t>a number of</w:t>
      </w:r>
      <w:proofErr w:type="gramEnd"/>
      <w:r w:rsidR="00B12763">
        <w:t xml:space="preserve"> factors</w:t>
      </w:r>
      <w:r w:rsidR="00130180">
        <w:t xml:space="preserve">, including each of the barriers noted above. </w:t>
      </w:r>
      <w:r w:rsidR="000F300C">
        <w:t xml:space="preserve">Additionally, staff noted </w:t>
      </w:r>
      <w:r w:rsidR="000F0CD5">
        <w:t xml:space="preserve">the importance and challenge </w:t>
      </w:r>
      <w:r w:rsidR="005D6A46">
        <w:t xml:space="preserve">of </w:t>
      </w:r>
      <w:r w:rsidR="00271073">
        <w:t xml:space="preserve">successfully </w:t>
      </w:r>
      <w:r w:rsidR="005214B3">
        <w:t>educating</w:t>
      </w:r>
      <w:r w:rsidR="00271073">
        <w:t xml:space="preserve"> contractors </w:t>
      </w:r>
      <w:r w:rsidR="007D51DB">
        <w:t xml:space="preserve">to “buy into the notion of </w:t>
      </w:r>
      <w:r w:rsidR="000F4140">
        <w:t xml:space="preserve">high </w:t>
      </w:r>
      <w:r w:rsidR="00B426C2">
        <w:t>efficiency</w:t>
      </w:r>
      <w:r w:rsidR="000F4140">
        <w:t xml:space="preserve"> and marketing their services in a </w:t>
      </w:r>
      <w:r w:rsidR="00D21523">
        <w:t>new manner</w:t>
      </w:r>
      <w:r w:rsidR="00103D34">
        <w:t>,</w:t>
      </w:r>
      <w:r w:rsidR="00D21523">
        <w:t>”</w:t>
      </w:r>
      <w:r w:rsidR="00103D34">
        <w:t xml:space="preserve"> </w:t>
      </w:r>
      <w:r w:rsidR="005D6A46">
        <w:t>particularly</w:t>
      </w:r>
      <w:r w:rsidR="00103D34">
        <w:t xml:space="preserve"> </w:t>
      </w:r>
      <w:r w:rsidR="00F8235D">
        <w:t>emphasizing</w:t>
      </w:r>
      <w:r w:rsidR="00103D34">
        <w:t xml:space="preserve"> the </w:t>
      </w:r>
      <w:r w:rsidR="00F8235D">
        <w:t xml:space="preserve">potential </w:t>
      </w:r>
      <w:r w:rsidR="0039759E">
        <w:t xml:space="preserve">value of program-provided </w:t>
      </w:r>
      <w:r w:rsidR="00FE1702">
        <w:t>financing.</w:t>
      </w:r>
      <w:r w:rsidR="00F8235D">
        <w:t xml:space="preserve"> </w:t>
      </w:r>
    </w:p>
    <w:p w14:paraId="2F59D0D0" w14:textId="58A91ADD" w:rsidR="00B42B70" w:rsidRPr="003B5F0A" w:rsidRDefault="00C4735F" w:rsidP="00F9340B">
      <w:pPr>
        <w:pStyle w:val="BodyText"/>
      </w:pPr>
      <w:r>
        <w:t>Responding</w:t>
      </w:r>
      <w:r w:rsidR="00126DAB">
        <w:t xml:space="preserve"> to </w:t>
      </w:r>
      <w:r>
        <w:t>these barriers and</w:t>
      </w:r>
      <w:r w:rsidR="00126DAB">
        <w:t xml:space="preserve"> challenge</w:t>
      </w:r>
      <w:r w:rsidR="00161D6F">
        <w:t>s</w:t>
      </w:r>
      <w:r w:rsidR="00126DAB">
        <w:t>, program staff noted</w:t>
      </w:r>
      <w:r w:rsidR="003E4338">
        <w:t xml:space="preserve"> </w:t>
      </w:r>
      <w:r w:rsidR="00357D56">
        <w:t xml:space="preserve">outreach </w:t>
      </w:r>
      <w:r w:rsidR="00891954">
        <w:t xml:space="preserve">attempts to </w:t>
      </w:r>
      <w:r w:rsidR="00357D56">
        <w:t xml:space="preserve">specific types of </w:t>
      </w:r>
      <w:r w:rsidR="008B1A8E">
        <w:t xml:space="preserve">companies in </w:t>
      </w:r>
      <w:r w:rsidR="006815CB">
        <w:t>the energy efficiency ecosystem</w:t>
      </w:r>
      <w:r w:rsidR="00357D56">
        <w:t xml:space="preserve">. </w:t>
      </w:r>
      <w:r w:rsidR="00F22CCA">
        <w:t xml:space="preserve">These include </w:t>
      </w:r>
      <w:r w:rsidR="00805EB3">
        <w:t xml:space="preserve">contractors with </w:t>
      </w:r>
      <w:r w:rsidR="00552DDB">
        <w:t xml:space="preserve">expertise in custom engineering studies, </w:t>
      </w:r>
      <w:r w:rsidR="005B69C7">
        <w:t xml:space="preserve">residential contractors </w:t>
      </w:r>
      <w:r w:rsidR="00CE54C6">
        <w:t>who might also work with small commercial customers, and equipment suppliers (potentially distributing</w:t>
      </w:r>
      <w:r w:rsidR="000E7BA7">
        <w:t xml:space="preserve"> </w:t>
      </w:r>
      <w:r w:rsidR="006658DF">
        <w:t xml:space="preserve">subprogram </w:t>
      </w:r>
      <w:r w:rsidR="00B6769E">
        <w:t>marketing collateral)</w:t>
      </w:r>
      <w:r w:rsidR="00714010">
        <w:t xml:space="preserve">. However, </w:t>
      </w:r>
      <w:r w:rsidR="00E07080">
        <w:t>success in these efforts has been limited to date.</w:t>
      </w:r>
      <w:r w:rsidR="00805EB3">
        <w:t xml:space="preserve"> </w:t>
      </w:r>
    </w:p>
    <w:p w14:paraId="06FC4902" w14:textId="4544ADC7" w:rsidR="00B6769E" w:rsidRPr="003B5F0A" w:rsidRDefault="00B6769E" w:rsidP="00F9340B">
      <w:pPr>
        <w:pStyle w:val="BodyText"/>
      </w:pPr>
      <w:r>
        <w:t xml:space="preserve">Finally, </w:t>
      </w:r>
      <w:r w:rsidR="00D45266">
        <w:t>a</w:t>
      </w:r>
      <w:r w:rsidR="00EB0306">
        <w:t xml:space="preserve">n emphasis </w:t>
      </w:r>
      <w:r w:rsidR="000C287E">
        <w:t>by NJNG</w:t>
      </w:r>
      <w:r w:rsidR="00EB0306">
        <w:t xml:space="preserve"> on other energy efficiency</w:t>
      </w:r>
      <w:r w:rsidR="0009191E">
        <w:t xml:space="preserve"> </w:t>
      </w:r>
      <w:r w:rsidR="000C287E">
        <w:t>programs</w:t>
      </w:r>
      <w:r w:rsidR="0009191E">
        <w:t xml:space="preserve"> </w:t>
      </w:r>
      <w:r w:rsidR="000C287E">
        <w:t xml:space="preserve">presents a </w:t>
      </w:r>
      <w:r w:rsidR="0009191E">
        <w:t xml:space="preserve">challenge </w:t>
      </w:r>
      <w:r w:rsidR="000C287E">
        <w:t>to</w:t>
      </w:r>
      <w:r w:rsidR="00E56C72">
        <w:t xml:space="preserve"> the P&amp;C subprogram </w:t>
      </w:r>
      <w:r w:rsidR="005E10E7">
        <w:t xml:space="preserve">in </w:t>
      </w:r>
      <w:r w:rsidR="000C287E">
        <w:t xml:space="preserve">achieving its targets. </w:t>
      </w:r>
      <w:r w:rsidR="0036212B">
        <w:t xml:space="preserve">According to program staff, NJNG actively </w:t>
      </w:r>
      <w:r w:rsidR="00890B7F">
        <w:t xml:space="preserve">attempts to funnel </w:t>
      </w:r>
      <w:r w:rsidR="005A1CDB">
        <w:t xml:space="preserve">customers initially coming to the program with </w:t>
      </w:r>
      <w:r w:rsidR="006E240E">
        <w:t xml:space="preserve">prescriptive measure opportunities into the C&amp;I Direct Install </w:t>
      </w:r>
      <w:r w:rsidR="00180B35">
        <w:t xml:space="preserve">(DI) </w:t>
      </w:r>
      <w:r w:rsidR="006E240E">
        <w:t>program.</w:t>
      </w:r>
      <w:r w:rsidR="00180B35">
        <w:t xml:space="preserve"> This makes sense from the perspe</w:t>
      </w:r>
      <w:r w:rsidR="000071C1">
        <w:t>c</w:t>
      </w:r>
      <w:r w:rsidR="00180B35">
        <w:t>ti</w:t>
      </w:r>
      <w:r w:rsidR="000071C1">
        <w:t>v</w:t>
      </w:r>
      <w:r w:rsidR="00180B35">
        <w:t xml:space="preserve">e of the entire C&amp;I energy efficiency program portfolio, as DI program </w:t>
      </w:r>
      <w:r w:rsidR="00A46F37">
        <w:t xml:space="preserve">participation involves a whole-facility energy assessment </w:t>
      </w:r>
      <w:r w:rsidR="00A535EE">
        <w:t xml:space="preserve">that may </w:t>
      </w:r>
      <w:r w:rsidR="0041768B">
        <w:t xml:space="preserve">result in additional </w:t>
      </w:r>
      <w:r w:rsidR="00EE5272">
        <w:t>energy efficiency opportunities (in addi</w:t>
      </w:r>
      <w:r w:rsidR="00322E0F">
        <w:t>tion to</w:t>
      </w:r>
      <w:r w:rsidR="000071C1">
        <w:t xml:space="preserve"> higher financial incentives for customers). However, from the perspective of the P&amp;C </w:t>
      </w:r>
      <w:r w:rsidR="00CE67DC">
        <w:t>sub</w:t>
      </w:r>
      <w:r w:rsidR="000071C1">
        <w:t xml:space="preserve">program, </w:t>
      </w:r>
      <w:r w:rsidR="003B0A91">
        <w:t xml:space="preserve">this approach </w:t>
      </w:r>
      <w:r w:rsidR="00F71D35">
        <w:t xml:space="preserve">limits </w:t>
      </w:r>
      <w:r w:rsidR="004919F6">
        <w:t xml:space="preserve">the participation and energy savings </w:t>
      </w:r>
      <w:r w:rsidR="00DD27C0">
        <w:t>the program can achieve</w:t>
      </w:r>
      <w:r w:rsidR="00120EC0">
        <w:t>.</w:t>
      </w:r>
      <w:r w:rsidR="00294727" w:rsidRPr="00294727">
        <w:t xml:space="preserve"> The evaluators plan to investigate this topic in the PY2 evaluation through Contractor and Program Staff interviews.</w:t>
      </w:r>
      <w:r w:rsidR="0033448B">
        <w:t xml:space="preserve"> </w:t>
      </w:r>
    </w:p>
    <w:p w14:paraId="317F32B2" w14:textId="53157EC6" w:rsidR="00E847CE" w:rsidRDefault="00D15FA4" w:rsidP="00E847CE">
      <w:pPr>
        <w:pStyle w:val="Heading2"/>
      </w:pPr>
      <w:bookmarkStart w:id="22" w:name="_Toc122444746"/>
      <w:bookmarkStart w:id="23" w:name="_Toc145924006"/>
      <w:r>
        <w:t>Process f</w:t>
      </w:r>
      <w:r w:rsidR="00E847CE">
        <w:t>indings and recommendations</w:t>
      </w:r>
      <w:bookmarkEnd w:id="22"/>
      <w:bookmarkEnd w:id="23"/>
    </w:p>
    <w:p w14:paraId="77C8B5AC" w14:textId="57EE3240" w:rsidR="00E847CE" w:rsidRDefault="00E847CE" w:rsidP="00E847CE">
      <w:pPr>
        <w:pStyle w:val="BodyText"/>
      </w:pPr>
      <w:r>
        <w:t xml:space="preserve">Based on the results of this evaluation, our key process findings and recommendations for the </w:t>
      </w:r>
      <w:r w:rsidR="00416196">
        <w:t>P&amp;C sub</w:t>
      </w:r>
      <w:r>
        <w:t>program are as follows:</w:t>
      </w:r>
    </w:p>
    <w:p w14:paraId="69EE6D9C" w14:textId="77777777" w:rsidR="00E847CE" w:rsidRPr="00584E7B" w:rsidRDefault="00E847CE" w:rsidP="001359FC">
      <w:pPr>
        <w:pStyle w:val="ListBullet"/>
        <w:keepNext/>
        <w:numPr>
          <w:ilvl w:val="0"/>
          <w:numId w:val="0"/>
        </w:numPr>
        <w:ind w:left="360" w:hanging="360"/>
        <w:contextualSpacing w:val="0"/>
        <w:rPr>
          <w:b/>
          <w:bCs/>
          <w:lang w:val="en-US"/>
        </w:rPr>
      </w:pPr>
      <w:r>
        <w:rPr>
          <w:b/>
          <w:bCs/>
          <w:lang w:val="en-US"/>
        </w:rPr>
        <w:t>Findings</w:t>
      </w:r>
    </w:p>
    <w:p w14:paraId="2D367440" w14:textId="77777777" w:rsidR="003B1809" w:rsidRPr="005072BA" w:rsidRDefault="003B1809" w:rsidP="003B1809">
      <w:pPr>
        <w:pStyle w:val="ListBullet"/>
      </w:pPr>
      <w:r w:rsidRPr="005072BA">
        <w:t xml:space="preserve">The </w:t>
      </w:r>
      <w:r>
        <w:t xml:space="preserve">P&amp;C </w:t>
      </w:r>
      <w:r w:rsidRPr="005072BA">
        <w:t xml:space="preserve">subprogram completed 2 </w:t>
      </w:r>
      <w:r>
        <w:t xml:space="preserve">prescriptive </w:t>
      </w:r>
      <w:r w:rsidRPr="005072BA">
        <w:t xml:space="preserve">projects in PY1 </w:t>
      </w:r>
      <w:r>
        <w:t xml:space="preserve">with 540 therms in total gas savings, </w:t>
      </w:r>
      <w:r w:rsidRPr="005072BA">
        <w:t>compared to a goal of 981 completed projects</w:t>
      </w:r>
      <w:r>
        <w:t xml:space="preserve"> savings of 422,080 therms</w:t>
      </w:r>
      <w:r w:rsidRPr="005072BA">
        <w:t>.</w:t>
      </w:r>
      <w:r>
        <w:t xml:space="preserve"> NJNG had 5 more participants committed but not completed in PY1.</w:t>
      </w:r>
    </w:p>
    <w:p w14:paraId="1D1697F0" w14:textId="77777777" w:rsidR="003B1809" w:rsidRPr="005072BA" w:rsidRDefault="003B1809" w:rsidP="003B1809">
      <w:pPr>
        <w:pStyle w:val="ListBullet"/>
      </w:pPr>
      <w:r w:rsidRPr="005072BA">
        <w:t xml:space="preserve">The subprogram secured participation agreements from 46 contractors allowing them to offer on-bill repayment to </w:t>
      </w:r>
      <w:r>
        <w:t xml:space="preserve">potential </w:t>
      </w:r>
      <w:r w:rsidRPr="005072BA">
        <w:t>customers for completing prescriptive measures.</w:t>
      </w:r>
    </w:p>
    <w:p w14:paraId="06CFA01E" w14:textId="388B12FC" w:rsidR="003B1809" w:rsidRDefault="003B1809" w:rsidP="003B1809">
      <w:pPr>
        <w:pStyle w:val="ListBullet"/>
      </w:pPr>
      <w:r w:rsidRPr="005072BA">
        <w:t>NJNG-identified barriers to participation and completed projects include replacing failed equipment, the requirement for engineering studies on many custom projects, pandemic effects</w:t>
      </w:r>
      <w:r w:rsidR="00DB6B90">
        <w:t>, and supply chain issues</w:t>
      </w:r>
      <w:r w:rsidRPr="005072BA">
        <w:t>.</w:t>
      </w:r>
    </w:p>
    <w:p w14:paraId="663E4EC7" w14:textId="462959F0" w:rsidR="003B1809" w:rsidRPr="005072BA" w:rsidRDefault="003B1809" w:rsidP="003B1809">
      <w:pPr>
        <w:pStyle w:val="ListBullet"/>
      </w:pPr>
      <w:r>
        <w:t xml:space="preserve">DNV-identified barriers to participation included inaccuracies in the program application of documentation requirements (such as </w:t>
      </w:r>
      <w:r w:rsidR="005D1BC2">
        <w:t xml:space="preserve">needing </w:t>
      </w:r>
      <w:r>
        <w:t>pre-approval for prescriptive measures) and some key shortfalls of the program website.</w:t>
      </w:r>
    </w:p>
    <w:p w14:paraId="72D47638" w14:textId="7A490DF4" w:rsidR="00617181" w:rsidRPr="00584E7B" w:rsidRDefault="00617181" w:rsidP="001B7EE3">
      <w:pPr>
        <w:pStyle w:val="ListBullet"/>
        <w:keepNext/>
        <w:numPr>
          <w:ilvl w:val="0"/>
          <w:numId w:val="0"/>
        </w:numPr>
        <w:spacing w:before="140"/>
        <w:ind w:left="360" w:hanging="360"/>
        <w:contextualSpacing w:val="0"/>
        <w:rPr>
          <w:b/>
          <w:bCs/>
          <w:lang w:val="en-US"/>
        </w:rPr>
      </w:pPr>
      <w:r>
        <w:rPr>
          <w:b/>
          <w:bCs/>
          <w:lang w:val="en-US"/>
        </w:rPr>
        <w:t>Recommendations</w:t>
      </w:r>
    </w:p>
    <w:p w14:paraId="4CBC65DD" w14:textId="77777777" w:rsidR="00D436F0" w:rsidRPr="005072BA" w:rsidRDefault="00D436F0" w:rsidP="00D436F0">
      <w:pPr>
        <w:pStyle w:val="ListBullet"/>
      </w:pPr>
      <w:r w:rsidRPr="005072BA">
        <w:t>Continue and expand the program’s varied marketing and outreach channels.</w:t>
      </w:r>
    </w:p>
    <w:p w14:paraId="729CB26A" w14:textId="77777777" w:rsidR="00D436F0" w:rsidRPr="00600733" w:rsidRDefault="00D436F0" w:rsidP="00D436F0">
      <w:pPr>
        <w:pStyle w:val="ListBullet"/>
      </w:pPr>
      <w:r>
        <w:lastRenderedPageBreak/>
        <w:t>Consider amending the program application documents to clarify and better reflect actual requirements for receiving prescriptive and custom measure incentives.</w:t>
      </w:r>
    </w:p>
    <w:p w14:paraId="00757244" w14:textId="77777777" w:rsidR="00D436F0" w:rsidRDefault="00D436F0" w:rsidP="00D436F0">
      <w:pPr>
        <w:pStyle w:val="ListBullet"/>
      </w:pPr>
      <w:r>
        <w:rPr>
          <w:lang w:val="en-US"/>
        </w:rPr>
        <w:t>As NJNG revamps its website in 2023, consider adding a stand-alone page for the P&amp;C program and modify program labeling away from the phrase “Multifamily Prescriptive and Custom.”</w:t>
      </w:r>
    </w:p>
    <w:p w14:paraId="34AD4198" w14:textId="77777777" w:rsidR="00D436F0" w:rsidRPr="005072BA" w:rsidRDefault="00D436F0" w:rsidP="00D436F0">
      <w:pPr>
        <w:pStyle w:val="ListBullet"/>
      </w:pPr>
      <w:r w:rsidRPr="005072BA">
        <w:t xml:space="preserve">Conduct </w:t>
      </w:r>
      <w:r>
        <w:t xml:space="preserve">additional </w:t>
      </w:r>
      <w:r w:rsidRPr="005072BA">
        <w:t xml:space="preserve">research to investigate </w:t>
      </w:r>
      <w:r>
        <w:t xml:space="preserve">general </w:t>
      </w:r>
      <w:r w:rsidRPr="005072BA">
        <w:t>program awareness and reasons for non</w:t>
      </w:r>
      <w:r>
        <w:t>-</w:t>
      </w:r>
      <w:r w:rsidRPr="005072BA">
        <w:t>participation.</w:t>
      </w:r>
      <w:r>
        <w:t xml:space="preserve"> </w:t>
      </w:r>
      <w:r>
        <w:rPr>
          <w:lang w:val="en-US"/>
        </w:rPr>
        <w:t xml:space="preserve">This could include surveys of nonparticipating customers and/or interviews </w:t>
      </w:r>
      <w:proofErr w:type="gramStart"/>
      <w:r>
        <w:rPr>
          <w:lang w:val="en-US"/>
        </w:rPr>
        <w:t>with ”onboarded</w:t>
      </w:r>
      <w:proofErr w:type="gramEnd"/>
      <w:r>
        <w:rPr>
          <w:lang w:val="en-US"/>
        </w:rPr>
        <w:t>” contractors.</w:t>
      </w:r>
    </w:p>
    <w:p w14:paraId="00BB72DE" w14:textId="1BE62AC2" w:rsidR="00D436F0" w:rsidRPr="00DB23B1" w:rsidRDefault="00D436F0" w:rsidP="0080001F">
      <w:pPr>
        <w:pStyle w:val="ListBullet"/>
      </w:pPr>
      <w:r w:rsidRPr="005072BA">
        <w:t>Consider funding a portion of engineering studies necessary to secure pre-approval for custom projects.</w:t>
      </w:r>
      <w:r>
        <w:t xml:space="preserve"> According to program staff, the costs associated with these required </w:t>
      </w:r>
      <w:r w:rsidRPr="00B04A0B">
        <w:t>engineering studies negatively impact customers’ willingness to move forward with projects</w:t>
      </w:r>
      <w:r>
        <w:t>.</w:t>
      </w:r>
    </w:p>
    <w:p w14:paraId="33C0B909" w14:textId="7A2A8850" w:rsidR="00535521" w:rsidRPr="00871328" w:rsidRDefault="00535521" w:rsidP="0064742E">
      <w:pPr>
        <w:pStyle w:val="ListBullet"/>
        <w:rPr>
          <w:b/>
          <w:caps/>
          <w:color w:val="0F204B"/>
          <w:sz w:val="26"/>
        </w:rPr>
      </w:pPr>
      <w:r>
        <w:br w:type="page"/>
      </w:r>
    </w:p>
    <w:p w14:paraId="68CEBAA4" w14:textId="77777777" w:rsidR="00E54343" w:rsidRDefault="00E54343" w:rsidP="00E54343">
      <w:pPr>
        <w:pStyle w:val="Heading1"/>
      </w:pPr>
      <w:bookmarkStart w:id="24" w:name="_Toc145924007"/>
      <w:r>
        <w:lastRenderedPageBreak/>
        <w:t>Evaluability Assessment</w:t>
      </w:r>
      <w:bookmarkEnd w:id="24"/>
    </w:p>
    <w:p w14:paraId="5DDB0EED" w14:textId="201AF784" w:rsidR="00E54343" w:rsidRDefault="00E54343" w:rsidP="00E54343">
      <w:pPr>
        <w:pStyle w:val="BodyText"/>
      </w:pPr>
      <w:r>
        <w:t xml:space="preserve">In </w:t>
      </w:r>
      <w:r w:rsidR="00D15FA4">
        <w:t>PY1</w:t>
      </w:r>
      <w:r>
        <w:t xml:space="preserve">, NJNG finalized and claimed impacts from </w:t>
      </w:r>
      <w:r w:rsidR="00F155B4">
        <w:t>two</w:t>
      </w:r>
      <w:r>
        <w:t xml:space="preserve"> completed prescriptive projects under the C&amp;I Prescriptive and Custom </w:t>
      </w:r>
      <w:r w:rsidRPr="00DD0F09">
        <w:t>Measures subprogram</w:t>
      </w:r>
      <w:r>
        <w:t xml:space="preserve">. </w:t>
      </w:r>
      <w:r w:rsidRPr="00A4736B">
        <w:t xml:space="preserve">No custom projects were completed </w:t>
      </w:r>
      <w:r>
        <w:t xml:space="preserve">in </w:t>
      </w:r>
      <w:r w:rsidR="00D15FA4">
        <w:t>PY1</w:t>
      </w:r>
      <w:r>
        <w:t>. Since the overall participation in the sub</w:t>
      </w:r>
      <w:r w:rsidRPr="005715D9">
        <w:t xml:space="preserve">program for </w:t>
      </w:r>
      <w:r w:rsidR="00D15FA4">
        <w:t>PY1</w:t>
      </w:r>
      <w:r w:rsidRPr="005715D9">
        <w:t xml:space="preserve"> </w:t>
      </w:r>
      <w:r>
        <w:t>was</w:t>
      </w:r>
      <w:r w:rsidRPr="005715D9">
        <w:t xml:space="preserve"> insufficient to perform an in-depth impact evaluation, DNV </w:t>
      </w:r>
      <w:r>
        <w:t>performed an</w:t>
      </w:r>
      <w:r w:rsidRPr="005715D9">
        <w:t xml:space="preserve"> evaluability assessment of the </w:t>
      </w:r>
      <w:r>
        <w:t>sub</w:t>
      </w:r>
      <w:r w:rsidRPr="005715D9">
        <w:t xml:space="preserve">program from an impact evaluation perspective in </w:t>
      </w:r>
      <w:r w:rsidR="00D15FA4">
        <w:t>PY1</w:t>
      </w:r>
      <w:r>
        <w:t>. DNV identified and collected project documentation for</w:t>
      </w:r>
      <w:r w:rsidR="00391EFB">
        <w:t xml:space="preserve"> </w:t>
      </w:r>
      <w:r w:rsidR="00D15FA4">
        <w:t xml:space="preserve">two of the completed projects and five other </w:t>
      </w:r>
      <w:r w:rsidR="00174798">
        <w:t>presc</w:t>
      </w:r>
      <w:r>
        <w:t xml:space="preserve">riptive projects that were initiated in </w:t>
      </w:r>
      <w:r w:rsidR="00D15FA4">
        <w:t>PY1</w:t>
      </w:r>
      <w:r>
        <w:t xml:space="preserve"> to perform the evaluability assessment. </w:t>
      </w:r>
      <w:r w:rsidR="005D0298">
        <w:t>The evaluation assessed</w:t>
      </w:r>
      <w:r>
        <w:t>:</w:t>
      </w:r>
    </w:p>
    <w:p w14:paraId="37D882C6" w14:textId="77777777" w:rsidR="00E54343" w:rsidRDefault="00E54343" w:rsidP="00EA4F56">
      <w:pPr>
        <w:pStyle w:val="ListBullet"/>
      </w:pPr>
      <w:r>
        <w:t>Data that are collected by the program to estimate tracking savings</w:t>
      </w:r>
    </w:p>
    <w:p w14:paraId="081DB642" w14:textId="21B05C88" w:rsidR="00E54343" w:rsidRDefault="00E54343" w:rsidP="00EA4F56">
      <w:pPr>
        <w:pStyle w:val="ListBullet"/>
      </w:pPr>
      <w:r>
        <w:t xml:space="preserve">Completeness of program data collection by reviewing </w:t>
      </w:r>
      <w:r w:rsidR="00652708">
        <w:t xml:space="preserve">the </w:t>
      </w:r>
      <w:r>
        <w:t>inventory of project documentation available</w:t>
      </w:r>
    </w:p>
    <w:p w14:paraId="76E5AAA9" w14:textId="77777777" w:rsidR="00E54343" w:rsidRDefault="00E54343" w:rsidP="00EA4F56">
      <w:pPr>
        <w:pStyle w:val="ListBullet"/>
      </w:pPr>
      <w:r>
        <w:t>Tracking savings estimation methodologies</w:t>
      </w:r>
    </w:p>
    <w:p w14:paraId="63D1076F" w14:textId="77777777" w:rsidR="00E54343" w:rsidRDefault="00E54343" w:rsidP="00EA4F56">
      <w:pPr>
        <w:pStyle w:val="ListBullet"/>
      </w:pPr>
      <w:r>
        <w:t xml:space="preserve">Electric savings estimation </w:t>
      </w:r>
      <w:r w:rsidRPr="00197105">
        <w:t>for shared measures where NJNG is the lead utility to ensure they are reasonable and follow industry best practices</w:t>
      </w:r>
    </w:p>
    <w:p w14:paraId="651718D8" w14:textId="56720CB0" w:rsidR="00E54343" w:rsidRDefault="00EE604B" w:rsidP="00E54343">
      <w:pPr>
        <w:pStyle w:val="BodyText"/>
      </w:pPr>
      <w:r>
        <w:t xml:space="preserve">According to the </w:t>
      </w:r>
      <w:r w:rsidR="00652708">
        <w:t xml:space="preserve">Program </w:t>
      </w:r>
      <w:r>
        <w:t>Application</w:t>
      </w:r>
      <w:r w:rsidR="000F2BC5">
        <w:fldChar w:fldCharType="begin"/>
      </w:r>
      <w:r w:rsidR="000F2BC5">
        <w:instrText xml:space="preserve"> NOTEREF _Ref125129321 \f \h </w:instrText>
      </w:r>
      <w:r w:rsidR="000F2BC5">
        <w:fldChar w:fldCharType="separate"/>
      </w:r>
      <w:r w:rsidR="000344CB" w:rsidRPr="000344CB">
        <w:rPr>
          <w:rStyle w:val="FootnoteReference"/>
        </w:rPr>
        <w:t>7</w:t>
      </w:r>
      <w:r w:rsidR="000F2BC5">
        <w:fldChar w:fldCharType="end"/>
      </w:r>
      <w:r>
        <w:t xml:space="preserve">, </w:t>
      </w:r>
      <w:r w:rsidR="00F9351E">
        <w:t xml:space="preserve">the </w:t>
      </w:r>
      <w:r w:rsidR="00E54343">
        <w:t xml:space="preserve">following types of measures are </w:t>
      </w:r>
      <w:r w:rsidR="00B320F4">
        <w:t>offered</w:t>
      </w:r>
      <w:r w:rsidR="00E54343">
        <w:t xml:space="preserve"> within C&amp;I Prescriptive and Custom subprogram:</w:t>
      </w:r>
    </w:p>
    <w:p w14:paraId="42210969" w14:textId="1BBA0C85" w:rsidR="00E54343" w:rsidRDefault="00E54343" w:rsidP="00EA4F56">
      <w:pPr>
        <w:pStyle w:val="ListBullet"/>
      </w:pPr>
      <w:r w:rsidRPr="00A4736B">
        <w:t>Gas-fired boilers, furnaces, unit heaters, boiler controls, boiler tune-up</w:t>
      </w:r>
      <w:r w:rsidR="00A06E59">
        <w:t>,</w:t>
      </w:r>
      <w:r w:rsidRPr="00A4736B">
        <w:t xml:space="preserve"> and furnace tune-up</w:t>
      </w:r>
    </w:p>
    <w:p w14:paraId="0872CD0D" w14:textId="77777777" w:rsidR="00E54343" w:rsidRPr="00A4736B" w:rsidRDefault="00E54343" w:rsidP="00EA4F56">
      <w:pPr>
        <w:pStyle w:val="ListBullet"/>
      </w:pPr>
      <w:r>
        <w:t>Integrated gas-fired condensing boiler/water heaters</w:t>
      </w:r>
    </w:p>
    <w:p w14:paraId="37311F46" w14:textId="28579E12" w:rsidR="00E54343" w:rsidRPr="00A4736B" w:rsidRDefault="00E54343" w:rsidP="00EA4F56">
      <w:pPr>
        <w:pStyle w:val="ListBullet"/>
      </w:pPr>
      <w:r w:rsidRPr="00A4736B">
        <w:t>Gas-fired low</w:t>
      </w:r>
      <w:r w:rsidR="00652708">
        <w:t>-</w:t>
      </w:r>
      <w:r w:rsidRPr="00A4736B">
        <w:t>intensity infrared heating</w:t>
      </w:r>
    </w:p>
    <w:p w14:paraId="72899911" w14:textId="77777777" w:rsidR="00E54343" w:rsidRPr="00A4736B" w:rsidRDefault="00E54343" w:rsidP="00EA4F56">
      <w:pPr>
        <w:pStyle w:val="ListBullet"/>
      </w:pPr>
      <w:r w:rsidRPr="00A4736B">
        <w:t>Gas-fired cooling equipment</w:t>
      </w:r>
    </w:p>
    <w:p w14:paraId="23C21CCF" w14:textId="77777777" w:rsidR="00E54343" w:rsidRPr="00A4736B" w:rsidRDefault="00E54343" w:rsidP="00EA4F56">
      <w:pPr>
        <w:pStyle w:val="ListBullet"/>
      </w:pPr>
      <w:r w:rsidRPr="00A4736B">
        <w:t>Kitchen/food service equipment</w:t>
      </w:r>
    </w:p>
    <w:p w14:paraId="68D7FFF2" w14:textId="686ED416" w:rsidR="00E54343" w:rsidRDefault="00E54343" w:rsidP="00EA4F56">
      <w:pPr>
        <w:pStyle w:val="ListBullet"/>
      </w:pPr>
      <w:r w:rsidRPr="00A4736B">
        <w:t>Water heaters, pipe wrap, low-flow devices</w:t>
      </w:r>
      <w:r w:rsidR="00C40BA8">
        <w:t>,</w:t>
      </w:r>
      <w:r w:rsidRPr="00A4736B">
        <w:t xml:space="preserve"> and clothes washers/dryers</w:t>
      </w:r>
    </w:p>
    <w:p w14:paraId="4182E372" w14:textId="77777777" w:rsidR="00E54343" w:rsidRPr="00A4736B" w:rsidRDefault="00E54343" w:rsidP="00EA4F56">
      <w:pPr>
        <w:pStyle w:val="ListBullet"/>
      </w:pPr>
      <w:r>
        <w:t>Custom measures</w:t>
      </w:r>
    </w:p>
    <w:p w14:paraId="555C61E8" w14:textId="348F399D" w:rsidR="00E54343" w:rsidRDefault="00E54343" w:rsidP="00E54343">
      <w:pPr>
        <w:pStyle w:val="BodyText"/>
      </w:pPr>
      <w:r>
        <w:t xml:space="preserve">C&amp;I Prescriptive and Custom subprogram data that are needed for the evaluation are summarized in </w:t>
      </w:r>
      <w:r w:rsidR="00DE6C35">
        <w:fldChar w:fldCharType="begin"/>
      </w:r>
      <w:r w:rsidR="00DE6C35">
        <w:instrText xml:space="preserve"> REF _Ref122510867 \h </w:instrText>
      </w:r>
      <w:r w:rsidR="00DE6C35">
        <w:fldChar w:fldCharType="separate"/>
      </w:r>
      <w:r w:rsidR="000344CB">
        <w:t xml:space="preserve">Table </w:t>
      </w:r>
      <w:r w:rsidR="000344CB">
        <w:rPr>
          <w:noProof/>
        </w:rPr>
        <w:t>3</w:t>
      </w:r>
      <w:r w:rsidR="000344CB">
        <w:noBreakHyphen/>
      </w:r>
      <w:r w:rsidR="000344CB">
        <w:rPr>
          <w:noProof/>
        </w:rPr>
        <w:t>1</w:t>
      </w:r>
      <w:r w:rsidR="00DE6C35">
        <w:fldChar w:fldCharType="end"/>
      </w:r>
      <w:r>
        <w:t xml:space="preserve">. </w:t>
      </w:r>
    </w:p>
    <w:p w14:paraId="5424E4C9" w14:textId="569ACED5" w:rsidR="00E54343" w:rsidRPr="00AA15F2" w:rsidRDefault="0049233C" w:rsidP="00AA15F2">
      <w:pPr>
        <w:pStyle w:val="Caption"/>
      </w:pPr>
      <w:bookmarkStart w:id="25" w:name="_Ref122510867"/>
      <w:r>
        <w:t xml:space="preserve">Table </w:t>
      </w:r>
      <w:r>
        <w:fldChar w:fldCharType="begin"/>
      </w:r>
      <w:r>
        <w:instrText xml:space="preserve"> STYLEREF 1 \s </w:instrText>
      </w:r>
      <w:r>
        <w:fldChar w:fldCharType="separate"/>
      </w:r>
      <w:r w:rsidR="000344CB">
        <w:rPr>
          <w:noProof/>
        </w:rPr>
        <w:t>3</w:t>
      </w:r>
      <w:r>
        <w:fldChar w:fldCharType="end"/>
      </w:r>
      <w:r>
        <w:noBreakHyphen/>
      </w:r>
      <w:r>
        <w:fldChar w:fldCharType="begin"/>
      </w:r>
      <w:r>
        <w:instrText xml:space="preserve"> SEQ Table \* ARABIC \s 1 </w:instrText>
      </w:r>
      <w:r>
        <w:fldChar w:fldCharType="separate"/>
      </w:r>
      <w:r w:rsidR="000344CB">
        <w:rPr>
          <w:noProof/>
        </w:rPr>
        <w:t>1</w:t>
      </w:r>
      <w:r>
        <w:fldChar w:fldCharType="end"/>
      </w:r>
      <w:bookmarkEnd w:id="25"/>
      <w:r>
        <w:t xml:space="preserve">. </w:t>
      </w:r>
      <w:r w:rsidR="00E54343">
        <w:t>C&amp;I Prescriptive</w:t>
      </w:r>
      <w:r w:rsidR="00E54343" w:rsidRPr="00D75809">
        <w:t xml:space="preserve"> Program </w:t>
      </w:r>
      <w:r w:rsidRPr="00D75809">
        <w:t>data assessm</w:t>
      </w:r>
      <w:r w:rsidR="00E54343" w:rsidRPr="00D75809">
        <w:t>ent</w:t>
      </w:r>
    </w:p>
    <w:tbl>
      <w:tblPr>
        <w:tblStyle w:val="DNVNiceStyle"/>
        <w:tblW w:w="0" w:type="auto"/>
        <w:tblLook w:val="04A0" w:firstRow="1" w:lastRow="0" w:firstColumn="1" w:lastColumn="0" w:noHBand="0" w:noVBand="1"/>
      </w:tblPr>
      <w:tblGrid>
        <w:gridCol w:w="3321"/>
        <w:gridCol w:w="3651"/>
        <w:gridCol w:w="2378"/>
      </w:tblGrid>
      <w:tr w:rsidR="00E54343" w:rsidRPr="001607FD" w14:paraId="5901329B" w14:textId="77777777" w:rsidTr="006A5710">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3321" w:type="dxa"/>
          </w:tcPr>
          <w:p w14:paraId="2669D541" w14:textId="77777777" w:rsidR="00E54343" w:rsidRPr="002A6B29" w:rsidRDefault="00E54343" w:rsidP="00552ABF">
            <w:pPr>
              <w:pStyle w:val="BodyText1"/>
              <w:keepNext/>
              <w:spacing w:after="0"/>
              <w:jc w:val="left"/>
              <w:rPr>
                <w:rFonts w:ascii="Arial" w:hAnsi="Arial" w:cs="Arial"/>
                <w:sz w:val="18"/>
                <w:szCs w:val="14"/>
                <w:lang w:eastAsia="x-none"/>
              </w:rPr>
            </w:pPr>
            <w:r w:rsidRPr="002A6B29">
              <w:rPr>
                <w:rFonts w:ascii="Arial" w:hAnsi="Arial" w:cs="Arial"/>
                <w:sz w:val="18"/>
                <w:szCs w:val="14"/>
                <w:lang w:eastAsia="x-none"/>
              </w:rPr>
              <w:t>Type</w:t>
            </w:r>
          </w:p>
        </w:tc>
        <w:tc>
          <w:tcPr>
            <w:tcW w:w="3651" w:type="dxa"/>
          </w:tcPr>
          <w:p w14:paraId="4526D71C" w14:textId="77777777" w:rsidR="00E54343" w:rsidRPr="002A6B29" w:rsidRDefault="00E54343" w:rsidP="00552ABF">
            <w:pPr>
              <w:pStyle w:val="BodyText1"/>
              <w:keepNext/>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sidRPr="002A6B29">
              <w:rPr>
                <w:rFonts w:ascii="Arial" w:hAnsi="Arial" w:cs="Arial"/>
                <w:sz w:val="18"/>
                <w:szCs w:val="14"/>
                <w:lang w:eastAsia="x-none"/>
              </w:rPr>
              <w:t>Use</w:t>
            </w:r>
          </w:p>
        </w:tc>
        <w:tc>
          <w:tcPr>
            <w:tcW w:w="2378" w:type="dxa"/>
          </w:tcPr>
          <w:p w14:paraId="7E17255C" w14:textId="77777777" w:rsidR="00E54343" w:rsidRPr="002A6B29" w:rsidRDefault="00E54343" w:rsidP="00552ABF">
            <w:pPr>
              <w:pStyle w:val="BodyText1"/>
              <w:keepNext/>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4"/>
                <w:lang w:eastAsia="x-none"/>
              </w:rPr>
            </w:pPr>
            <w:r w:rsidRPr="002A6B29">
              <w:rPr>
                <w:rFonts w:ascii="Arial" w:hAnsi="Arial" w:cs="Arial"/>
                <w:sz w:val="18"/>
                <w:szCs w:val="14"/>
                <w:lang w:eastAsia="x-none"/>
              </w:rPr>
              <w:t>Availability</w:t>
            </w:r>
          </w:p>
        </w:tc>
      </w:tr>
      <w:tr w:rsidR="00E54343" w:rsidRPr="001607FD" w14:paraId="608EC424" w14:textId="77777777" w:rsidTr="006A571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1DFF4BA3" w14:textId="77777777" w:rsidR="00E54343" w:rsidRPr="001607FD" w:rsidRDefault="00E54343" w:rsidP="00552ABF">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Participant</w:t>
            </w:r>
          </w:p>
        </w:tc>
        <w:tc>
          <w:tcPr>
            <w:tcW w:w="3651" w:type="dxa"/>
          </w:tcPr>
          <w:p w14:paraId="66057232" w14:textId="77777777" w:rsidR="00E54343" w:rsidRPr="001607FD"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Participant surveys</w:t>
            </w:r>
          </w:p>
        </w:tc>
        <w:tc>
          <w:tcPr>
            <w:tcW w:w="2378" w:type="dxa"/>
          </w:tcPr>
          <w:p w14:paraId="79FADB07" w14:textId="77777777" w:rsidR="00E54343"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Customer application</w:t>
            </w:r>
          </w:p>
          <w:p w14:paraId="27B186D8" w14:textId="77777777" w:rsidR="00E54343" w:rsidRPr="001607FD"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tc>
      </w:tr>
      <w:tr w:rsidR="00E54343" w:rsidRPr="001607FD" w14:paraId="7E887DEE" w14:textId="77777777" w:rsidTr="006A571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60077158" w14:textId="77777777" w:rsidR="00E54343" w:rsidRPr="001607FD" w:rsidRDefault="00E54343" w:rsidP="00552ABF">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Partial Participant</w:t>
            </w:r>
          </w:p>
        </w:tc>
        <w:tc>
          <w:tcPr>
            <w:tcW w:w="3651" w:type="dxa"/>
          </w:tcPr>
          <w:p w14:paraId="189415C3"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Partial participant interviews</w:t>
            </w:r>
          </w:p>
        </w:tc>
        <w:tc>
          <w:tcPr>
            <w:tcW w:w="2378" w:type="dxa"/>
          </w:tcPr>
          <w:p w14:paraId="041396B0"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tc>
      </w:tr>
      <w:tr w:rsidR="00E54343" w:rsidRPr="001607FD" w14:paraId="53C6C414" w14:textId="77777777" w:rsidTr="006A571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555402CE" w14:textId="77777777" w:rsidR="00E54343" w:rsidRPr="001607FD" w:rsidRDefault="00E54343" w:rsidP="00552ABF">
            <w:pPr>
              <w:pStyle w:val="BodyText1"/>
              <w:keepNext/>
              <w:spacing w:after="0"/>
              <w:jc w:val="left"/>
              <w:rPr>
                <w:rFonts w:ascii="Arial" w:hAnsi="Arial" w:cs="Arial"/>
                <w:sz w:val="18"/>
                <w:szCs w:val="14"/>
                <w:lang w:eastAsia="x-none"/>
              </w:rPr>
            </w:pPr>
            <w:r>
              <w:rPr>
                <w:rFonts w:ascii="Arial" w:hAnsi="Arial" w:cs="Arial"/>
                <w:sz w:val="18"/>
                <w:szCs w:val="14"/>
                <w:lang w:eastAsia="x-none"/>
              </w:rPr>
              <w:t>Contractor Data</w:t>
            </w:r>
          </w:p>
        </w:tc>
        <w:tc>
          <w:tcPr>
            <w:tcW w:w="3651" w:type="dxa"/>
          </w:tcPr>
          <w:p w14:paraId="12FC6FAE" w14:textId="77777777" w:rsidR="00E54343" w:rsidRPr="001607FD"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Trade ally interviews</w:t>
            </w:r>
          </w:p>
        </w:tc>
        <w:tc>
          <w:tcPr>
            <w:tcW w:w="2378" w:type="dxa"/>
          </w:tcPr>
          <w:p w14:paraId="79552DB0" w14:textId="77777777" w:rsidR="00E54343"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tc>
      </w:tr>
      <w:tr w:rsidR="00E54343" w:rsidRPr="001607FD" w14:paraId="27B6CB0B" w14:textId="77777777" w:rsidTr="006A571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0B5D18F2" w14:textId="77777777" w:rsidR="00E54343" w:rsidRPr="001607FD" w:rsidRDefault="00E54343" w:rsidP="00552ABF">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Program Dates</w:t>
            </w:r>
          </w:p>
        </w:tc>
        <w:tc>
          <w:tcPr>
            <w:tcW w:w="3651" w:type="dxa"/>
          </w:tcPr>
          <w:p w14:paraId="0D92C20D"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Process Analysis</w:t>
            </w:r>
          </w:p>
          <w:p w14:paraId="522B20CC"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Impact Analysis</w:t>
            </w:r>
          </w:p>
        </w:tc>
        <w:tc>
          <w:tcPr>
            <w:tcW w:w="2378" w:type="dxa"/>
          </w:tcPr>
          <w:p w14:paraId="5B96152A"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 project folder</w:t>
            </w:r>
          </w:p>
        </w:tc>
      </w:tr>
      <w:tr w:rsidR="00E54343" w:rsidRPr="001607FD" w14:paraId="0366F5FA" w14:textId="77777777" w:rsidTr="006A571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2A983638" w14:textId="77777777" w:rsidR="00E54343" w:rsidRPr="001607FD" w:rsidRDefault="00E54343" w:rsidP="00552ABF">
            <w:pPr>
              <w:pStyle w:val="BodyText1"/>
              <w:keepNext/>
              <w:spacing w:after="0"/>
              <w:jc w:val="left"/>
              <w:rPr>
                <w:rFonts w:ascii="Arial" w:hAnsi="Arial" w:cs="Arial"/>
                <w:sz w:val="18"/>
                <w:szCs w:val="14"/>
                <w:lang w:eastAsia="x-none"/>
              </w:rPr>
            </w:pPr>
            <w:r>
              <w:rPr>
                <w:rFonts w:ascii="Arial" w:hAnsi="Arial" w:cs="Arial"/>
                <w:sz w:val="18"/>
                <w:szCs w:val="14"/>
                <w:lang w:eastAsia="x-none"/>
              </w:rPr>
              <w:t>Facility Type</w:t>
            </w:r>
            <w:r w:rsidRPr="001607FD">
              <w:rPr>
                <w:rFonts w:ascii="Arial" w:hAnsi="Arial" w:cs="Arial"/>
                <w:sz w:val="18"/>
                <w:szCs w:val="14"/>
                <w:lang w:eastAsia="x-none"/>
              </w:rPr>
              <w:t xml:space="preserve"> &amp; Baseline Equipment</w:t>
            </w:r>
          </w:p>
        </w:tc>
        <w:tc>
          <w:tcPr>
            <w:tcW w:w="3651" w:type="dxa"/>
          </w:tcPr>
          <w:p w14:paraId="2C64D84A" w14:textId="77777777" w:rsidR="00E54343" w:rsidRPr="001607FD"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TRM Update</w:t>
            </w:r>
          </w:p>
        </w:tc>
        <w:tc>
          <w:tcPr>
            <w:tcW w:w="2378" w:type="dxa"/>
          </w:tcPr>
          <w:p w14:paraId="33CA4F79" w14:textId="77777777" w:rsidR="00E54343"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Customer application</w:t>
            </w:r>
          </w:p>
          <w:p w14:paraId="73579E75" w14:textId="77777777" w:rsidR="00E54343" w:rsidRPr="001607FD"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tc>
      </w:tr>
      <w:tr w:rsidR="00E54343" w:rsidRPr="001607FD" w14:paraId="7D799E42" w14:textId="77777777" w:rsidTr="006A571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1FF73AE2" w14:textId="77777777" w:rsidR="00E54343" w:rsidRPr="001607FD" w:rsidRDefault="00E54343" w:rsidP="00552ABF">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Partner Utility Data</w:t>
            </w:r>
          </w:p>
        </w:tc>
        <w:tc>
          <w:tcPr>
            <w:tcW w:w="3651" w:type="dxa"/>
          </w:tcPr>
          <w:p w14:paraId="6A9AB961"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 xml:space="preserve">Match to the electric usage data for the </w:t>
            </w:r>
            <w:r>
              <w:rPr>
                <w:rFonts w:ascii="Arial" w:hAnsi="Arial" w:cs="Arial"/>
                <w:sz w:val="18"/>
                <w:szCs w:val="14"/>
                <w:lang w:eastAsia="x-none"/>
              </w:rPr>
              <w:t xml:space="preserve">consumption </w:t>
            </w:r>
            <w:r w:rsidRPr="001607FD">
              <w:rPr>
                <w:rFonts w:ascii="Arial" w:hAnsi="Arial" w:cs="Arial"/>
                <w:sz w:val="18"/>
                <w:szCs w:val="14"/>
                <w:lang w:eastAsia="x-none"/>
              </w:rPr>
              <w:t>analysis</w:t>
            </w:r>
            <w:r>
              <w:rPr>
                <w:rFonts w:ascii="Arial" w:hAnsi="Arial" w:cs="Arial"/>
                <w:sz w:val="18"/>
                <w:szCs w:val="14"/>
                <w:lang w:eastAsia="x-none"/>
              </w:rPr>
              <w:t>, if necessary</w:t>
            </w:r>
            <w:r w:rsidRPr="001607FD">
              <w:rPr>
                <w:rFonts w:ascii="Arial" w:hAnsi="Arial" w:cs="Arial"/>
                <w:sz w:val="18"/>
                <w:szCs w:val="14"/>
                <w:lang w:eastAsia="x-none"/>
              </w:rPr>
              <w:t>.</w:t>
            </w:r>
          </w:p>
        </w:tc>
        <w:tc>
          <w:tcPr>
            <w:tcW w:w="2378" w:type="dxa"/>
          </w:tcPr>
          <w:p w14:paraId="4CC6B0CE"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Project Documentation (</w:t>
            </w:r>
            <w:r w:rsidRPr="00825BF5">
              <w:rPr>
                <w:rFonts w:ascii="Arial" w:hAnsi="Arial" w:cs="Arial"/>
                <w:i/>
                <w:iCs/>
                <w:sz w:val="18"/>
                <w:szCs w:val="14"/>
                <w:lang w:eastAsia="x-none"/>
              </w:rPr>
              <w:t>Bills</w:t>
            </w:r>
            <w:r>
              <w:rPr>
                <w:rFonts w:ascii="Arial" w:hAnsi="Arial" w:cs="Arial"/>
                <w:sz w:val="18"/>
                <w:szCs w:val="14"/>
                <w:lang w:eastAsia="x-none"/>
              </w:rPr>
              <w:t xml:space="preserve"> folder)</w:t>
            </w:r>
          </w:p>
        </w:tc>
      </w:tr>
      <w:tr w:rsidR="00E54343" w:rsidRPr="001607FD" w14:paraId="7C961888" w14:textId="77777777" w:rsidTr="006A571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3DB9387F" w14:textId="77777777" w:rsidR="00E54343" w:rsidRPr="001607FD" w:rsidRDefault="00E54343" w:rsidP="00552ABF">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Installed Measures</w:t>
            </w:r>
          </w:p>
        </w:tc>
        <w:tc>
          <w:tcPr>
            <w:tcW w:w="3651" w:type="dxa"/>
          </w:tcPr>
          <w:p w14:paraId="05B936FC" w14:textId="77777777" w:rsidR="00E54343" w:rsidRPr="001607FD"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 xml:space="preserve">Impact </w:t>
            </w:r>
            <w:r>
              <w:rPr>
                <w:rFonts w:ascii="Arial" w:hAnsi="Arial" w:cs="Arial"/>
                <w:sz w:val="18"/>
                <w:szCs w:val="14"/>
                <w:lang w:eastAsia="x-none"/>
              </w:rPr>
              <w:t xml:space="preserve">evaluation </w:t>
            </w:r>
            <w:r w:rsidRPr="001607FD">
              <w:rPr>
                <w:rFonts w:ascii="Arial" w:hAnsi="Arial" w:cs="Arial"/>
                <w:sz w:val="18"/>
                <w:szCs w:val="14"/>
                <w:lang w:eastAsia="x-none"/>
              </w:rPr>
              <w:t>analysis</w:t>
            </w:r>
          </w:p>
        </w:tc>
        <w:tc>
          <w:tcPr>
            <w:tcW w:w="2378" w:type="dxa"/>
          </w:tcPr>
          <w:p w14:paraId="2D7F02AB" w14:textId="77777777" w:rsidR="00E54343" w:rsidRPr="001607FD"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tc>
      </w:tr>
      <w:tr w:rsidR="00E54343" w:rsidRPr="001607FD" w14:paraId="4798CFBB" w14:textId="77777777" w:rsidTr="006A571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25382560" w14:textId="77777777" w:rsidR="00E54343" w:rsidRPr="001607FD" w:rsidRDefault="00E54343" w:rsidP="00552ABF">
            <w:pPr>
              <w:pStyle w:val="BodyText1"/>
              <w:keepNext/>
              <w:spacing w:after="0"/>
              <w:jc w:val="left"/>
              <w:rPr>
                <w:rFonts w:ascii="Arial" w:hAnsi="Arial" w:cs="Arial"/>
                <w:sz w:val="18"/>
                <w:szCs w:val="14"/>
                <w:lang w:eastAsia="x-none"/>
              </w:rPr>
            </w:pPr>
            <w:r w:rsidRPr="001607FD">
              <w:rPr>
                <w:rFonts w:ascii="Arial" w:hAnsi="Arial" w:cs="Arial"/>
                <w:sz w:val="18"/>
                <w:szCs w:val="14"/>
                <w:lang w:eastAsia="x-none"/>
              </w:rPr>
              <w:t>Installed Measure Characteristics</w:t>
            </w:r>
          </w:p>
        </w:tc>
        <w:tc>
          <w:tcPr>
            <w:tcW w:w="3651" w:type="dxa"/>
          </w:tcPr>
          <w:p w14:paraId="75FE9309"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TRM Update</w:t>
            </w:r>
          </w:p>
        </w:tc>
        <w:tc>
          <w:tcPr>
            <w:tcW w:w="2378" w:type="dxa"/>
          </w:tcPr>
          <w:p w14:paraId="425BC531" w14:textId="77777777" w:rsidR="00E54343"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p w14:paraId="55A8CBA1" w14:textId="77777777" w:rsidR="00E54343" w:rsidRPr="001607FD" w:rsidRDefault="00E54343" w:rsidP="00552ABF">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Project Documentation</w:t>
            </w:r>
          </w:p>
        </w:tc>
      </w:tr>
      <w:tr w:rsidR="00E54343" w:rsidRPr="001607FD" w14:paraId="28615CCC" w14:textId="77777777" w:rsidTr="006A571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4C661685" w14:textId="77777777" w:rsidR="00E54343" w:rsidRPr="001607FD" w:rsidRDefault="00E54343" w:rsidP="00552ABF">
            <w:pPr>
              <w:pStyle w:val="BodyText1"/>
              <w:keepNext/>
              <w:keepLines/>
              <w:spacing w:after="0"/>
              <w:jc w:val="left"/>
              <w:rPr>
                <w:rFonts w:ascii="Arial" w:hAnsi="Arial" w:cs="Arial"/>
                <w:sz w:val="18"/>
                <w:szCs w:val="14"/>
                <w:lang w:eastAsia="x-none"/>
              </w:rPr>
            </w:pPr>
            <w:r>
              <w:rPr>
                <w:rFonts w:ascii="Arial" w:hAnsi="Arial" w:cs="Arial"/>
                <w:sz w:val="18"/>
                <w:szCs w:val="14"/>
                <w:lang w:eastAsia="x-none"/>
              </w:rPr>
              <w:t>Measure/Project</w:t>
            </w:r>
            <w:r w:rsidRPr="001607FD">
              <w:rPr>
                <w:rFonts w:ascii="Arial" w:hAnsi="Arial" w:cs="Arial"/>
                <w:sz w:val="18"/>
                <w:szCs w:val="14"/>
                <w:lang w:eastAsia="x-none"/>
              </w:rPr>
              <w:t xml:space="preserve"> Cost</w:t>
            </w:r>
          </w:p>
        </w:tc>
        <w:tc>
          <w:tcPr>
            <w:tcW w:w="3651" w:type="dxa"/>
          </w:tcPr>
          <w:p w14:paraId="037AC124" w14:textId="77777777" w:rsidR="00E54343" w:rsidRPr="001607FD" w:rsidRDefault="00E54343" w:rsidP="00552ABF">
            <w:pPr>
              <w:pStyle w:val="BodyText1"/>
              <w:keepNext/>
              <w:keepLine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Cost-effectiveness</w:t>
            </w:r>
          </w:p>
        </w:tc>
        <w:tc>
          <w:tcPr>
            <w:tcW w:w="2378" w:type="dxa"/>
          </w:tcPr>
          <w:p w14:paraId="175026DF" w14:textId="77777777" w:rsidR="00E54343" w:rsidRDefault="00E54343" w:rsidP="00552AB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p w14:paraId="78EFF39A" w14:textId="77777777" w:rsidR="00E54343" w:rsidRPr="001607FD" w:rsidRDefault="00E54343" w:rsidP="00552ABF">
            <w:pPr>
              <w:pStyle w:val="BodyText1"/>
              <w:keepNext/>
              <w:keepLine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Project Documentation</w:t>
            </w:r>
          </w:p>
        </w:tc>
      </w:tr>
      <w:tr w:rsidR="00E54343" w:rsidRPr="001607FD" w14:paraId="605AD50A" w14:textId="77777777" w:rsidTr="006A571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3A31CFB5" w14:textId="77777777" w:rsidR="00E54343" w:rsidRPr="001607FD" w:rsidRDefault="00E54343" w:rsidP="00552ABF">
            <w:pPr>
              <w:pStyle w:val="BodyText1"/>
              <w:keepNext/>
              <w:keepLines/>
              <w:spacing w:after="0"/>
              <w:jc w:val="left"/>
              <w:rPr>
                <w:rFonts w:ascii="Arial" w:hAnsi="Arial" w:cs="Arial"/>
                <w:sz w:val="18"/>
                <w:szCs w:val="14"/>
                <w:lang w:eastAsia="x-none"/>
              </w:rPr>
            </w:pPr>
            <w:r>
              <w:rPr>
                <w:rFonts w:ascii="Arial" w:hAnsi="Arial" w:cs="Arial"/>
                <w:sz w:val="18"/>
                <w:szCs w:val="14"/>
                <w:lang w:eastAsia="x-none"/>
              </w:rPr>
              <w:t>Monthly Energy Usage</w:t>
            </w:r>
          </w:p>
        </w:tc>
        <w:tc>
          <w:tcPr>
            <w:tcW w:w="3651" w:type="dxa"/>
          </w:tcPr>
          <w:p w14:paraId="23FA252D" w14:textId="77777777" w:rsidR="00E54343" w:rsidRPr="001607FD" w:rsidRDefault="00E54343" w:rsidP="00552ABF">
            <w:pPr>
              <w:pStyle w:val="BodyText1"/>
              <w:keepNext/>
              <w:keepLines/>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Consumption analysis</w:t>
            </w:r>
          </w:p>
        </w:tc>
        <w:tc>
          <w:tcPr>
            <w:tcW w:w="2378" w:type="dxa"/>
          </w:tcPr>
          <w:p w14:paraId="4E7101B1" w14:textId="77777777" w:rsidR="00E54343" w:rsidRPr="001607FD" w:rsidRDefault="00E54343" w:rsidP="00552ABF">
            <w:pPr>
              <w:pStyle w:val="BodyText1"/>
              <w:keepNext/>
              <w:keepLines/>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Project Documentation (</w:t>
            </w:r>
            <w:r w:rsidRPr="00EF5DD9">
              <w:rPr>
                <w:rFonts w:ascii="Arial" w:hAnsi="Arial" w:cs="Arial"/>
                <w:i/>
                <w:iCs/>
                <w:sz w:val="18"/>
                <w:szCs w:val="14"/>
                <w:lang w:eastAsia="x-none"/>
              </w:rPr>
              <w:t>Bills</w:t>
            </w:r>
            <w:r>
              <w:rPr>
                <w:rFonts w:ascii="Arial" w:hAnsi="Arial" w:cs="Arial"/>
                <w:sz w:val="18"/>
                <w:szCs w:val="14"/>
                <w:lang w:eastAsia="x-none"/>
              </w:rPr>
              <w:t xml:space="preserve"> folder)</w:t>
            </w:r>
          </w:p>
        </w:tc>
      </w:tr>
      <w:tr w:rsidR="00E54343" w:rsidRPr="001607FD" w14:paraId="1E28DE7D" w14:textId="77777777" w:rsidTr="006A571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321" w:type="dxa"/>
          </w:tcPr>
          <w:p w14:paraId="17ABD67F" w14:textId="77777777" w:rsidR="00E54343" w:rsidRPr="001607FD" w:rsidRDefault="00E54343" w:rsidP="00CD530D">
            <w:pPr>
              <w:pStyle w:val="BodyText1"/>
              <w:spacing w:after="0"/>
              <w:jc w:val="left"/>
              <w:rPr>
                <w:rFonts w:ascii="Arial" w:hAnsi="Arial" w:cs="Arial"/>
                <w:sz w:val="18"/>
                <w:szCs w:val="14"/>
                <w:lang w:eastAsia="x-none"/>
              </w:rPr>
            </w:pPr>
            <w:r w:rsidRPr="001607FD">
              <w:rPr>
                <w:rFonts w:ascii="Arial" w:hAnsi="Arial" w:cs="Arial"/>
                <w:sz w:val="18"/>
                <w:szCs w:val="14"/>
                <w:lang w:eastAsia="x-none"/>
              </w:rPr>
              <w:t>Energy Savings</w:t>
            </w:r>
          </w:p>
        </w:tc>
        <w:tc>
          <w:tcPr>
            <w:tcW w:w="3651" w:type="dxa"/>
          </w:tcPr>
          <w:p w14:paraId="36509543" w14:textId="77777777" w:rsidR="00E54343" w:rsidRPr="001607FD" w:rsidRDefault="00E54343" w:rsidP="00CD530D">
            <w:pPr>
              <w:pStyle w:val="BodyText1"/>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Realization Rate</w:t>
            </w:r>
          </w:p>
          <w:p w14:paraId="4C7AFDFC" w14:textId="77777777" w:rsidR="00E54343" w:rsidRPr="001607FD" w:rsidRDefault="00E54343" w:rsidP="00CD530D">
            <w:pPr>
              <w:pStyle w:val="BodyText1"/>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sidRPr="001607FD">
              <w:rPr>
                <w:rFonts w:ascii="Arial" w:hAnsi="Arial" w:cs="Arial"/>
                <w:sz w:val="18"/>
                <w:szCs w:val="14"/>
                <w:lang w:eastAsia="x-none"/>
              </w:rPr>
              <w:t>TRM Updates</w:t>
            </w:r>
          </w:p>
        </w:tc>
        <w:tc>
          <w:tcPr>
            <w:tcW w:w="2378" w:type="dxa"/>
          </w:tcPr>
          <w:p w14:paraId="256E93CD" w14:textId="77777777" w:rsidR="00E54343" w:rsidRPr="001607FD" w:rsidRDefault="00E54343" w:rsidP="00CD530D">
            <w:pPr>
              <w:pStyle w:val="BodyText1"/>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iEPM</w:t>
            </w:r>
          </w:p>
        </w:tc>
      </w:tr>
    </w:tbl>
    <w:p w14:paraId="205D6FFC" w14:textId="4457ED22" w:rsidR="00DE0A20" w:rsidRDefault="00DE0A20" w:rsidP="00DE0A20">
      <w:pPr>
        <w:pStyle w:val="BodyText"/>
      </w:pPr>
      <w:r>
        <w:t xml:space="preserve">Based on project documentation reviewed for each of the seven </w:t>
      </w:r>
      <w:r w:rsidRPr="00163CE0">
        <w:t xml:space="preserve">C&amp;I </w:t>
      </w:r>
      <w:r>
        <w:t>prescriptive</w:t>
      </w:r>
      <w:r w:rsidRPr="00163CE0">
        <w:t xml:space="preserve"> projects that were initiated in </w:t>
      </w:r>
      <w:r>
        <w:t xml:space="preserve">PY1, DNV determined that NJNG was collecting extensive data to perform </w:t>
      </w:r>
      <w:r w:rsidR="00652708">
        <w:t xml:space="preserve">a </w:t>
      </w:r>
      <w:r>
        <w:t>detailed evaluation in the future.</w:t>
      </w:r>
    </w:p>
    <w:p w14:paraId="5137D852" w14:textId="488462E7" w:rsidR="00DE0A20" w:rsidRPr="00DE0A20" w:rsidRDefault="00DE0A20" w:rsidP="00E54343">
      <w:pPr>
        <w:pStyle w:val="BodyText"/>
        <w:spacing w:before="120"/>
        <w:rPr>
          <w:b/>
          <w:bCs/>
        </w:rPr>
      </w:pPr>
      <w:r w:rsidRPr="00DE0A20">
        <w:rPr>
          <w:b/>
          <w:bCs/>
        </w:rPr>
        <w:lastRenderedPageBreak/>
        <w:t>Savings Calculation:</w:t>
      </w:r>
    </w:p>
    <w:p w14:paraId="20EC3209" w14:textId="73F0B9B0" w:rsidR="00E54343" w:rsidRDefault="00E54343" w:rsidP="00E54343">
      <w:pPr>
        <w:pStyle w:val="BodyText"/>
        <w:spacing w:before="120"/>
      </w:pPr>
      <w:r>
        <w:t xml:space="preserve">Currently, NJNG estimates energy savings resulting from </w:t>
      </w:r>
      <w:r w:rsidR="00E939A8">
        <w:t xml:space="preserve">the </w:t>
      </w:r>
      <w:r>
        <w:t xml:space="preserve">installation of prescriptive measures within iEPM. The iEPM database utilizes key measure input parameters and assumptions provided by the applicant for individual measures to estimate savings per guidance and algorithms from </w:t>
      </w:r>
      <w:r w:rsidR="00E939A8">
        <w:t>Coordinated Measure List</w:t>
      </w:r>
      <w:r w:rsidR="00BD4177">
        <w:rPr>
          <w:rStyle w:val="FootnoteReference"/>
        </w:rPr>
        <w:footnoteReference w:id="9"/>
      </w:r>
      <w:r>
        <w:t xml:space="preserve"> and the 2020 New Jersey Technical Reference Manual (NJ TRM). Evaluators verified that the iEPM database </w:t>
      </w:r>
      <w:r w:rsidR="00BD4177">
        <w:t>estimated</w:t>
      </w:r>
      <w:r>
        <w:t xml:space="preserve"> tracking savings appropriately per algorithms and assumptions provided in the NJ TRM. For example, furnace capacity, facility type (to estimate equivalent full</w:t>
      </w:r>
      <w:r w:rsidR="00E939A8">
        <w:t>-</w:t>
      </w:r>
      <w:r>
        <w:t xml:space="preserve">load heating hours per NJ TRM), baseline AFUE and installed unit AFUE for a gas-fired furnace replacement measure savings estimation was utilized from the customer application and actual installed furnace specification sheets provided in </w:t>
      </w:r>
      <w:r w:rsidR="00E939A8">
        <w:t xml:space="preserve">the </w:t>
      </w:r>
      <w:r>
        <w:t xml:space="preserve">project documentation. </w:t>
      </w:r>
    </w:p>
    <w:p w14:paraId="204847D5" w14:textId="1ADCD414" w:rsidR="00E54343" w:rsidRDefault="00E54343" w:rsidP="00E54343">
      <w:pPr>
        <w:pStyle w:val="BodyText"/>
      </w:pPr>
      <w:r>
        <w:t xml:space="preserve">Evaluators also verified that the electric savings calculated by iEPM for installed measures (ex: </w:t>
      </w:r>
      <w:r w:rsidR="00486726">
        <w:t>furnace</w:t>
      </w:r>
      <w:r>
        <w:t xml:space="preserve">) </w:t>
      </w:r>
      <w:r w:rsidRPr="00197105">
        <w:t xml:space="preserve">where NJNG is the lead utility </w:t>
      </w:r>
      <w:r>
        <w:t>was</w:t>
      </w:r>
      <w:r w:rsidRPr="00197105">
        <w:t xml:space="preserve"> reasonable and follow</w:t>
      </w:r>
      <w:r w:rsidR="00E939A8">
        <w:t>ed</w:t>
      </w:r>
      <w:r w:rsidRPr="00197105">
        <w:t xml:space="preserve"> </w:t>
      </w:r>
      <w:r>
        <w:t xml:space="preserve">algorithms and assumptions provided by </w:t>
      </w:r>
      <w:r w:rsidR="00E939A8">
        <w:t>Coordinated Measure List</w:t>
      </w:r>
      <w:r>
        <w:t xml:space="preserve"> and the 2020 NJ TRM.</w:t>
      </w:r>
    </w:p>
    <w:p w14:paraId="2255EA6D" w14:textId="77777777" w:rsidR="00AA15F2" w:rsidRDefault="00AA15F2" w:rsidP="00E54343">
      <w:pPr>
        <w:pStyle w:val="BodyText"/>
      </w:pPr>
    </w:p>
    <w:p w14:paraId="512E1B36" w14:textId="77777777" w:rsidR="00AA15F2" w:rsidRPr="007C6C4A" w:rsidRDefault="00AA15F2" w:rsidP="00E54343">
      <w:pPr>
        <w:pStyle w:val="BodyText"/>
      </w:pPr>
    </w:p>
    <w:p w14:paraId="0FF87193" w14:textId="77777777" w:rsidR="00E54343" w:rsidRDefault="00E54343" w:rsidP="00E54343">
      <w:pPr>
        <w:rPr>
          <w:b/>
          <w:caps/>
          <w:color w:val="0F204B"/>
          <w:sz w:val="26"/>
        </w:rPr>
      </w:pPr>
      <w:r>
        <w:br w:type="page"/>
      </w:r>
    </w:p>
    <w:p w14:paraId="100CD818" w14:textId="0ADF4E04" w:rsidR="006F0963" w:rsidRDefault="006F0963" w:rsidP="00535521">
      <w:pPr>
        <w:pStyle w:val="Heading1"/>
      </w:pPr>
      <w:bookmarkStart w:id="26" w:name="_Toc145924008"/>
      <w:r>
        <w:lastRenderedPageBreak/>
        <w:t>Program Comparisons</w:t>
      </w:r>
      <w:bookmarkEnd w:id="26"/>
    </w:p>
    <w:p w14:paraId="331D0F0A" w14:textId="5AAEECE3" w:rsidR="005C494D" w:rsidRPr="002F40DC" w:rsidRDefault="005C494D" w:rsidP="005C494D">
      <w:pPr>
        <w:pStyle w:val="BodyText"/>
      </w:pPr>
      <w:r w:rsidRPr="009E241A">
        <w:t>This section review</w:t>
      </w:r>
      <w:r w:rsidR="009D3E59" w:rsidRPr="009E241A">
        <w:t>s process and impact evaluation findi</w:t>
      </w:r>
      <w:r w:rsidRPr="009E241A">
        <w:t xml:space="preserve">ngs from a sampling of other </w:t>
      </w:r>
      <w:r w:rsidR="009D3E59">
        <w:t>p</w:t>
      </w:r>
      <w:r>
        <w:t xml:space="preserve">rescriptive </w:t>
      </w:r>
      <w:r w:rsidR="009D3E59">
        <w:t>and</w:t>
      </w:r>
      <w:r w:rsidR="00546F41">
        <w:t xml:space="preserve"> custom</w:t>
      </w:r>
      <w:r>
        <w:t xml:space="preserve"> </w:t>
      </w:r>
      <w:r w:rsidRPr="009E241A">
        <w:t>programs</w:t>
      </w:r>
      <w:r>
        <w:t xml:space="preserve"> </w:t>
      </w:r>
      <w:r w:rsidRPr="009E241A">
        <w:t>around the country.</w:t>
      </w:r>
      <w:r w:rsidR="00D103CA">
        <w:t xml:space="preserve"> </w:t>
      </w:r>
      <w:r w:rsidR="00790866">
        <w:fldChar w:fldCharType="begin"/>
      </w:r>
      <w:r w:rsidR="00790866">
        <w:instrText xml:space="preserve"> REF _Ref124161163 \h </w:instrText>
      </w:r>
      <w:r w:rsidR="00790866">
        <w:fldChar w:fldCharType="separate"/>
      </w:r>
      <w:r w:rsidR="000344CB">
        <w:t xml:space="preserve">Table </w:t>
      </w:r>
      <w:r w:rsidR="000344CB">
        <w:rPr>
          <w:noProof/>
        </w:rPr>
        <w:t>4</w:t>
      </w:r>
      <w:r w:rsidR="000344CB">
        <w:noBreakHyphen/>
      </w:r>
      <w:r w:rsidR="000344CB">
        <w:rPr>
          <w:noProof/>
        </w:rPr>
        <w:t>1</w:t>
      </w:r>
      <w:r w:rsidR="00790866">
        <w:fldChar w:fldCharType="end"/>
      </w:r>
      <w:r w:rsidR="00790866">
        <w:t xml:space="preserve"> and </w:t>
      </w:r>
      <w:r w:rsidR="00790866">
        <w:fldChar w:fldCharType="begin"/>
      </w:r>
      <w:r w:rsidR="00790866">
        <w:instrText xml:space="preserve"> REF _Ref124161174 \h </w:instrText>
      </w:r>
      <w:r w:rsidR="00790866">
        <w:fldChar w:fldCharType="separate"/>
      </w:r>
      <w:r w:rsidR="000344CB">
        <w:t xml:space="preserve">Table </w:t>
      </w:r>
      <w:r w:rsidR="000344CB">
        <w:rPr>
          <w:noProof/>
        </w:rPr>
        <w:t>4</w:t>
      </w:r>
      <w:r w:rsidR="000344CB">
        <w:noBreakHyphen/>
      </w:r>
      <w:r w:rsidR="000344CB">
        <w:rPr>
          <w:noProof/>
        </w:rPr>
        <w:t>2</w:t>
      </w:r>
      <w:r w:rsidR="00790866">
        <w:fldChar w:fldCharType="end"/>
      </w:r>
      <w:r w:rsidR="00790866">
        <w:t xml:space="preserve"> </w:t>
      </w:r>
      <w:r w:rsidR="00FE206E">
        <w:t>display p</w:t>
      </w:r>
      <w:r w:rsidR="00FE206E" w:rsidRPr="007503E4">
        <w:t xml:space="preserve">rocess and </w:t>
      </w:r>
      <w:r w:rsidR="00FE206E">
        <w:t>i</w:t>
      </w:r>
      <w:r w:rsidR="00FE206E" w:rsidRPr="007503E4">
        <w:t xml:space="preserve">mpact </w:t>
      </w:r>
      <w:r w:rsidR="00FE206E">
        <w:t>e</w:t>
      </w:r>
      <w:r w:rsidR="00FE206E" w:rsidRPr="007503E4">
        <w:t xml:space="preserve">valuation findings from </w:t>
      </w:r>
      <w:r w:rsidR="00FE206E">
        <w:t xml:space="preserve">a sampling of </w:t>
      </w:r>
      <w:r w:rsidR="00FE206E" w:rsidRPr="007503E4">
        <w:t>other</w:t>
      </w:r>
      <w:r w:rsidR="00FE206E">
        <w:t xml:space="preserve"> programs </w:t>
      </w:r>
      <w:proofErr w:type="gramStart"/>
      <w:r w:rsidR="00FE206E">
        <w:t>similar to</w:t>
      </w:r>
      <w:proofErr w:type="gramEnd"/>
      <w:r w:rsidR="00FE206E">
        <w:t xml:space="preserve"> Prescriptive </w:t>
      </w:r>
      <w:r w:rsidR="0046616A">
        <w:t>&amp; Custom</w:t>
      </w:r>
      <w:r w:rsidR="00FE206E">
        <w:t xml:space="preserve"> around the country and compare them to NJNG.</w:t>
      </w:r>
    </w:p>
    <w:p w14:paraId="681B80B7" w14:textId="637F1D93" w:rsidR="00563601" w:rsidRDefault="00563601" w:rsidP="00563601">
      <w:pPr>
        <w:pStyle w:val="Caption"/>
      </w:pPr>
      <w:bookmarkStart w:id="27" w:name="_Ref124161163"/>
      <w:r>
        <w:t xml:space="preserve">Table </w:t>
      </w:r>
      <w:r>
        <w:fldChar w:fldCharType="begin"/>
      </w:r>
      <w:r>
        <w:instrText xml:space="preserve"> STYLEREF 1 \s </w:instrText>
      </w:r>
      <w:r>
        <w:fldChar w:fldCharType="separate"/>
      </w:r>
      <w:r w:rsidR="000344CB">
        <w:rPr>
          <w:noProof/>
        </w:rPr>
        <w:t>4</w:t>
      </w:r>
      <w:r>
        <w:fldChar w:fldCharType="end"/>
      </w:r>
      <w:r>
        <w:noBreakHyphen/>
      </w:r>
      <w:r>
        <w:fldChar w:fldCharType="begin"/>
      </w:r>
      <w:r>
        <w:instrText xml:space="preserve"> SEQ Table \* ARABIC \s 1 </w:instrText>
      </w:r>
      <w:r>
        <w:fldChar w:fldCharType="separate"/>
      </w:r>
      <w:r w:rsidR="000344CB">
        <w:rPr>
          <w:noProof/>
        </w:rPr>
        <w:t>1</w:t>
      </w:r>
      <w:r>
        <w:fldChar w:fldCharType="end"/>
      </w:r>
      <w:bookmarkEnd w:id="27"/>
      <w:r w:rsidR="009D3E59">
        <w:t>.</w:t>
      </w:r>
      <w:r w:rsidR="00C27966">
        <w:t xml:space="preserve"> Prescriptive</w:t>
      </w:r>
      <w:r w:rsidR="00485A81">
        <w:t>/</w:t>
      </w:r>
      <w:r w:rsidR="009D3E59">
        <w:t>custom and similar programs from other states, process f</w:t>
      </w:r>
      <w:r w:rsidR="00C27966">
        <w:t>indings</w:t>
      </w:r>
    </w:p>
    <w:tbl>
      <w:tblPr>
        <w:tblStyle w:val="DNVNiceStyle"/>
        <w:tblW w:w="0" w:type="auto"/>
        <w:tblInd w:w="10" w:type="dxa"/>
        <w:tblLook w:val="04A0" w:firstRow="1" w:lastRow="0" w:firstColumn="1" w:lastColumn="0" w:noHBand="0" w:noVBand="1"/>
      </w:tblPr>
      <w:tblGrid>
        <w:gridCol w:w="1727"/>
        <w:gridCol w:w="1459"/>
        <w:gridCol w:w="1408"/>
        <w:gridCol w:w="1368"/>
        <w:gridCol w:w="1357"/>
        <w:gridCol w:w="1309"/>
        <w:gridCol w:w="1277"/>
      </w:tblGrid>
      <w:tr w:rsidR="004D47DA" w14:paraId="33559D2C" w14:textId="4AE6B14D" w:rsidTr="000625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7" w:type="dxa"/>
          </w:tcPr>
          <w:p w14:paraId="33374560" w14:textId="77777777" w:rsidR="007B3443" w:rsidRPr="008E52BD" w:rsidRDefault="007B3443" w:rsidP="002B13D5">
            <w:pPr>
              <w:pStyle w:val="BodyText"/>
              <w:rPr>
                <w:b w:val="0"/>
              </w:rPr>
            </w:pPr>
            <w:r w:rsidRPr="007503E4">
              <w:rPr>
                <w:lang w:val="en-US" w:eastAsia="en-US"/>
              </w:rPr>
              <w:t>State/Region</w:t>
            </w:r>
          </w:p>
        </w:tc>
        <w:tc>
          <w:tcPr>
            <w:tcW w:w="1459" w:type="dxa"/>
          </w:tcPr>
          <w:p w14:paraId="6A6D34E9" w14:textId="276896BC" w:rsidR="007B3443" w:rsidRPr="008E52BD" w:rsidRDefault="00563601" w:rsidP="002B13D5">
            <w:pPr>
              <w:pStyle w:val="BodyText"/>
              <w:cnfStyle w:val="100000000000" w:firstRow="1" w:lastRow="0" w:firstColumn="0" w:lastColumn="0" w:oddVBand="0" w:evenVBand="0" w:oddHBand="0" w:evenHBand="0" w:firstRowFirstColumn="0" w:firstRowLastColumn="0" w:lastRowFirstColumn="0" w:lastRowLastColumn="0"/>
              <w:rPr>
                <w:b w:val="0"/>
              </w:rPr>
            </w:pPr>
            <w:r>
              <w:rPr>
                <w:b w:val="0"/>
              </w:rPr>
              <w:t>I</w:t>
            </w:r>
            <w:r w:rsidR="00BB5250">
              <w:rPr>
                <w:b w:val="0"/>
              </w:rPr>
              <w:t>L</w:t>
            </w:r>
          </w:p>
        </w:tc>
        <w:tc>
          <w:tcPr>
            <w:tcW w:w="1408" w:type="dxa"/>
          </w:tcPr>
          <w:p w14:paraId="7A93C1F5" w14:textId="77E9708D" w:rsidR="007B3443" w:rsidRPr="008E52BD" w:rsidRDefault="001A7061" w:rsidP="002B13D5">
            <w:pPr>
              <w:pStyle w:val="BodyText"/>
              <w:cnfStyle w:val="100000000000" w:firstRow="1" w:lastRow="0" w:firstColumn="0" w:lastColumn="0" w:oddVBand="0" w:evenVBand="0" w:oddHBand="0" w:evenHBand="0" w:firstRowFirstColumn="0" w:firstRowLastColumn="0" w:lastRowFirstColumn="0" w:lastRowLastColumn="0"/>
              <w:rPr>
                <w:b w:val="0"/>
              </w:rPr>
            </w:pPr>
            <w:r>
              <w:rPr>
                <w:b w:val="0"/>
              </w:rPr>
              <w:t>PA</w:t>
            </w:r>
          </w:p>
        </w:tc>
        <w:tc>
          <w:tcPr>
            <w:tcW w:w="1368" w:type="dxa"/>
          </w:tcPr>
          <w:p w14:paraId="1184C2C0" w14:textId="7F657484" w:rsidR="007B3443" w:rsidRPr="008E52BD" w:rsidRDefault="00DC2803" w:rsidP="002B13D5">
            <w:pPr>
              <w:pStyle w:val="BodyText"/>
              <w:cnfStyle w:val="100000000000" w:firstRow="1" w:lastRow="0" w:firstColumn="0" w:lastColumn="0" w:oddVBand="0" w:evenVBand="0" w:oddHBand="0" w:evenHBand="0" w:firstRowFirstColumn="0" w:firstRowLastColumn="0" w:lastRowFirstColumn="0" w:lastRowLastColumn="0"/>
            </w:pPr>
            <w:r>
              <w:t>MD</w:t>
            </w:r>
          </w:p>
        </w:tc>
        <w:tc>
          <w:tcPr>
            <w:tcW w:w="1357" w:type="dxa"/>
          </w:tcPr>
          <w:p w14:paraId="79BFB167" w14:textId="27CD0143" w:rsidR="00203060" w:rsidRPr="00875F10" w:rsidRDefault="00203060" w:rsidP="008F2B19">
            <w:pPr>
              <w:pStyle w:val="BodyText"/>
              <w:cnfStyle w:val="100000000000" w:firstRow="1" w:lastRow="0" w:firstColumn="0" w:lastColumn="0" w:oddVBand="0" w:evenVBand="0" w:oddHBand="0" w:evenHBand="0" w:firstRowFirstColumn="0" w:firstRowLastColumn="0" w:lastRowFirstColumn="0" w:lastRowLastColumn="0"/>
              <w:rPr>
                <w:vertAlign w:val="superscript"/>
              </w:rPr>
            </w:pPr>
            <w:r>
              <w:t>IN</w:t>
            </w:r>
            <w:r w:rsidR="00816360">
              <w:rPr>
                <w:vertAlign w:val="superscript"/>
              </w:rPr>
              <w:t>#</w:t>
            </w:r>
          </w:p>
        </w:tc>
        <w:tc>
          <w:tcPr>
            <w:tcW w:w="1309" w:type="dxa"/>
          </w:tcPr>
          <w:p w14:paraId="7CD0EC12" w14:textId="2BA2906D" w:rsidR="00203060" w:rsidRDefault="00203060" w:rsidP="008F2B19">
            <w:pPr>
              <w:pStyle w:val="BodyText"/>
              <w:cnfStyle w:val="100000000000" w:firstRow="1" w:lastRow="0" w:firstColumn="0" w:lastColumn="0" w:oddVBand="0" w:evenVBand="0" w:oddHBand="0" w:evenHBand="0" w:firstRowFirstColumn="0" w:firstRowLastColumn="0" w:lastRowFirstColumn="0" w:lastRowLastColumn="0"/>
            </w:pPr>
            <w:r>
              <w:t>IN</w:t>
            </w:r>
            <w:r w:rsidR="00816360">
              <w:rPr>
                <w:vertAlign w:val="superscript"/>
              </w:rPr>
              <w:t>##</w:t>
            </w:r>
            <w:r>
              <w:t xml:space="preserve"> </w:t>
            </w:r>
          </w:p>
        </w:tc>
        <w:tc>
          <w:tcPr>
            <w:tcW w:w="1277" w:type="dxa"/>
          </w:tcPr>
          <w:p w14:paraId="1EBCDA90" w14:textId="5F3D550B" w:rsidR="00E70884" w:rsidRDefault="00E70884" w:rsidP="008F2B19">
            <w:pPr>
              <w:pStyle w:val="BodyText"/>
              <w:cnfStyle w:val="100000000000" w:firstRow="1" w:lastRow="0" w:firstColumn="0" w:lastColumn="0" w:oddVBand="0" w:evenVBand="0" w:oddHBand="0" w:evenHBand="0" w:firstRowFirstColumn="0" w:firstRowLastColumn="0" w:lastRowFirstColumn="0" w:lastRowLastColumn="0"/>
            </w:pPr>
            <w:r>
              <w:t>NJNG</w:t>
            </w:r>
          </w:p>
        </w:tc>
      </w:tr>
      <w:tr w:rsidR="004D47DA" w14:paraId="27ED61AB" w14:textId="5ECAFD6A" w:rsidTr="00062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767B7C65" w14:textId="77777777" w:rsidR="007B3443" w:rsidRDefault="007B3443" w:rsidP="00C27D61">
            <w:pPr>
              <w:pStyle w:val="BodyText"/>
              <w:spacing w:before="0" w:after="0" w:line="240" w:lineRule="auto"/>
            </w:pPr>
            <w:r w:rsidRPr="007503E4">
              <w:rPr>
                <w:color w:val="000000" w:themeColor="text1"/>
                <w:lang w:val="en-US" w:eastAsia="en-US"/>
              </w:rPr>
              <w:t>PY</w:t>
            </w:r>
          </w:p>
        </w:tc>
        <w:tc>
          <w:tcPr>
            <w:tcW w:w="1459" w:type="dxa"/>
          </w:tcPr>
          <w:p w14:paraId="7A601F9B" w14:textId="743106DA" w:rsidR="007B3443" w:rsidRDefault="00563601"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202</w:t>
            </w:r>
            <w:r w:rsidR="00BB5250">
              <w:t>1</w:t>
            </w:r>
          </w:p>
        </w:tc>
        <w:tc>
          <w:tcPr>
            <w:tcW w:w="1408" w:type="dxa"/>
          </w:tcPr>
          <w:p w14:paraId="54A97352" w14:textId="17871D21" w:rsidR="007B3443" w:rsidRDefault="00563601"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202</w:t>
            </w:r>
            <w:r w:rsidR="002742C1">
              <w:t>1-2022</w:t>
            </w:r>
          </w:p>
        </w:tc>
        <w:tc>
          <w:tcPr>
            <w:tcW w:w="1368" w:type="dxa"/>
          </w:tcPr>
          <w:p w14:paraId="03B9EDEE" w14:textId="0833692F" w:rsidR="007B3443" w:rsidRDefault="00563601"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202</w:t>
            </w:r>
            <w:r w:rsidR="008B15C8">
              <w:t>0</w:t>
            </w:r>
          </w:p>
        </w:tc>
        <w:tc>
          <w:tcPr>
            <w:tcW w:w="1357" w:type="dxa"/>
          </w:tcPr>
          <w:p w14:paraId="7916C146" w14:textId="77D8894A" w:rsidR="00203060" w:rsidRDefault="00203060"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2019</w:t>
            </w:r>
          </w:p>
        </w:tc>
        <w:tc>
          <w:tcPr>
            <w:tcW w:w="1309" w:type="dxa"/>
          </w:tcPr>
          <w:p w14:paraId="1BE0E4C1" w14:textId="44B97917" w:rsidR="00203060" w:rsidRDefault="00203060"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2019</w:t>
            </w:r>
          </w:p>
        </w:tc>
        <w:tc>
          <w:tcPr>
            <w:tcW w:w="1277" w:type="dxa"/>
          </w:tcPr>
          <w:p w14:paraId="2DA2C4E6" w14:textId="33A2FBA3" w:rsidR="00DB1D84" w:rsidRPr="00DB1D84" w:rsidRDefault="00DB1D84"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DB1D84">
              <w:t>2021/2022</w:t>
            </w:r>
          </w:p>
        </w:tc>
      </w:tr>
      <w:tr w:rsidR="00AC5B8F" w14:paraId="772099A7" w14:textId="3E40B3CC" w:rsidTr="000625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58C8A760" w14:textId="77777777" w:rsidR="007B3443" w:rsidRDefault="007B3443" w:rsidP="00C27D61">
            <w:pPr>
              <w:pStyle w:val="BodyText"/>
              <w:spacing w:before="0" w:after="0" w:line="240" w:lineRule="auto"/>
            </w:pPr>
            <w:r w:rsidRPr="007503E4">
              <w:rPr>
                <w:color w:val="000000" w:themeColor="text1"/>
                <w:lang w:val="en-US" w:eastAsia="en-US"/>
              </w:rPr>
              <w:t>FR</w:t>
            </w:r>
          </w:p>
        </w:tc>
        <w:tc>
          <w:tcPr>
            <w:tcW w:w="1459" w:type="dxa"/>
          </w:tcPr>
          <w:p w14:paraId="70D3C8C3" w14:textId="56B9CA5A" w:rsidR="007B3443" w:rsidRDefault="00030753"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NR</w:t>
            </w:r>
          </w:p>
        </w:tc>
        <w:tc>
          <w:tcPr>
            <w:tcW w:w="1408" w:type="dxa"/>
          </w:tcPr>
          <w:p w14:paraId="07C9D43C" w14:textId="05D38480" w:rsidR="007B3443" w:rsidRDefault="00907F14"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31%</w:t>
            </w:r>
          </w:p>
        </w:tc>
        <w:tc>
          <w:tcPr>
            <w:tcW w:w="1368" w:type="dxa"/>
          </w:tcPr>
          <w:p w14:paraId="64DFAAC8" w14:textId="35301432" w:rsidR="007B3443" w:rsidRDefault="009A1377"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NR</w:t>
            </w:r>
          </w:p>
        </w:tc>
        <w:tc>
          <w:tcPr>
            <w:tcW w:w="1357" w:type="dxa"/>
          </w:tcPr>
          <w:p w14:paraId="100EAC5F" w14:textId="076A2323" w:rsidR="00141527" w:rsidRDefault="00141527"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15%</w:t>
            </w:r>
          </w:p>
        </w:tc>
        <w:tc>
          <w:tcPr>
            <w:tcW w:w="1309" w:type="dxa"/>
          </w:tcPr>
          <w:p w14:paraId="09B1724F" w14:textId="76958B6A" w:rsidR="00A9199C" w:rsidRDefault="00A9199C"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11%</w:t>
            </w:r>
          </w:p>
        </w:tc>
        <w:tc>
          <w:tcPr>
            <w:tcW w:w="1277" w:type="dxa"/>
          </w:tcPr>
          <w:p w14:paraId="3A183CE1" w14:textId="2E9D955B" w:rsidR="00DB1D84" w:rsidRDefault="00DB1D84"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NR</w:t>
            </w:r>
          </w:p>
        </w:tc>
      </w:tr>
      <w:tr w:rsidR="004D47DA" w14:paraId="7E952DE9" w14:textId="77DD14B4" w:rsidTr="00062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38B38F0F" w14:textId="77777777" w:rsidR="007B3443" w:rsidRDefault="007B3443" w:rsidP="00C27D61">
            <w:pPr>
              <w:pStyle w:val="BodyText"/>
              <w:spacing w:before="0" w:after="0" w:line="240" w:lineRule="auto"/>
            </w:pPr>
            <w:r w:rsidRPr="007503E4">
              <w:rPr>
                <w:color w:val="000000" w:themeColor="text1"/>
                <w:lang w:val="en-US" w:eastAsia="en-US"/>
              </w:rPr>
              <w:t>SP</w:t>
            </w:r>
          </w:p>
        </w:tc>
        <w:tc>
          <w:tcPr>
            <w:tcW w:w="1459" w:type="dxa"/>
          </w:tcPr>
          <w:p w14:paraId="740082BE" w14:textId="37946AEB" w:rsidR="007B3443" w:rsidRDefault="0003075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408" w:type="dxa"/>
          </w:tcPr>
          <w:p w14:paraId="52A49F72" w14:textId="067F758F" w:rsidR="007B3443" w:rsidRDefault="00A51F01"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0%</w:t>
            </w:r>
          </w:p>
        </w:tc>
        <w:tc>
          <w:tcPr>
            <w:tcW w:w="1368" w:type="dxa"/>
          </w:tcPr>
          <w:p w14:paraId="1085ABF6" w14:textId="5006EFF3" w:rsidR="007B3443" w:rsidRDefault="009A1377"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357" w:type="dxa"/>
          </w:tcPr>
          <w:p w14:paraId="2040EF66" w14:textId="53DB4D31" w:rsidR="00FE0942" w:rsidRDefault="00FE0942"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0%</w:t>
            </w:r>
          </w:p>
        </w:tc>
        <w:tc>
          <w:tcPr>
            <w:tcW w:w="1309" w:type="dxa"/>
          </w:tcPr>
          <w:p w14:paraId="42F432C4" w14:textId="49EF0AD7" w:rsidR="00FD7EC8" w:rsidRDefault="00FD7EC8"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0%</w:t>
            </w:r>
          </w:p>
        </w:tc>
        <w:tc>
          <w:tcPr>
            <w:tcW w:w="1277" w:type="dxa"/>
          </w:tcPr>
          <w:p w14:paraId="3B566E9B" w14:textId="79680679" w:rsidR="00DB1D84" w:rsidRDefault="00DB1D84"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r>
      <w:tr w:rsidR="00AC5B8F" w14:paraId="6E0BE118" w14:textId="23B4897B" w:rsidTr="000625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3C0F31A4" w14:textId="77777777" w:rsidR="007B3443" w:rsidRDefault="007B3443" w:rsidP="00C27D61">
            <w:pPr>
              <w:pStyle w:val="BodyText"/>
              <w:spacing w:before="0" w:after="0" w:line="240" w:lineRule="auto"/>
            </w:pPr>
            <w:r w:rsidRPr="007503E4">
              <w:rPr>
                <w:color w:val="000000" w:themeColor="text1"/>
                <w:lang w:val="en-US" w:eastAsia="en-US"/>
              </w:rPr>
              <w:t>NTG</w:t>
            </w:r>
          </w:p>
        </w:tc>
        <w:tc>
          <w:tcPr>
            <w:tcW w:w="1459" w:type="dxa"/>
          </w:tcPr>
          <w:p w14:paraId="71F883D2" w14:textId="33763C85" w:rsidR="007B3443" w:rsidRDefault="00815D04"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51</w:t>
            </w:r>
            <w:r w:rsidR="00046C3A">
              <w:t>%</w:t>
            </w:r>
            <w:r>
              <w:t>-</w:t>
            </w:r>
            <w:r w:rsidR="00812390">
              <w:t>72</w:t>
            </w:r>
            <w:r w:rsidR="00046C3A">
              <w:t>%</w:t>
            </w:r>
            <w:r w:rsidR="001E022A">
              <w:t>*</w:t>
            </w:r>
          </w:p>
        </w:tc>
        <w:tc>
          <w:tcPr>
            <w:tcW w:w="1408" w:type="dxa"/>
          </w:tcPr>
          <w:p w14:paraId="65E5F590" w14:textId="6B4D7256" w:rsidR="007B3443" w:rsidRDefault="00046C3A"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6</w:t>
            </w:r>
            <w:r w:rsidR="00DF56C3">
              <w:t>9</w:t>
            </w:r>
            <w:r>
              <w:t>%</w:t>
            </w:r>
          </w:p>
        </w:tc>
        <w:tc>
          <w:tcPr>
            <w:tcW w:w="1368" w:type="dxa"/>
          </w:tcPr>
          <w:p w14:paraId="1D404F6B" w14:textId="410E91B1" w:rsidR="00563601" w:rsidRDefault="00A24137" w:rsidP="00C27D61">
            <w:pPr>
              <w:pStyle w:val="BodyText"/>
              <w:spacing w:before="0" w:after="0" w:line="240" w:lineRule="auto"/>
              <w:contextualSpacing/>
              <w:cnfStyle w:val="000000010000" w:firstRow="0" w:lastRow="0" w:firstColumn="0" w:lastColumn="0" w:oddVBand="0" w:evenVBand="0" w:oddHBand="0" w:evenHBand="1" w:firstRowFirstColumn="0" w:firstRowLastColumn="0" w:lastRowFirstColumn="0" w:lastRowLastColumn="0"/>
            </w:pPr>
            <w:r>
              <w:t>Prescriptive</w:t>
            </w:r>
            <w:r w:rsidR="00D103CA">
              <w:t xml:space="preserve">: </w:t>
            </w:r>
            <w:r>
              <w:t>88%</w:t>
            </w:r>
          </w:p>
          <w:p w14:paraId="420A9344" w14:textId="4E1A6FCC" w:rsidR="007B3443" w:rsidRDefault="003C0566" w:rsidP="00C27D61">
            <w:pPr>
              <w:pStyle w:val="BodyText"/>
              <w:spacing w:before="0" w:after="0" w:line="240" w:lineRule="auto"/>
              <w:contextualSpacing/>
              <w:cnfStyle w:val="000000010000" w:firstRow="0" w:lastRow="0" w:firstColumn="0" w:lastColumn="0" w:oddVBand="0" w:evenVBand="0" w:oddHBand="0" w:evenHBand="1" w:firstRowFirstColumn="0" w:firstRowLastColumn="0" w:lastRowFirstColumn="0" w:lastRowLastColumn="0"/>
            </w:pPr>
            <w:r>
              <w:t>Custom</w:t>
            </w:r>
            <w:r w:rsidR="00D103CA">
              <w:t xml:space="preserve">: </w:t>
            </w:r>
            <w:r w:rsidR="000D7219">
              <w:t>90%</w:t>
            </w:r>
          </w:p>
        </w:tc>
        <w:tc>
          <w:tcPr>
            <w:tcW w:w="1357" w:type="dxa"/>
          </w:tcPr>
          <w:p w14:paraId="5F8845C0" w14:textId="5449B7E8" w:rsidR="00203060" w:rsidRDefault="00203060"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Prescriptive</w:t>
            </w:r>
            <w:r w:rsidR="00D103CA">
              <w:t>:</w:t>
            </w:r>
            <w:r>
              <w:t xml:space="preserve"> 85%</w:t>
            </w:r>
          </w:p>
        </w:tc>
        <w:tc>
          <w:tcPr>
            <w:tcW w:w="1309" w:type="dxa"/>
          </w:tcPr>
          <w:p w14:paraId="33DBBDEA" w14:textId="6DB17856" w:rsidR="00203060" w:rsidRDefault="00203060"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Custom</w:t>
            </w:r>
            <w:r w:rsidR="00D103CA">
              <w:t xml:space="preserve">: </w:t>
            </w:r>
            <w:r>
              <w:t>89%</w:t>
            </w:r>
          </w:p>
        </w:tc>
        <w:tc>
          <w:tcPr>
            <w:tcW w:w="1277" w:type="dxa"/>
          </w:tcPr>
          <w:p w14:paraId="75FA1EE4" w14:textId="2A082EFE" w:rsidR="00DB1D84" w:rsidRDefault="00DB1D84"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NR</w:t>
            </w:r>
          </w:p>
        </w:tc>
      </w:tr>
      <w:tr w:rsidR="004D47DA" w14:paraId="51A8BEB3" w14:textId="7E2EBC14" w:rsidTr="00062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58C73E64" w14:textId="77777777" w:rsidR="007B3443" w:rsidRDefault="007B3443" w:rsidP="00C27D61">
            <w:pPr>
              <w:pStyle w:val="BodyText"/>
              <w:spacing w:before="0" w:after="0" w:line="240" w:lineRule="auto"/>
            </w:pPr>
            <w:r w:rsidRPr="007503E4">
              <w:rPr>
                <w:color w:val="000000" w:themeColor="text1"/>
                <w:lang w:val="en-US" w:eastAsia="en-US"/>
              </w:rPr>
              <w:t xml:space="preserve">Customers in Sector </w:t>
            </w:r>
          </w:p>
        </w:tc>
        <w:tc>
          <w:tcPr>
            <w:tcW w:w="1459" w:type="dxa"/>
          </w:tcPr>
          <w:p w14:paraId="6EB17916" w14:textId="5FEDC9A7" w:rsidR="007B3443" w:rsidRDefault="00277AB2"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408" w:type="dxa"/>
          </w:tcPr>
          <w:p w14:paraId="297F3D60" w14:textId="6F6544F0" w:rsidR="007B3443" w:rsidRDefault="00277AB2"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368" w:type="dxa"/>
          </w:tcPr>
          <w:p w14:paraId="1162536F" w14:textId="31FEBE6D" w:rsidR="007B3443" w:rsidRDefault="00277AB2"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357" w:type="dxa"/>
          </w:tcPr>
          <w:p w14:paraId="4B79E29B" w14:textId="359116E2" w:rsidR="00076033" w:rsidRDefault="0007603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309" w:type="dxa"/>
          </w:tcPr>
          <w:p w14:paraId="4D90BEBD" w14:textId="1A27BF76" w:rsidR="00076033" w:rsidRDefault="0007603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277" w:type="dxa"/>
          </w:tcPr>
          <w:p w14:paraId="069A5FEC" w14:textId="2E76F61A" w:rsidR="00D86FA8" w:rsidRDefault="00D86FA8"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r>
      <w:tr w:rsidR="00AC5B8F" w14:paraId="3D42E266" w14:textId="1AC8BB39" w:rsidTr="000625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51A8B411" w14:textId="2320631B" w:rsidR="007B3443" w:rsidRDefault="007B3443" w:rsidP="00C27D61">
            <w:pPr>
              <w:pStyle w:val="BodyText"/>
              <w:spacing w:before="0" w:after="0" w:line="240" w:lineRule="auto"/>
            </w:pPr>
            <w:r w:rsidRPr="007503E4">
              <w:rPr>
                <w:color w:val="000000" w:themeColor="text1"/>
                <w:lang w:val="en-US" w:eastAsia="en-US"/>
              </w:rPr>
              <w:t>Participa</w:t>
            </w:r>
            <w:r>
              <w:rPr>
                <w:color w:val="000000" w:themeColor="text1"/>
                <w:lang w:val="en-US" w:eastAsia="en-US"/>
              </w:rPr>
              <w:t xml:space="preserve">nt </w:t>
            </w:r>
            <w:r w:rsidR="00E52941">
              <w:rPr>
                <w:color w:val="000000" w:themeColor="text1"/>
                <w:lang w:val="en-US" w:eastAsia="en-US"/>
              </w:rPr>
              <w:t>Count</w:t>
            </w:r>
          </w:p>
        </w:tc>
        <w:tc>
          <w:tcPr>
            <w:tcW w:w="1459" w:type="dxa"/>
          </w:tcPr>
          <w:p w14:paraId="5010BE40" w14:textId="1D1B8F80" w:rsidR="007B3443" w:rsidRDefault="00E52941"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138</w:t>
            </w:r>
          </w:p>
        </w:tc>
        <w:tc>
          <w:tcPr>
            <w:tcW w:w="1408" w:type="dxa"/>
          </w:tcPr>
          <w:p w14:paraId="2D5F816E" w14:textId="60C1FB44" w:rsidR="007B3443" w:rsidRDefault="00466FD5"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2972</w:t>
            </w:r>
          </w:p>
        </w:tc>
        <w:tc>
          <w:tcPr>
            <w:tcW w:w="1368" w:type="dxa"/>
          </w:tcPr>
          <w:p w14:paraId="43F52D2E" w14:textId="632237C7" w:rsidR="007B3443" w:rsidRDefault="00BB5542"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NR</w:t>
            </w:r>
          </w:p>
        </w:tc>
        <w:tc>
          <w:tcPr>
            <w:tcW w:w="1357" w:type="dxa"/>
          </w:tcPr>
          <w:p w14:paraId="10D1EDE2" w14:textId="691F3923" w:rsidR="00607E17" w:rsidRDefault="009A7B9B"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38</w:t>
            </w:r>
            <w:r w:rsidR="00576B2D">
              <w:t>2</w:t>
            </w:r>
          </w:p>
        </w:tc>
        <w:tc>
          <w:tcPr>
            <w:tcW w:w="1309" w:type="dxa"/>
          </w:tcPr>
          <w:p w14:paraId="44B1649E" w14:textId="1481BD29" w:rsidR="00607E17" w:rsidRDefault="00576B2D"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144</w:t>
            </w:r>
          </w:p>
        </w:tc>
        <w:tc>
          <w:tcPr>
            <w:tcW w:w="1277" w:type="dxa"/>
          </w:tcPr>
          <w:p w14:paraId="33623B17" w14:textId="56C88AC1" w:rsidR="00D86FA8" w:rsidRDefault="00D86FA8"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2</w:t>
            </w:r>
          </w:p>
        </w:tc>
      </w:tr>
      <w:tr w:rsidR="004D47DA" w14:paraId="341AA476" w14:textId="23C1B7A4" w:rsidTr="00062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49F42A63" w14:textId="77777777" w:rsidR="007B3443" w:rsidRDefault="007B3443" w:rsidP="00C27D61">
            <w:pPr>
              <w:pStyle w:val="BodyText"/>
              <w:spacing w:before="0" w:after="0" w:line="240" w:lineRule="auto"/>
            </w:pPr>
            <w:r w:rsidRPr="007503E4">
              <w:rPr>
                <w:color w:val="000000" w:themeColor="text1"/>
                <w:lang w:val="en-US" w:eastAsia="en-US"/>
              </w:rPr>
              <w:t>Participant Satisfaction</w:t>
            </w:r>
          </w:p>
        </w:tc>
        <w:tc>
          <w:tcPr>
            <w:tcW w:w="1459" w:type="dxa"/>
          </w:tcPr>
          <w:p w14:paraId="370AEECF" w14:textId="4F608D4C" w:rsidR="007B3443" w:rsidRDefault="0003075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c>
          <w:tcPr>
            <w:tcW w:w="1408" w:type="dxa"/>
          </w:tcPr>
          <w:p w14:paraId="397842AE" w14:textId="140C2D21" w:rsidR="007B3443" w:rsidRDefault="00563601"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6E23B9">
              <w:t>7</w:t>
            </w:r>
            <w:r w:rsidR="006D1ABD">
              <w:t>0</w:t>
            </w:r>
            <w:r w:rsidR="007B3443" w:rsidRPr="006E23B9">
              <w:t>%</w:t>
            </w:r>
            <w:r w:rsidR="007B3443">
              <w:t xml:space="preserve"> (Satisfied)</w:t>
            </w:r>
          </w:p>
        </w:tc>
        <w:tc>
          <w:tcPr>
            <w:tcW w:w="1368" w:type="dxa"/>
          </w:tcPr>
          <w:p w14:paraId="55A2F1FD" w14:textId="77777777" w:rsidR="007B3443" w:rsidRDefault="007B344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6E23B9">
              <w:t>N</w:t>
            </w:r>
            <w:r>
              <w:t>R</w:t>
            </w:r>
          </w:p>
        </w:tc>
        <w:tc>
          <w:tcPr>
            <w:tcW w:w="1357" w:type="dxa"/>
          </w:tcPr>
          <w:p w14:paraId="4C1BD44A" w14:textId="5824834C" w:rsidR="00B4472D" w:rsidRDefault="00B4472D"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89% (Satisfied)</w:t>
            </w:r>
          </w:p>
        </w:tc>
        <w:tc>
          <w:tcPr>
            <w:tcW w:w="1309" w:type="dxa"/>
          </w:tcPr>
          <w:p w14:paraId="2FAC9C5D" w14:textId="670967D4" w:rsidR="00DC3F66" w:rsidRDefault="00DC3F66"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78% (Satisfied)</w:t>
            </w:r>
          </w:p>
        </w:tc>
        <w:tc>
          <w:tcPr>
            <w:tcW w:w="1277" w:type="dxa"/>
          </w:tcPr>
          <w:p w14:paraId="4ADABFAB" w14:textId="70A02205" w:rsidR="00D86FA8" w:rsidRDefault="00D86FA8"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NR</w:t>
            </w:r>
          </w:p>
        </w:tc>
      </w:tr>
      <w:tr w:rsidR="00AC5B8F" w14:paraId="5052FCD9" w14:textId="3830F51E" w:rsidTr="000625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7D23FF2E" w14:textId="77777777" w:rsidR="007B3443" w:rsidRDefault="007B3443" w:rsidP="00C27D61">
            <w:pPr>
              <w:pStyle w:val="BodyText"/>
              <w:spacing w:before="0" w:after="0" w:line="240" w:lineRule="auto"/>
            </w:pPr>
            <w:r w:rsidRPr="007503E4">
              <w:rPr>
                <w:color w:val="000000" w:themeColor="text1"/>
                <w:lang w:val="en-US" w:eastAsia="en-US"/>
              </w:rPr>
              <w:t>Program Awareness</w:t>
            </w:r>
          </w:p>
        </w:tc>
        <w:tc>
          <w:tcPr>
            <w:tcW w:w="1459" w:type="dxa"/>
          </w:tcPr>
          <w:p w14:paraId="69019061" w14:textId="69102D52" w:rsidR="007B3443" w:rsidRDefault="005C5676"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Website</w:t>
            </w:r>
            <w:r w:rsidR="0048376D">
              <w:t xml:space="preserve">, </w:t>
            </w:r>
            <w:r w:rsidR="00EA3DFB">
              <w:t>Word of mouth</w:t>
            </w:r>
          </w:p>
        </w:tc>
        <w:tc>
          <w:tcPr>
            <w:tcW w:w="1408" w:type="dxa"/>
          </w:tcPr>
          <w:p w14:paraId="7C0CBF10" w14:textId="77777777" w:rsidR="007B3443" w:rsidRDefault="007B3443"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rsidRPr="000B3727">
              <w:t>Previous experience in EE programs</w:t>
            </w:r>
          </w:p>
        </w:tc>
        <w:tc>
          <w:tcPr>
            <w:tcW w:w="1368" w:type="dxa"/>
          </w:tcPr>
          <w:p w14:paraId="100AC340" w14:textId="77777777" w:rsidR="007B3443" w:rsidRDefault="007B3443"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rsidRPr="00DC0589">
              <w:t>NR</w:t>
            </w:r>
          </w:p>
        </w:tc>
        <w:tc>
          <w:tcPr>
            <w:tcW w:w="1357" w:type="dxa"/>
          </w:tcPr>
          <w:p w14:paraId="7FC14B3A" w14:textId="1D5C1001" w:rsidR="00356829" w:rsidRDefault="00356829"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Trade ally</w:t>
            </w:r>
            <w:r w:rsidR="003C0432">
              <w:t xml:space="preserve"> (57%)</w:t>
            </w:r>
            <w:r w:rsidR="00F46BA7">
              <w:t xml:space="preserve">, </w:t>
            </w:r>
            <w:r>
              <w:t>Past Program Participation</w:t>
            </w:r>
            <w:r w:rsidR="003C0432">
              <w:t xml:space="preserve"> (</w:t>
            </w:r>
            <w:r w:rsidR="00417606">
              <w:t>15%)</w:t>
            </w:r>
            <w:r>
              <w:t>, Word of mouth</w:t>
            </w:r>
            <w:r w:rsidR="00417606">
              <w:t xml:space="preserve"> (</w:t>
            </w:r>
            <w:r w:rsidR="003F4E57">
              <w:t>15%)</w:t>
            </w:r>
            <w:r w:rsidR="003D2454">
              <w:t>, Other (</w:t>
            </w:r>
            <w:r w:rsidR="000874D8">
              <w:t>12%)</w:t>
            </w:r>
          </w:p>
        </w:tc>
        <w:tc>
          <w:tcPr>
            <w:tcW w:w="1309" w:type="dxa"/>
          </w:tcPr>
          <w:p w14:paraId="6E9D4954" w14:textId="5BFC38A9" w:rsidR="00355B9E" w:rsidRDefault="00355B9E"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Trade ally (34%), Word of mouth (</w:t>
            </w:r>
            <w:r w:rsidR="00255E1E">
              <w:t xml:space="preserve">21%), </w:t>
            </w:r>
            <w:r w:rsidR="00F85539">
              <w:t xml:space="preserve">website </w:t>
            </w:r>
            <w:r w:rsidR="00A521C9">
              <w:t>(</w:t>
            </w:r>
            <w:r w:rsidR="00071F16">
              <w:t>21%),</w:t>
            </w:r>
            <w:r w:rsidR="00D322E4">
              <w:t xml:space="preserve"> </w:t>
            </w:r>
            <w:proofErr w:type="spellStart"/>
            <w:r w:rsidR="00D322E4">
              <w:t>loc</w:t>
            </w:r>
            <w:r w:rsidR="003A7850">
              <w:t>khead</w:t>
            </w:r>
            <w:proofErr w:type="spellEnd"/>
            <w:r w:rsidR="003A7850">
              <w:t xml:space="preserve"> staff (</w:t>
            </w:r>
            <w:r w:rsidR="0054768C">
              <w:t>14%), Other (10%)</w:t>
            </w:r>
          </w:p>
        </w:tc>
        <w:tc>
          <w:tcPr>
            <w:tcW w:w="1277" w:type="dxa"/>
          </w:tcPr>
          <w:p w14:paraId="5AAC0A44" w14:textId="77ECF073" w:rsidR="0074109F" w:rsidRDefault="0074109F" w:rsidP="00C27D61">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t>S</w:t>
            </w:r>
            <w:r w:rsidRPr="0074109F">
              <w:t>ustainability events</w:t>
            </w:r>
            <w:r>
              <w:t>,</w:t>
            </w:r>
            <w:r w:rsidRPr="0074109F">
              <w:t xml:space="preserve"> </w:t>
            </w:r>
            <w:r>
              <w:t>T</w:t>
            </w:r>
            <w:r w:rsidRPr="0074109F">
              <w:t>own events or fairs</w:t>
            </w:r>
            <w:r>
              <w:t xml:space="preserve">, </w:t>
            </w:r>
            <w:proofErr w:type="gramStart"/>
            <w:r>
              <w:t>Social Media</w:t>
            </w:r>
            <w:proofErr w:type="gramEnd"/>
            <w:r>
              <w:t xml:space="preserve">, </w:t>
            </w:r>
            <w:r w:rsidR="00760DBD">
              <w:t>Website, Contractors</w:t>
            </w:r>
          </w:p>
        </w:tc>
      </w:tr>
      <w:tr w:rsidR="004D47DA" w14:paraId="61845CF4" w14:textId="396CCDA3" w:rsidTr="00062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1ABADFF5" w14:textId="77777777" w:rsidR="007B3443" w:rsidRDefault="007B3443" w:rsidP="00C27D61">
            <w:pPr>
              <w:pStyle w:val="BodyText"/>
              <w:spacing w:before="0" w:after="0" w:line="240" w:lineRule="auto"/>
            </w:pPr>
            <w:r w:rsidRPr="007503E4">
              <w:rPr>
                <w:color w:val="000000" w:themeColor="text1"/>
                <w:lang w:val="en-US" w:eastAsia="en-US"/>
              </w:rPr>
              <w:t>Implementation Strategy/Program Design</w:t>
            </w:r>
          </w:p>
        </w:tc>
        <w:tc>
          <w:tcPr>
            <w:tcW w:w="1459" w:type="dxa"/>
          </w:tcPr>
          <w:p w14:paraId="0E2E8CA7" w14:textId="77777777" w:rsidR="007B3443" w:rsidRDefault="007B344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3074EA">
              <w:t>Downstream</w:t>
            </w:r>
          </w:p>
        </w:tc>
        <w:tc>
          <w:tcPr>
            <w:tcW w:w="1408" w:type="dxa"/>
          </w:tcPr>
          <w:p w14:paraId="2AD6A38F" w14:textId="4AE66A4E" w:rsidR="007B3443" w:rsidRDefault="0023157F"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3074EA">
              <w:t>Downstream</w:t>
            </w:r>
            <w:r w:rsidR="009A20F0">
              <w:t>, Midstream</w:t>
            </w:r>
            <w:r w:rsidR="00962E9B">
              <w:t>, Direct Install</w:t>
            </w:r>
          </w:p>
        </w:tc>
        <w:tc>
          <w:tcPr>
            <w:tcW w:w="1368" w:type="dxa"/>
          </w:tcPr>
          <w:p w14:paraId="074D63F8" w14:textId="77777777" w:rsidR="007B3443" w:rsidRDefault="007B344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3074EA">
              <w:t>Downstream</w:t>
            </w:r>
          </w:p>
        </w:tc>
        <w:tc>
          <w:tcPr>
            <w:tcW w:w="1357" w:type="dxa"/>
          </w:tcPr>
          <w:p w14:paraId="1B796E9A" w14:textId="125A293D" w:rsidR="009434B4" w:rsidRPr="003074EA" w:rsidRDefault="009434B4"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3074EA">
              <w:t>Downstream</w:t>
            </w:r>
          </w:p>
        </w:tc>
        <w:tc>
          <w:tcPr>
            <w:tcW w:w="1309" w:type="dxa"/>
          </w:tcPr>
          <w:p w14:paraId="51303DFD" w14:textId="55D8A680" w:rsidR="00076033" w:rsidRPr="003074EA" w:rsidRDefault="00076033"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3074EA">
              <w:t>Downstream</w:t>
            </w:r>
          </w:p>
        </w:tc>
        <w:tc>
          <w:tcPr>
            <w:tcW w:w="1277" w:type="dxa"/>
          </w:tcPr>
          <w:p w14:paraId="5A8C4DED" w14:textId="09A62E31" w:rsidR="00441084" w:rsidRPr="003074EA" w:rsidRDefault="00441084" w:rsidP="00C27D61">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3074EA">
              <w:t>Downstream</w:t>
            </w:r>
          </w:p>
        </w:tc>
      </w:tr>
    </w:tbl>
    <w:p w14:paraId="569C1FB1" w14:textId="2B3F3CF6" w:rsidR="00022B84" w:rsidRDefault="00A77637" w:rsidP="005517F6">
      <w:pPr>
        <w:pStyle w:val="TableText"/>
      </w:pPr>
      <w:r>
        <w:t xml:space="preserve">* </w:t>
      </w:r>
      <w:proofErr w:type="gramStart"/>
      <w:r>
        <w:t>varies</w:t>
      </w:r>
      <w:proofErr w:type="gramEnd"/>
      <w:r>
        <w:t xml:space="preserve"> as </w:t>
      </w:r>
      <w:r w:rsidR="007C624B">
        <w:t>p</w:t>
      </w:r>
      <w:r>
        <w:t>er measure</w:t>
      </w:r>
      <w:r w:rsidR="007C624B">
        <w:t xml:space="preserve">. Provided </w:t>
      </w:r>
      <w:r w:rsidR="00E939A8">
        <w:t xml:space="preserve">a </w:t>
      </w:r>
      <w:r w:rsidR="007C624B">
        <w:t>range of NTG</w:t>
      </w:r>
    </w:p>
    <w:p w14:paraId="7EE45188" w14:textId="65781B59" w:rsidR="00816360" w:rsidRDefault="00816360" w:rsidP="005517F6">
      <w:pPr>
        <w:pStyle w:val="TableText"/>
      </w:pPr>
      <w:r>
        <w:t xml:space="preserve"># Prescriptive </w:t>
      </w:r>
      <w:r w:rsidR="00732CC8">
        <w:t>Program</w:t>
      </w:r>
    </w:p>
    <w:p w14:paraId="5671046F" w14:textId="3FA4CF96" w:rsidR="00732CC8" w:rsidRDefault="00732CC8" w:rsidP="005517F6">
      <w:pPr>
        <w:pStyle w:val="TableText"/>
      </w:pPr>
      <w:r>
        <w:t>## Custom Program</w:t>
      </w:r>
    </w:p>
    <w:p w14:paraId="51A4A012" w14:textId="74BE2C88" w:rsidR="00022B84" w:rsidRDefault="00022B84" w:rsidP="00022B84">
      <w:pPr>
        <w:pStyle w:val="Caption"/>
      </w:pPr>
      <w:bookmarkStart w:id="28" w:name="_Ref124161174"/>
      <w:r>
        <w:lastRenderedPageBreak/>
        <w:t xml:space="preserve">Table </w:t>
      </w:r>
      <w:r>
        <w:fldChar w:fldCharType="begin"/>
      </w:r>
      <w:r>
        <w:instrText xml:space="preserve"> STYLEREF 1 \s </w:instrText>
      </w:r>
      <w:r>
        <w:fldChar w:fldCharType="separate"/>
      </w:r>
      <w:r w:rsidR="000344CB">
        <w:rPr>
          <w:noProof/>
        </w:rPr>
        <w:t>4</w:t>
      </w:r>
      <w:r>
        <w:fldChar w:fldCharType="end"/>
      </w:r>
      <w:r>
        <w:noBreakHyphen/>
      </w:r>
      <w:r>
        <w:fldChar w:fldCharType="begin"/>
      </w:r>
      <w:r>
        <w:instrText xml:space="preserve"> SEQ Table \* ARABIC \s 1 </w:instrText>
      </w:r>
      <w:r>
        <w:fldChar w:fldCharType="separate"/>
      </w:r>
      <w:r w:rsidR="000344CB">
        <w:rPr>
          <w:noProof/>
        </w:rPr>
        <w:t>2</w:t>
      </w:r>
      <w:r>
        <w:fldChar w:fldCharType="end"/>
      </w:r>
      <w:bookmarkEnd w:id="28"/>
      <w:r w:rsidR="005517F6">
        <w:t>.</w:t>
      </w:r>
      <w:r w:rsidR="009F62BD">
        <w:t xml:space="preserve"> Prescriptive/</w:t>
      </w:r>
      <w:r w:rsidR="005517F6">
        <w:t>c</w:t>
      </w:r>
      <w:r w:rsidR="009F62BD">
        <w:t xml:space="preserve">ustom and similar programs from other states, </w:t>
      </w:r>
      <w:r w:rsidR="005517F6">
        <w:t>i</w:t>
      </w:r>
      <w:r w:rsidR="00AE474E">
        <w:t>mpact</w:t>
      </w:r>
      <w:r w:rsidR="009F62BD">
        <w:t xml:space="preserve"> findings</w:t>
      </w:r>
    </w:p>
    <w:tbl>
      <w:tblPr>
        <w:tblStyle w:val="DNVNiceStyle"/>
        <w:tblW w:w="9910" w:type="dxa"/>
        <w:tblInd w:w="5" w:type="dxa"/>
        <w:tblLook w:val="04A0" w:firstRow="1" w:lastRow="0" w:firstColumn="1" w:lastColumn="0" w:noHBand="0" w:noVBand="1"/>
      </w:tblPr>
      <w:tblGrid>
        <w:gridCol w:w="1586"/>
        <w:gridCol w:w="1215"/>
        <w:gridCol w:w="1647"/>
        <w:gridCol w:w="1331"/>
        <w:gridCol w:w="1287"/>
        <w:gridCol w:w="1287"/>
        <w:gridCol w:w="1557"/>
      </w:tblGrid>
      <w:tr w:rsidR="00710084" w:rsidRPr="001607FD" w14:paraId="3D7BD2DF" w14:textId="4AE52655" w:rsidTr="006C1A6F">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1681" w:type="dxa"/>
          </w:tcPr>
          <w:p w14:paraId="3E78C05D" w14:textId="77777777" w:rsidR="00022B84" w:rsidRPr="002A6B29" w:rsidRDefault="00022B84" w:rsidP="003F5E67">
            <w:pPr>
              <w:pStyle w:val="BodyText1"/>
              <w:keepNext/>
              <w:spacing w:before="40" w:after="140"/>
              <w:jc w:val="left"/>
              <w:rPr>
                <w:rFonts w:ascii="Arial" w:hAnsi="Arial" w:cs="Arial"/>
                <w:sz w:val="18"/>
                <w:szCs w:val="14"/>
                <w:lang w:eastAsia="x-none"/>
              </w:rPr>
            </w:pPr>
            <w:r w:rsidRPr="00704D10">
              <w:rPr>
                <w:rFonts w:ascii="Arial" w:hAnsi="Arial" w:cs="Arial"/>
                <w:sz w:val="18"/>
                <w:szCs w:val="14"/>
                <w:lang w:eastAsia="x-none"/>
              </w:rPr>
              <w:t>State/Region</w:t>
            </w:r>
          </w:p>
        </w:tc>
        <w:tc>
          <w:tcPr>
            <w:tcW w:w="1225" w:type="dxa"/>
          </w:tcPr>
          <w:p w14:paraId="39787B50" w14:textId="1C3B63A1" w:rsidR="00022B84" w:rsidRPr="003E52D1" w:rsidRDefault="00022B84" w:rsidP="003F5E67">
            <w:pPr>
              <w:pStyle w:val="BodyText"/>
              <w:cnfStyle w:val="100000000000" w:firstRow="1" w:lastRow="0" w:firstColumn="0" w:lastColumn="0" w:oddVBand="0" w:evenVBand="0" w:oddHBand="0" w:evenHBand="0" w:firstRowFirstColumn="0" w:firstRowLastColumn="0" w:lastRowFirstColumn="0" w:lastRowLastColumn="0"/>
              <w:rPr>
                <w:b w:val="0"/>
              </w:rPr>
            </w:pPr>
            <w:r>
              <w:rPr>
                <w:b w:val="0"/>
              </w:rPr>
              <w:t>I</w:t>
            </w:r>
            <w:r w:rsidR="00BB5250">
              <w:rPr>
                <w:b w:val="0"/>
              </w:rPr>
              <w:t>L</w:t>
            </w:r>
          </w:p>
        </w:tc>
        <w:tc>
          <w:tcPr>
            <w:tcW w:w="1499" w:type="dxa"/>
          </w:tcPr>
          <w:p w14:paraId="5E1F897F" w14:textId="06F76516" w:rsidR="00022B84" w:rsidRPr="003E52D1" w:rsidRDefault="003430E4" w:rsidP="003F5E67">
            <w:pPr>
              <w:pStyle w:val="BodyText"/>
              <w:cnfStyle w:val="100000000000" w:firstRow="1" w:lastRow="0" w:firstColumn="0" w:lastColumn="0" w:oddVBand="0" w:evenVBand="0" w:oddHBand="0" w:evenHBand="0" w:firstRowFirstColumn="0" w:firstRowLastColumn="0" w:lastRowFirstColumn="0" w:lastRowLastColumn="0"/>
              <w:rPr>
                <w:b w:val="0"/>
              </w:rPr>
            </w:pPr>
            <w:r>
              <w:rPr>
                <w:b w:val="0"/>
              </w:rPr>
              <w:t>PA</w:t>
            </w:r>
          </w:p>
        </w:tc>
        <w:tc>
          <w:tcPr>
            <w:tcW w:w="1374" w:type="dxa"/>
          </w:tcPr>
          <w:p w14:paraId="7AEABA61" w14:textId="54755DCC" w:rsidR="00022B84" w:rsidRPr="003E52D1" w:rsidRDefault="00426304" w:rsidP="003F5E67">
            <w:pPr>
              <w:pStyle w:val="BodyText"/>
              <w:cnfStyle w:val="100000000000" w:firstRow="1" w:lastRow="0" w:firstColumn="0" w:lastColumn="0" w:oddVBand="0" w:evenVBand="0" w:oddHBand="0" w:evenHBand="0" w:firstRowFirstColumn="0" w:firstRowLastColumn="0" w:lastRowFirstColumn="0" w:lastRowLastColumn="0"/>
              <w:rPr>
                <w:b w:val="0"/>
              </w:rPr>
            </w:pPr>
            <w:r>
              <w:t>MD</w:t>
            </w:r>
          </w:p>
        </w:tc>
        <w:tc>
          <w:tcPr>
            <w:tcW w:w="1287" w:type="dxa"/>
          </w:tcPr>
          <w:p w14:paraId="19FD1500" w14:textId="7E87998F" w:rsidR="00022B84" w:rsidRPr="003E52D1" w:rsidRDefault="00203060" w:rsidP="003F5E67">
            <w:pPr>
              <w:pStyle w:val="BodyText"/>
              <w:cnfStyle w:val="100000000000" w:firstRow="1" w:lastRow="0" w:firstColumn="0" w:lastColumn="0" w:oddVBand="0" w:evenVBand="0" w:oddHBand="0" w:evenHBand="0" w:firstRowFirstColumn="0" w:firstRowLastColumn="0" w:lastRowFirstColumn="0" w:lastRowLastColumn="0"/>
              <w:rPr>
                <w:b w:val="0"/>
              </w:rPr>
            </w:pPr>
            <w:r>
              <w:rPr>
                <w:b w:val="0"/>
              </w:rPr>
              <w:t>IN</w:t>
            </w:r>
            <w:r w:rsidR="00191031" w:rsidRPr="00191031">
              <w:rPr>
                <w:bCs w:val="0"/>
                <w:vertAlign w:val="superscript"/>
              </w:rPr>
              <w:t>#</w:t>
            </w:r>
          </w:p>
        </w:tc>
        <w:tc>
          <w:tcPr>
            <w:tcW w:w="1287" w:type="dxa"/>
          </w:tcPr>
          <w:p w14:paraId="47054B39" w14:textId="2C8BB567" w:rsidR="00203060" w:rsidRDefault="00203060" w:rsidP="00426304">
            <w:pPr>
              <w:pStyle w:val="BodyText"/>
              <w:cnfStyle w:val="100000000000" w:firstRow="1" w:lastRow="0" w:firstColumn="0" w:lastColumn="0" w:oddVBand="0" w:evenVBand="0" w:oddHBand="0" w:evenHBand="0" w:firstRowFirstColumn="0" w:firstRowLastColumn="0" w:lastRowFirstColumn="0" w:lastRowLastColumn="0"/>
              <w:rPr>
                <w:b w:val="0"/>
              </w:rPr>
            </w:pPr>
            <w:r>
              <w:rPr>
                <w:b w:val="0"/>
              </w:rPr>
              <w:t>IN</w:t>
            </w:r>
            <w:r w:rsidR="00191031" w:rsidRPr="00191031">
              <w:rPr>
                <w:bCs w:val="0"/>
                <w:vertAlign w:val="superscript"/>
              </w:rPr>
              <w:t>##</w:t>
            </w:r>
          </w:p>
        </w:tc>
        <w:tc>
          <w:tcPr>
            <w:tcW w:w="1557" w:type="dxa"/>
          </w:tcPr>
          <w:p w14:paraId="659BC0D3" w14:textId="10429BD7" w:rsidR="00E70884" w:rsidRDefault="00E70884" w:rsidP="00426304">
            <w:pPr>
              <w:pStyle w:val="BodyText"/>
              <w:cnfStyle w:val="100000000000" w:firstRow="1" w:lastRow="0" w:firstColumn="0" w:lastColumn="0" w:oddVBand="0" w:evenVBand="0" w:oddHBand="0" w:evenHBand="0" w:firstRowFirstColumn="0" w:firstRowLastColumn="0" w:lastRowFirstColumn="0" w:lastRowLastColumn="0"/>
            </w:pPr>
            <w:r>
              <w:t>NJNG</w:t>
            </w:r>
          </w:p>
        </w:tc>
      </w:tr>
      <w:tr w:rsidR="00710084" w:rsidRPr="001607FD" w14:paraId="1F2107C4" w14:textId="1A2ECF95" w:rsidTr="006C1A6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81" w:type="dxa"/>
          </w:tcPr>
          <w:p w14:paraId="52558542" w14:textId="53DE6A49" w:rsidR="00022B84" w:rsidRPr="00704D10" w:rsidRDefault="00793F29" w:rsidP="00361F6D">
            <w:pPr>
              <w:pStyle w:val="BodyText1"/>
              <w:keepNext/>
              <w:spacing w:after="0"/>
              <w:jc w:val="left"/>
              <w:rPr>
                <w:rFonts w:ascii="Arial" w:hAnsi="Arial" w:cs="Arial"/>
                <w:sz w:val="18"/>
                <w:szCs w:val="14"/>
                <w:lang w:eastAsia="x-none"/>
              </w:rPr>
            </w:pPr>
            <w:r>
              <w:rPr>
                <w:rFonts w:ascii="Arial" w:hAnsi="Arial" w:cs="Arial"/>
                <w:sz w:val="18"/>
                <w:szCs w:val="14"/>
                <w:lang w:eastAsia="x-none"/>
              </w:rPr>
              <w:t>PY</w:t>
            </w:r>
          </w:p>
        </w:tc>
        <w:tc>
          <w:tcPr>
            <w:tcW w:w="1225" w:type="dxa"/>
          </w:tcPr>
          <w:p w14:paraId="35E6236C" w14:textId="5198D500" w:rsidR="00022B84" w:rsidRPr="003E52D1" w:rsidRDefault="00022B84" w:rsidP="00361F6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202</w:t>
            </w:r>
            <w:r w:rsidR="00BB5250">
              <w:t>1</w:t>
            </w:r>
          </w:p>
        </w:tc>
        <w:tc>
          <w:tcPr>
            <w:tcW w:w="1499" w:type="dxa"/>
          </w:tcPr>
          <w:p w14:paraId="58E9B608" w14:textId="460E1A7E" w:rsidR="00022B84" w:rsidRPr="003E52D1" w:rsidRDefault="003430E4" w:rsidP="00361F6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2021-2022</w:t>
            </w:r>
          </w:p>
        </w:tc>
        <w:tc>
          <w:tcPr>
            <w:tcW w:w="1374" w:type="dxa"/>
          </w:tcPr>
          <w:p w14:paraId="18F93BE8" w14:textId="4590C778" w:rsidR="00022B84" w:rsidRPr="003E52D1" w:rsidRDefault="00426304" w:rsidP="00361F6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2020</w:t>
            </w:r>
          </w:p>
        </w:tc>
        <w:tc>
          <w:tcPr>
            <w:tcW w:w="1287" w:type="dxa"/>
          </w:tcPr>
          <w:p w14:paraId="2C7BF572" w14:textId="64CED028" w:rsidR="00022B84" w:rsidRPr="003E52D1" w:rsidRDefault="00203060" w:rsidP="00361F6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2019</w:t>
            </w:r>
          </w:p>
        </w:tc>
        <w:tc>
          <w:tcPr>
            <w:tcW w:w="1287" w:type="dxa"/>
          </w:tcPr>
          <w:p w14:paraId="27279086" w14:textId="6F4D3B1E" w:rsidR="00203060" w:rsidRDefault="00203060" w:rsidP="00361F6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t>2019</w:t>
            </w:r>
          </w:p>
        </w:tc>
        <w:tc>
          <w:tcPr>
            <w:tcW w:w="1557" w:type="dxa"/>
          </w:tcPr>
          <w:p w14:paraId="53554BC2" w14:textId="375A6168" w:rsidR="00966781" w:rsidRPr="00DB1D84" w:rsidRDefault="00966781" w:rsidP="00361F6D">
            <w:pPr>
              <w:pStyle w:val="BodyText"/>
              <w:spacing w:before="0" w:after="0" w:line="240" w:lineRule="auto"/>
              <w:cnfStyle w:val="000000100000" w:firstRow="0" w:lastRow="0" w:firstColumn="0" w:lastColumn="0" w:oddVBand="0" w:evenVBand="0" w:oddHBand="1" w:evenHBand="0" w:firstRowFirstColumn="0" w:firstRowLastColumn="0" w:lastRowFirstColumn="0" w:lastRowLastColumn="0"/>
            </w:pPr>
            <w:r w:rsidRPr="00DB1D84">
              <w:t>2021/2022</w:t>
            </w:r>
          </w:p>
        </w:tc>
      </w:tr>
      <w:tr w:rsidR="00F1272E" w:rsidRPr="001607FD" w14:paraId="6BFF3B9C" w14:textId="538707D7" w:rsidTr="006C1A6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81" w:type="dxa"/>
          </w:tcPr>
          <w:p w14:paraId="5133B521" w14:textId="35E65516" w:rsidR="00022B84" w:rsidRPr="00704D10" w:rsidRDefault="00022B84" w:rsidP="00361F6D">
            <w:pPr>
              <w:pStyle w:val="BodyText1"/>
              <w:keepNext/>
              <w:spacing w:after="0"/>
              <w:jc w:val="left"/>
              <w:rPr>
                <w:rFonts w:ascii="Arial" w:hAnsi="Arial" w:cs="Arial"/>
                <w:sz w:val="18"/>
                <w:szCs w:val="14"/>
                <w:lang w:eastAsia="x-none"/>
              </w:rPr>
            </w:pPr>
            <w:r w:rsidRPr="00704D10">
              <w:rPr>
                <w:rFonts w:ascii="Arial" w:hAnsi="Arial" w:cs="Arial"/>
                <w:sz w:val="18"/>
                <w:szCs w:val="14"/>
                <w:lang w:eastAsia="x-none"/>
              </w:rPr>
              <w:t xml:space="preserve">Total Savings </w:t>
            </w:r>
            <w:r w:rsidR="00F1272E">
              <w:rPr>
                <w:rFonts w:ascii="Arial" w:hAnsi="Arial" w:cs="Arial"/>
                <w:sz w:val="18"/>
                <w:szCs w:val="14"/>
                <w:lang w:eastAsia="x-none"/>
              </w:rPr>
              <w:t>Reported</w:t>
            </w:r>
            <w:r w:rsidRPr="00704D10">
              <w:rPr>
                <w:rFonts w:ascii="Arial" w:hAnsi="Arial" w:cs="Arial"/>
                <w:sz w:val="18"/>
                <w:szCs w:val="14"/>
                <w:lang w:eastAsia="x-none"/>
              </w:rPr>
              <w:t xml:space="preserve"> </w:t>
            </w:r>
          </w:p>
        </w:tc>
        <w:tc>
          <w:tcPr>
            <w:tcW w:w="1225" w:type="dxa"/>
          </w:tcPr>
          <w:p w14:paraId="47B8A567" w14:textId="0928F462" w:rsidR="00022B84" w:rsidRDefault="00FF3853"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29,764,062</w:t>
            </w:r>
            <w:r w:rsidR="00022B84">
              <w:rPr>
                <w:rFonts w:ascii="Arial" w:hAnsi="Arial" w:cs="Arial"/>
                <w:sz w:val="18"/>
                <w:szCs w:val="14"/>
                <w:lang w:eastAsia="x-none"/>
              </w:rPr>
              <w:t xml:space="preserve"> (kWh/year)</w:t>
            </w:r>
          </w:p>
          <w:p w14:paraId="11AE4846" w14:textId="6D907EFB" w:rsidR="00022B84" w:rsidRPr="001607FD" w:rsidRDefault="00022B84"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p>
        </w:tc>
        <w:tc>
          <w:tcPr>
            <w:tcW w:w="1499" w:type="dxa"/>
          </w:tcPr>
          <w:p w14:paraId="66174F76" w14:textId="07015EFE" w:rsidR="00022B84" w:rsidRPr="001607FD" w:rsidRDefault="00022B84"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w:t>
            </w:r>
            <w:r w:rsidR="00F974D7">
              <w:rPr>
                <w:rFonts w:ascii="Arial" w:hAnsi="Arial" w:cs="Arial"/>
                <w:sz w:val="18"/>
                <w:szCs w:val="14"/>
                <w:lang w:eastAsia="x-none"/>
              </w:rPr>
              <w:t>55</w:t>
            </w:r>
            <w:r>
              <w:rPr>
                <w:rFonts w:ascii="Arial" w:hAnsi="Arial" w:cs="Arial"/>
                <w:sz w:val="18"/>
                <w:szCs w:val="14"/>
                <w:lang w:eastAsia="x-none"/>
              </w:rPr>
              <w:t>,</w:t>
            </w:r>
            <w:r w:rsidR="00F974D7">
              <w:rPr>
                <w:rFonts w:ascii="Arial" w:hAnsi="Arial" w:cs="Arial"/>
                <w:sz w:val="18"/>
                <w:szCs w:val="14"/>
                <w:lang w:eastAsia="x-none"/>
              </w:rPr>
              <w:t>915,000</w:t>
            </w:r>
            <w:r>
              <w:rPr>
                <w:rFonts w:ascii="Arial" w:hAnsi="Arial" w:cs="Arial"/>
                <w:sz w:val="18"/>
                <w:szCs w:val="14"/>
                <w:lang w:eastAsia="x-none"/>
              </w:rPr>
              <w:t xml:space="preserve"> (kWh/year)</w:t>
            </w:r>
          </w:p>
        </w:tc>
        <w:tc>
          <w:tcPr>
            <w:tcW w:w="1374" w:type="dxa"/>
          </w:tcPr>
          <w:p w14:paraId="26019963" w14:textId="55266EE6" w:rsidR="00426304" w:rsidRDefault="008A7610"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Prescriptive</w:t>
            </w:r>
            <w:r w:rsidR="00A23186">
              <w:rPr>
                <w:rFonts w:ascii="Arial" w:hAnsi="Arial" w:cs="Arial"/>
                <w:sz w:val="18"/>
                <w:szCs w:val="14"/>
                <w:lang w:eastAsia="x-none"/>
              </w:rPr>
              <w:t>-</w:t>
            </w:r>
            <w:r w:rsidR="008E521A">
              <w:rPr>
                <w:rFonts w:ascii="Arial" w:hAnsi="Arial" w:cs="Arial"/>
                <w:sz w:val="18"/>
                <w:szCs w:val="14"/>
                <w:lang w:eastAsia="x-none"/>
              </w:rPr>
              <w:t>171</w:t>
            </w:r>
            <w:r w:rsidR="00426304">
              <w:rPr>
                <w:rFonts w:ascii="Arial" w:hAnsi="Arial" w:cs="Arial"/>
                <w:sz w:val="18"/>
                <w:szCs w:val="14"/>
                <w:lang w:eastAsia="x-none"/>
              </w:rPr>
              <w:t>,</w:t>
            </w:r>
            <w:r w:rsidR="008E521A">
              <w:rPr>
                <w:rFonts w:ascii="Arial" w:hAnsi="Arial" w:cs="Arial"/>
                <w:sz w:val="18"/>
                <w:szCs w:val="14"/>
                <w:lang w:eastAsia="x-none"/>
              </w:rPr>
              <w:t>542</w:t>
            </w:r>
            <w:r w:rsidR="00022B84">
              <w:rPr>
                <w:rFonts w:ascii="Arial" w:hAnsi="Arial" w:cs="Arial"/>
                <w:sz w:val="18"/>
                <w:szCs w:val="14"/>
                <w:lang w:eastAsia="x-none"/>
              </w:rPr>
              <w:t>,000 (kWh/year)</w:t>
            </w:r>
          </w:p>
          <w:p w14:paraId="27505E40" w14:textId="0DA0310F" w:rsidR="00022B84" w:rsidRPr="001607FD" w:rsidRDefault="00340C05"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Custom-</w:t>
            </w:r>
            <w:r w:rsidR="00722775">
              <w:rPr>
                <w:rFonts w:ascii="Arial" w:hAnsi="Arial" w:cs="Arial"/>
                <w:sz w:val="18"/>
                <w:szCs w:val="14"/>
                <w:lang w:eastAsia="x-none"/>
              </w:rPr>
              <w:t>63,717,000</w:t>
            </w:r>
            <w:r w:rsidR="001E441D">
              <w:rPr>
                <w:rFonts w:ascii="Arial" w:hAnsi="Arial" w:cs="Arial"/>
                <w:sz w:val="18"/>
                <w:szCs w:val="14"/>
                <w:lang w:eastAsia="x-none"/>
              </w:rPr>
              <w:t xml:space="preserve"> (kWh/year)</w:t>
            </w:r>
          </w:p>
        </w:tc>
        <w:tc>
          <w:tcPr>
            <w:tcW w:w="1287" w:type="dxa"/>
          </w:tcPr>
          <w:p w14:paraId="513C84CE" w14:textId="0614ADA7" w:rsidR="00022B84" w:rsidRPr="001607FD" w:rsidRDefault="00D2149D"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Electric-</w:t>
            </w:r>
            <w:r w:rsidR="00F32E01">
              <w:rPr>
                <w:rFonts w:ascii="Arial" w:hAnsi="Arial" w:cs="Arial"/>
                <w:sz w:val="18"/>
                <w:szCs w:val="14"/>
                <w:lang w:eastAsia="x-none"/>
              </w:rPr>
              <w:t xml:space="preserve"> 34,696</w:t>
            </w:r>
            <w:r w:rsidR="00263E04">
              <w:rPr>
                <w:rFonts w:ascii="Arial" w:hAnsi="Arial" w:cs="Arial"/>
                <w:sz w:val="18"/>
                <w:szCs w:val="14"/>
                <w:lang w:eastAsia="x-none"/>
              </w:rPr>
              <w:t>,737 (kWh/year)</w:t>
            </w:r>
            <w:r w:rsidR="00203060">
              <w:rPr>
                <w:rFonts w:ascii="Arial" w:hAnsi="Arial" w:cs="Arial"/>
                <w:sz w:val="18"/>
                <w:szCs w:val="14"/>
                <w:lang w:eastAsia="x-none"/>
              </w:rPr>
              <w:t xml:space="preserve"> </w:t>
            </w:r>
            <w:r w:rsidR="00263E04">
              <w:rPr>
                <w:rFonts w:ascii="Arial" w:hAnsi="Arial" w:cs="Arial"/>
                <w:sz w:val="18"/>
                <w:szCs w:val="14"/>
                <w:lang w:eastAsia="x-none"/>
              </w:rPr>
              <w:t xml:space="preserve">Gas- </w:t>
            </w:r>
            <w:r w:rsidR="00DB5690">
              <w:rPr>
                <w:rFonts w:ascii="Arial" w:hAnsi="Arial" w:cs="Arial"/>
                <w:sz w:val="18"/>
                <w:szCs w:val="14"/>
                <w:lang w:eastAsia="x-none"/>
              </w:rPr>
              <w:t>98,887</w:t>
            </w:r>
            <w:r w:rsidR="00203060">
              <w:rPr>
                <w:rFonts w:ascii="Arial" w:hAnsi="Arial" w:cs="Arial"/>
                <w:sz w:val="18"/>
                <w:szCs w:val="14"/>
                <w:lang w:eastAsia="x-none"/>
              </w:rPr>
              <w:t xml:space="preserve"> (therms/year)</w:t>
            </w:r>
          </w:p>
        </w:tc>
        <w:tc>
          <w:tcPr>
            <w:tcW w:w="1287" w:type="dxa"/>
          </w:tcPr>
          <w:p w14:paraId="46CC83E2" w14:textId="4888D4F2" w:rsidR="00263E04" w:rsidRDefault="00263E04"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 xml:space="preserve">Electric- </w:t>
            </w:r>
            <w:r w:rsidR="00327007">
              <w:rPr>
                <w:rFonts w:ascii="Arial" w:hAnsi="Arial" w:cs="Arial"/>
                <w:sz w:val="18"/>
                <w:szCs w:val="14"/>
                <w:lang w:eastAsia="x-none"/>
              </w:rPr>
              <w:t>25</w:t>
            </w:r>
            <w:r>
              <w:rPr>
                <w:rFonts w:ascii="Arial" w:hAnsi="Arial" w:cs="Arial"/>
                <w:sz w:val="18"/>
                <w:szCs w:val="14"/>
                <w:lang w:eastAsia="x-none"/>
              </w:rPr>
              <w:t>,</w:t>
            </w:r>
            <w:r w:rsidR="00C779B1">
              <w:rPr>
                <w:rFonts w:ascii="Arial" w:hAnsi="Arial" w:cs="Arial"/>
                <w:sz w:val="18"/>
                <w:szCs w:val="14"/>
                <w:lang w:eastAsia="x-none"/>
              </w:rPr>
              <w:t>844</w:t>
            </w:r>
            <w:r>
              <w:rPr>
                <w:rFonts w:ascii="Arial" w:hAnsi="Arial" w:cs="Arial"/>
                <w:sz w:val="18"/>
                <w:szCs w:val="14"/>
                <w:lang w:eastAsia="x-none"/>
              </w:rPr>
              <w:t>,</w:t>
            </w:r>
            <w:r w:rsidR="00921CEA">
              <w:rPr>
                <w:rFonts w:ascii="Arial" w:hAnsi="Arial" w:cs="Arial"/>
                <w:sz w:val="18"/>
                <w:szCs w:val="14"/>
                <w:lang w:eastAsia="x-none"/>
              </w:rPr>
              <w:t>752</w:t>
            </w:r>
            <w:r>
              <w:rPr>
                <w:rFonts w:ascii="Arial" w:hAnsi="Arial" w:cs="Arial"/>
                <w:sz w:val="18"/>
                <w:szCs w:val="14"/>
                <w:lang w:eastAsia="x-none"/>
              </w:rPr>
              <w:t xml:space="preserve"> (kWh/year) Gas- </w:t>
            </w:r>
            <w:r w:rsidR="00290A5D">
              <w:rPr>
                <w:rFonts w:ascii="Arial" w:hAnsi="Arial" w:cs="Arial"/>
                <w:sz w:val="18"/>
                <w:szCs w:val="14"/>
                <w:lang w:eastAsia="x-none"/>
              </w:rPr>
              <w:t>520,193</w:t>
            </w:r>
            <w:r w:rsidR="00F5364F">
              <w:rPr>
                <w:rFonts w:ascii="Arial" w:hAnsi="Arial" w:cs="Arial"/>
                <w:sz w:val="18"/>
                <w:szCs w:val="14"/>
                <w:lang w:eastAsia="x-none"/>
              </w:rPr>
              <w:t xml:space="preserve"> </w:t>
            </w:r>
            <w:r>
              <w:rPr>
                <w:rFonts w:ascii="Arial" w:hAnsi="Arial" w:cs="Arial"/>
                <w:sz w:val="18"/>
                <w:szCs w:val="14"/>
                <w:lang w:eastAsia="x-none"/>
              </w:rPr>
              <w:t>(therms/year)</w:t>
            </w:r>
          </w:p>
        </w:tc>
        <w:tc>
          <w:tcPr>
            <w:tcW w:w="1557" w:type="dxa"/>
          </w:tcPr>
          <w:p w14:paraId="2B45F884" w14:textId="6D37D15F" w:rsidR="00966781" w:rsidRDefault="00966781"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54 de</w:t>
            </w:r>
            <w:r w:rsidR="00DE28BC">
              <w:rPr>
                <w:rFonts w:ascii="Arial" w:hAnsi="Arial" w:cs="Arial"/>
                <w:sz w:val="18"/>
                <w:szCs w:val="14"/>
                <w:lang w:eastAsia="x-none"/>
              </w:rPr>
              <w:t>k</w:t>
            </w:r>
            <w:r>
              <w:rPr>
                <w:rFonts w:ascii="Arial" w:hAnsi="Arial" w:cs="Arial"/>
                <w:sz w:val="18"/>
                <w:szCs w:val="14"/>
                <w:lang w:eastAsia="x-none"/>
              </w:rPr>
              <w:t>atherms/year</w:t>
            </w:r>
          </w:p>
        </w:tc>
      </w:tr>
      <w:tr w:rsidR="00710084" w:rsidRPr="001607FD" w14:paraId="7B9F42C5" w14:textId="2965800D" w:rsidTr="006C1A6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81" w:type="dxa"/>
          </w:tcPr>
          <w:p w14:paraId="399EB593" w14:textId="77777777" w:rsidR="00022B84" w:rsidRPr="00704D10" w:rsidRDefault="00022B84" w:rsidP="00361F6D">
            <w:pPr>
              <w:pStyle w:val="BodyText1"/>
              <w:keepNext/>
              <w:spacing w:after="0"/>
              <w:jc w:val="left"/>
              <w:rPr>
                <w:rFonts w:ascii="Arial" w:hAnsi="Arial" w:cs="Arial"/>
                <w:sz w:val="18"/>
                <w:szCs w:val="14"/>
                <w:lang w:eastAsia="x-none"/>
              </w:rPr>
            </w:pPr>
            <w:r w:rsidRPr="00704D10">
              <w:rPr>
                <w:rFonts w:ascii="Arial" w:hAnsi="Arial" w:cs="Arial"/>
                <w:sz w:val="18"/>
                <w:szCs w:val="14"/>
                <w:lang w:eastAsia="x-none"/>
              </w:rPr>
              <w:t>Energy Realization Rate (RR)</w:t>
            </w:r>
          </w:p>
        </w:tc>
        <w:tc>
          <w:tcPr>
            <w:tcW w:w="1225" w:type="dxa"/>
          </w:tcPr>
          <w:p w14:paraId="1892F421" w14:textId="3D028368" w:rsidR="00022B84" w:rsidRPr="001607FD" w:rsidRDefault="00C434F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90%</w:t>
            </w:r>
          </w:p>
        </w:tc>
        <w:tc>
          <w:tcPr>
            <w:tcW w:w="1499" w:type="dxa"/>
          </w:tcPr>
          <w:p w14:paraId="58AC53CE" w14:textId="63B82B9C" w:rsidR="00022B84" w:rsidRPr="001607FD" w:rsidRDefault="00E96685"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107</w:t>
            </w:r>
            <w:r w:rsidR="00022B84">
              <w:rPr>
                <w:rFonts w:ascii="Arial" w:hAnsi="Arial" w:cs="Arial"/>
                <w:sz w:val="18"/>
                <w:szCs w:val="14"/>
                <w:lang w:eastAsia="x-none"/>
              </w:rPr>
              <w:t>%</w:t>
            </w:r>
          </w:p>
        </w:tc>
        <w:tc>
          <w:tcPr>
            <w:tcW w:w="1374" w:type="dxa"/>
          </w:tcPr>
          <w:p w14:paraId="0403B774" w14:textId="0B1E4BB8" w:rsidR="00426304" w:rsidRDefault="0081220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Prescriptive</w:t>
            </w:r>
            <w:r w:rsidR="005517F6">
              <w:rPr>
                <w:rFonts w:ascii="Arial" w:hAnsi="Arial" w:cs="Arial"/>
                <w:sz w:val="18"/>
                <w:szCs w:val="14"/>
                <w:lang w:eastAsia="x-none"/>
              </w:rPr>
              <w:t xml:space="preserve">: </w:t>
            </w:r>
            <w:r w:rsidR="00426304">
              <w:rPr>
                <w:rFonts w:ascii="Arial" w:hAnsi="Arial" w:cs="Arial"/>
                <w:sz w:val="18"/>
                <w:szCs w:val="14"/>
                <w:lang w:eastAsia="x-none"/>
              </w:rPr>
              <w:t>1</w:t>
            </w:r>
            <w:r w:rsidR="002C3971">
              <w:rPr>
                <w:rFonts w:ascii="Arial" w:hAnsi="Arial" w:cs="Arial"/>
                <w:sz w:val="18"/>
                <w:szCs w:val="14"/>
                <w:lang w:eastAsia="x-none"/>
              </w:rPr>
              <w:t>03</w:t>
            </w:r>
            <w:r w:rsidR="00426304">
              <w:rPr>
                <w:rFonts w:ascii="Arial" w:hAnsi="Arial" w:cs="Arial"/>
                <w:sz w:val="18"/>
                <w:szCs w:val="14"/>
                <w:lang w:eastAsia="x-none"/>
              </w:rPr>
              <w:t>%</w:t>
            </w:r>
          </w:p>
          <w:p w14:paraId="6617DA0E" w14:textId="5427D80D" w:rsidR="00022B84" w:rsidRPr="001607FD" w:rsidRDefault="0081220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Custom</w:t>
            </w:r>
            <w:r w:rsidR="005517F6">
              <w:rPr>
                <w:rFonts w:ascii="Arial" w:hAnsi="Arial" w:cs="Arial"/>
                <w:sz w:val="18"/>
                <w:szCs w:val="14"/>
                <w:lang w:eastAsia="x-none"/>
              </w:rPr>
              <w:t xml:space="preserve">: </w:t>
            </w:r>
            <w:r w:rsidR="00B03406">
              <w:rPr>
                <w:rFonts w:ascii="Arial" w:hAnsi="Arial" w:cs="Arial"/>
                <w:sz w:val="18"/>
                <w:szCs w:val="14"/>
                <w:lang w:eastAsia="x-none"/>
              </w:rPr>
              <w:t>97%</w:t>
            </w:r>
          </w:p>
        </w:tc>
        <w:tc>
          <w:tcPr>
            <w:tcW w:w="1287" w:type="dxa"/>
          </w:tcPr>
          <w:p w14:paraId="44D4799B" w14:textId="4619F863" w:rsidR="00203060" w:rsidRDefault="002008B7"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Electric</w:t>
            </w:r>
            <w:r w:rsidR="005517F6">
              <w:rPr>
                <w:rFonts w:ascii="Arial" w:hAnsi="Arial" w:cs="Arial"/>
                <w:sz w:val="18"/>
                <w:szCs w:val="14"/>
                <w:lang w:eastAsia="x-none"/>
              </w:rPr>
              <w:t xml:space="preserve">: </w:t>
            </w:r>
            <w:r>
              <w:rPr>
                <w:rFonts w:ascii="Arial" w:hAnsi="Arial" w:cs="Arial"/>
                <w:sz w:val="18"/>
                <w:szCs w:val="14"/>
                <w:lang w:eastAsia="x-none"/>
              </w:rPr>
              <w:t>99%</w:t>
            </w:r>
          </w:p>
          <w:p w14:paraId="3C152B38" w14:textId="4F201677" w:rsidR="00022B84" w:rsidRPr="001607FD" w:rsidRDefault="00EE2E14"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Gas</w:t>
            </w:r>
            <w:r w:rsidR="005517F6">
              <w:rPr>
                <w:rFonts w:ascii="Arial" w:hAnsi="Arial" w:cs="Arial"/>
                <w:sz w:val="18"/>
                <w:szCs w:val="14"/>
                <w:lang w:eastAsia="x-none"/>
              </w:rPr>
              <w:t>:</w:t>
            </w:r>
            <w:r w:rsidR="00AA6D67">
              <w:rPr>
                <w:rFonts w:ascii="Arial" w:hAnsi="Arial" w:cs="Arial"/>
                <w:sz w:val="18"/>
                <w:szCs w:val="14"/>
                <w:lang w:eastAsia="x-none"/>
              </w:rPr>
              <w:t xml:space="preserve"> 68%</w:t>
            </w:r>
          </w:p>
        </w:tc>
        <w:tc>
          <w:tcPr>
            <w:tcW w:w="1287" w:type="dxa"/>
          </w:tcPr>
          <w:p w14:paraId="6A226EE2" w14:textId="0F5C892A" w:rsidR="00EE2E14" w:rsidRDefault="00EE2E14"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Electric</w:t>
            </w:r>
            <w:r w:rsidR="005517F6">
              <w:rPr>
                <w:rFonts w:ascii="Arial" w:hAnsi="Arial" w:cs="Arial"/>
                <w:sz w:val="18"/>
                <w:szCs w:val="14"/>
                <w:lang w:eastAsia="x-none"/>
              </w:rPr>
              <w:t xml:space="preserve">: </w:t>
            </w:r>
            <w:r w:rsidR="00D2149D">
              <w:rPr>
                <w:rFonts w:ascii="Arial" w:hAnsi="Arial" w:cs="Arial"/>
                <w:sz w:val="18"/>
                <w:szCs w:val="14"/>
                <w:lang w:eastAsia="x-none"/>
              </w:rPr>
              <w:t>85</w:t>
            </w:r>
            <w:r>
              <w:rPr>
                <w:rFonts w:ascii="Arial" w:hAnsi="Arial" w:cs="Arial"/>
                <w:sz w:val="18"/>
                <w:szCs w:val="14"/>
                <w:lang w:eastAsia="x-none"/>
              </w:rPr>
              <w:t>%</w:t>
            </w:r>
          </w:p>
          <w:p w14:paraId="589DA778" w14:textId="58D808C1" w:rsidR="00EE2E14" w:rsidRDefault="00EE2E14"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Gas</w:t>
            </w:r>
            <w:r w:rsidR="005517F6">
              <w:rPr>
                <w:rFonts w:ascii="Arial" w:hAnsi="Arial" w:cs="Arial"/>
                <w:sz w:val="18"/>
                <w:szCs w:val="14"/>
                <w:lang w:eastAsia="x-none"/>
              </w:rPr>
              <w:t>:</w:t>
            </w:r>
            <w:r w:rsidR="00AA6D67">
              <w:rPr>
                <w:rFonts w:ascii="Arial" w:hAnsi="Arial" w:cs="Arial"/>
                <w:sz w:val="18"/>
                <w:szCs w:val="14"/>
                <w:lang w:eastAsia="x-none"/>
              </w:rPr>
              <w:t xml:space="preserve"> </w:t>
            </w:r>
            <w:r w:rsidR="00691E0D">
              <w:rPr>
                <w:rFonts w:ascii="Arial" w:hAnsi="Arial" w:cs="Arial"/>
                <w:sz w:val="18"/>
                <w:szCs w:val="14"/>
                <w:lang w:eastAsia="x-none"/>
              </w:rPr>
              <w:t>94%</w:t>
            </w:r>
          </w:p>
        </w:tc>
        <w:tc>
          <w:tcPr>
            <w:tcW w:w="1557" w:type="dxa"/>
          </w:tcPr>
          <w:p w14:paraId="27C93483" w14:textId="511F209C" w:rsidR="004F7886" w:rsidRDefault="004F788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r>
      <w:tr w:rsidR="00F1272E" w:rsidRPr="001607FD" w14:paraId="636C2C55" w14:textId="73C52BC6" w:rsidTr="006C1A6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81" w:type="dxa"/>
          </w:tcPr>
          <w:p w14:paraId="27D16D43" w14:textId="77777777" w:rsidR="00022B84" w:rsidRPr="00704D10" w:rsidRDefault="00022B84" w:rsidP="00361F6D">
            <w:pPr>
              <w:pStyle w:val="BodyText1"/>
              <w:keepNext/>
              <w:spacing w:after="0"/>
              <w:jc w:val="left"/>
              <w:rPr>
                <w:rFonts w:ascii="Arial" w:hAnsi="Arial" w:cs="Arial"/>
                <w:sz w:val="18"/>
                <w:szCs w:val="14"/>
                <w:lang w:eastAsia="x-none"/>
              </w:rPr>
            </w:pPr>
            <w:r w:rsidRPr="00704D10">
              <w:rPr>
                <w:rFonts w:ascii="Arial" w:hAnsi="Arial" w:cs="Arial"/>
                <w:sz w:val="18"/>
                <w:szCs w:val="14"/>
                <w:lang w:eastAsia="x-none"/>
              </w:rPr>
              <w:t>Demand</w:t>
            </w:r>
            <w:r>
              <w:rPr>
                <w:rFonts w:ascii="Arial" w:hAnsi="Arial" w:cs="Arial"/>
                <w:sz w:val="18"/>
                <w:szCs w:val="14"/>
                <w:lang w:eastAsia="x-none"/>
              </w:rPr>
              <w:t xml:space="preserve"> </w:t>
            </w:r>
            <w:r w:rsidRPr="00704D10">
              <w:rPr>
                <w:rFonts w:ascii="Arial" w:hAnsi="Arial" w:cs="Arial"/>
                <w:sz w:val="18"/>
                <w:szCs w:val="14"/>
                <w:lang w:eastAsia="x-none"/>
              </w:rPr>
              <w:t>Realization Rate (RR)</w:t>
            </w:r>
          </w:p>
        </w:tc>
        <w:tc>
          <w:tcPr>
            <w:tcW w:w="1225" w:type="dxa"/>
          </w:tcPr>
          <w:p w14:paraId="28597A2F" w14:textId="190E691A" w:rsidR="00022B84" w:rsidRPr="001607FD" w:rsidRDefault="005F0A79"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57%</w:t>
            </w:r>
          </w:p>
        </w:tc>
        <w:tc>
          <w:tcPr>
            <w:tcW w:w="1499" w:type="dxa"/>
          </w:tcPr>
          <w:p w14:paraId="0BB1248F" w14:textId="39127C97" w:rsidR="00022B84" w:rsidRPr="001607FD" w:rsidRDefault="00022B84"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9</w:t>
            </w:r>
            <w:r w:rsidR="00DD0020">
              <w:rPr>
                <w:rFonts w:ascii="Arial" w:hAnsi="Arial" w:cs="Arial"/>
                <w:sz w:val="18"/>
                <w:szCs w:val="14"/>
                <w:lang w:eastAsia="x-none"/>
              </w:rPr>
              <w:t>9</w:t>
            </w:r>
            <w:r>
              <w:rPr>
                <w:rFonts w:ascii="Arial" w:hAnsi="Arial" w:cs="Arial"/>
                <w:sz w:val="18"/>
                <w:szCs w:val="14"/>
                <w:lang w:eastAsia="x-none"/>
              </w:rPr>
              <w:t>%</w:t>
            </w:r>
          </w:p>
        </w:tc>
        <w:tc>
          <w:tcPr>
            <w:tcW w:w="1374" w:type="dxa"/>
          </w:tcPr>
          <w:p w14:paraId="02413BE9" w14:textId="5FBEBFE0" w:rsidR="00426304" w:rsidRDefault="00812206"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Prescriptive</w:t>
            </w:r>
            <w:r w:rsidR="005517F6">
              <w:rPr>
                <w:rFonts w:ascii="Arial" w:hAnsi="Arial" w:cs="Arial"/>
                <w:sz w:val="18"/>
                <w:szCs w:val="14"/>
                <w:lang w:eastAsia="x-none"/>
              </w:rPr>
              <w:t xml:space="preserve">: </w:t>
            </w:r>
            <w:r w:rsidR="00426304">
              <w:rPr>
                <w:rFonts w:ascii="Arial" w:hAnsi="Arial" w:cs="Arial"/>
                <w:sz w:val="18"/>
                <w:szCs w:val="14"/>
                <w:lang w:eastAsia="x-none"/>
              </w:rPr>
              <w:t>1</w:t>
            </w:r>
            <w:r w:rsidR="000A0E72">
              <w:rPr>
                <w:rFonts w:ascii="Arial" w:hAnsi="Arial" w:cs="Arial"/>
                <w:sz w:val="18"/>
                <w:szCs w:val="14"/>
                <w:lang w:eastAsia="x-none"/>
              </w:rPr>
              <w:t>00</w:t>
            </w:r>
            <w:r w:rsidR="00426304">
              <w:rPr>
                <w:rFonts w:ascii="Arial" w:hAnsi="Arial" w:cs="Arial"/>
                <w:sz w:val="18"/>
                <w:szCs w:val="14"/>
                <w:lang w:eastAsia="x-none"/>
              </w:rPr>
              <w:t>%</w:t>
            </w:r>
          </w:p>
          <w:p w14:paraId="25D4405E" w14:textId="364D39B6" w:rsidR="00022B84" w:rsidRPr="001607FD" w:rsidRDefault="007829D0"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Custom</w:t>
            </w:r>
            <w:r w:rsidR="005517F6">
              <w:rPr>
                <w:rFonts w:ascii="Arial" w:hAnsi="Arial" w:cs="Arial"/>
                <w:sz w:val="18"/>
                <w:szCs w:val="14"/>
                <w:lang w:eastAsia="x-none"/>
              </w:rPr>
              <w:t xml:space="preserve">: </w:t>
            </w:r>
            <w:r>
              <w:rPr>
                <w:rFonts w:ascii="Arial" w:hAnsi="Arial" w:cs="Arial"/>
                <w:sz w:val="18"/>
                <w:szCs w:val="14"/>
                <w:lang w:eastAsia="x-none"/>
              </w:rPr>
              <w:t>99%</w:t>
            </w:r>
          </w:p>
        </w:tc>
        <w:tc>
          <w:tcPr>
            <w:tcW w:w="1287" w:type="dxa"/>
          </w:tcPr>
          <w:p w14:paraId="5AB61563" w14:textId="6C896422" w:rsidR="00022B84" w:rsidRPr="001607FD" w:rsidRDefault="000E502D"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109%</w:t>
            </w:r>
          </w:p>
        </w:tc>
        <w:tc>
          <w:tcPr>
            <w:tcW w:w="1287" w:type="dxa"/>
          </w:tcPr>
          <w:p w14:paraId="369D2591" w14:textId="5F5F329D" w:rsidR="000E502D" w:rsidRDefault="000E502D"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127%</w:t>
            </w:r>
          </w:p>
        </w:tc>
        <w:tc>
          <w:tcPr>
            <w:tcW w:w="1557" w:type="dxa"/>
          </w:tcPr>
          <w:p w14:paraId="08CBD928" w14:textId="132DD630" w:rsidR="004F7886" w:rsidRDefault="004F7886"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NR</w:t>
            </w:r>
          </w:p>
        </w:tc>
      </w:tr>
      <w:tr w:rsidR="00710084" w:rsidRPr="001607FD" w14:paraId="6DA13C89" w14:textId="7A548A24" w:rsidTr="006C1A6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81" w:type="dxa"/>
          </w:tcPr>
          <w:p w14:paraId="47ED9B8F" w14:textId="37790249" w:rsidR="00022B84" w:rsidRPr="00704D10" w:rsidRDefault="004F7886" w:rsidP="00361F6D">
            <w:pPr>
              <w:pStyle w:val="BodyText1"/>
              <w:keepNext/>
              <w:spacing w:after="0"/>
              <w:jc w:val="left"/>
              <w:rPr>
                <w:rFonts w:ascii="Arial" w:hAnsi="Arial" w:cs="Arial"/>
                <w:sz w:val="18"/>
                <w:szCs w:val="14"/>
                <w:lang w:eastAsia="x-none"/>
              </w:rPr>
            </w:pPr>
            <w:r w:rsidRPr="00704D10">
              <w:rPr>
                <w:rFonts w:ascii="Arial" w:hAnsi="Arial" w:cs="Arial"/>
                <w:sz w:val="18"/>
                <w:szCs w:val="14"/>
                <w:lang w:eastAsia="x-none"/>
              </w:rPr>
              <w:t>Measure Mix</w:t>
            </w:r>
          </w:p>
        </w:tc>
        <w:tc>
          <w:tcPr>
            <w:tcW w:w="1225" w:type="dxa"/>
          </w:tcPr>
          <w:p w14:paraId="01759F42" w14:textId="13C6AC45" w:rsidR="00022B84" w:rsidRPr="001607FD" w:rsidRDefault="004F788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Lighting, VSD, Fan/Pumps, HVAC, Data center, Others etc.</w:t>
            </w:r>
          </w:p>
        </w:tc>
        <w:tc>
          <w:tcPr>
            <w:tcW w:w="1499" w:type="dxa"/>
          </w:tcPr>
          <w:p w14:paraId="186B6672" w14:textId="6A03057B" w:rsidR="00022B84" w:rsidRPr="001607FD" w:rsidRDefault="004F788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proofErr w:type="spellStart"/>
            <w:r>
              <w:rPr>
                <w:rFonts w:ascii="Arial" w:hAnsi="Arial" w:cs="Arial"/>
                <w:sz w:val="18"/>
                <w:szCs w:val="14"/>
                <w:lang w:eastAsia="x-none"/>
              </w:rPr>
              <w:t>Lighting&amp;controls</w:t>
            </w:r>
            <w:proofErr w:type="spellEnd"/>
            <w:r>
              <w:rPr>
                <w:rFonts w:ascii="Arial" w:hAnsi="Arial" w:cs="Arial"/>
                <w:sz w:val="18"/>
                <w:szCs w:val="14"/>
                <w:lang w:eastAsia="x-none"/>
              </w:rPr>
              <w:t xml:space="preserve">, </w:t>
            </w:r>
            <w:proofErr w:type="gramStart"/>
            <w:r>
              <w:rPr>
                <w:rFonts w:ascii="Arial" w:hAnsi="Arial" w:cs="Arial"/>
                <w:sz w:val="18"/>
                <w:szCs w:val="14"/>
                <w:lang w:eastAsia="x-none"/>
              </w:rPr>
              <w:t>HVAC,VSD</w:t>
            </w:r>
            <w:proofErr w:type="gramEnd"/>
            <w:r>
              <w:rPr>
                <w:rFonts w:ascii="Arial" w:hAnsi="Arial" w:cs="Arial"/>
                <w:sz w:val="18"/>
                <w:szCs w:val="14"/>
                <w:lang w:eastAsia="x-none"/>
              </w:rPr>
              <w:t xml:space="preserve">, Refrigeration, BAS etc. </w:t>
            </w:r>
          </w:p>
        </w:tc>
        <w:tc>
          <w:tcPr>
            <w:tcW w:w="1374" w:type="dxa"/>
          </w:tcPr>
          <w:p w14:paraId="6B45D11F" w14:textId="4D718D83" w:rsidR="00022B84" w:rsidRPr="001607FD" w:rsidRDefault="004F788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 xml:space="preserve">Lighting, Building Simulation models, Others </w:t>
            </w:r>
          </w:p>
        </w:tc>
        <w:tc>
          <w:tcPr>
            <w:tcW w:w="1287" w:type="dxa"/>
          </w:tcPr>
          <w:p w14:paraId="70746FF5" w14:textId="2143F0EA" w:rsidR="00022B84" w:rsidRPr="001607FD" w:rsidRDefault="004F788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Lighting, Pumps and drives, HVAC, Refrigeration</w:t>
            </w:r>
          </w:p>
        </w:tc>
        <w:tc>
          <w:tcPr>
            <w:tcW w:w="1287" w:type="dxa"/>
          </w:tcPr>
          <w:p w14:paraId="19D34A97" w14:textId="6DC1F50C" w:rsidR="00076033" w:rsidRPr="00B32E09" w:rsidRDefault="004F7886" w:rsidP="00361F6D">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Lighting, HVAC, Controls, Compressed air, Other</w:t>
            </w:r>
          </w:p>
        </w:tc>
        <w:tc>
          <w:tcPr>
            <w:tcW w:w="1557" w:type="dxa"/>
          </w:tcPr>
          <w:p w14:paraId="4E56C967" w14:textId="6CB3A14F" w:rsidR="00720BB9" w:rsidRDefault="00720BB9" w:rsidP="006C1A6F">
            <w:pPr>
              <w:pStyle w:val="BodyText1"/>
              <w:keepNext/>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4"/>
                <w:lang w:eastAsia="x-none"/>
              </w:rPr>
            </w:pPr>
            <w:r>
              <w:rPr>
                <w:rFonts w:ascii="Arial" w:hAnsi="Arial" w:cs="Arial"/>
                <w:sz w:val="18"/>
                <w:szCs w:val="14"/>
                <w:lang w:eastAsia="x-none"/>
              </w:rPr>
              <w:t>Gas-fired boilers, furnaces, unit heaters, boiler controls, boiler</w:t>
            </w:r>
            <w:r w:rsidR="00DD6CA4">
              <w:rPr>
                <w:rFonts w:ascii="Arial" w:hAnsi="Arial" w:cs="Arial"/>
                <w:sz w:val="18"/>
                <w:szCs w:val="14"/>
                <w:lang w:eastAsia="x-none"/>
              </w:rPr>
              <w:t xml:space="preserve"> tune-up, furnace tune-up, pipe wrap</w:t>
            </w:r>
            <w:r w:rsidR="006C1A6F">
              <w:rPr>
                <w:rFonts w:ascii="Arial" w:hAnsi="Arial" w:cs="Arial"/>
                <w:sz w:val="18"/>
                <w:szCs w:val="14"/>
                <w:lang w:eastAsia="x-none"/>
              </w:rPr>
              <w:t xml:space="preserve"> etc.</w:t>
            </w:r>
          </w:p>
        </w:tc>
      </w:tr>
      <w:tr w:rsidR="00F1272E" w:rsidRPr="000625F0" w14:paraId="2017357A" w14:textId="0B0824E7" w:rsidTr="006C1A6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681" w:type="dxa"/>
          </w:tcPr>
          <w:p w14:paraId="5D9C4941" w14:textId="3859808A" w:rsidR="00022B84" w:rsidRPr="00704D10" w:rsidRDefault="004F7886" w:rsidP="00361F6D">
            <w:pPr>
              <w:pStyle w:val="BodyText1"/>
              <w:keepNext/>
              <w:spacing w:after="0"/>
              <w:jc w:val="left"/>
              <w:rPr>
                <w:rFonts w:ascii="Arial" w:hAnsi="Arial" w:cs="Arial"/>
                <w:sz w:val="18"/>
                <w:szCs w:val="14"/>
                <w:lang w:eastAsia="x-none"/>
              </w:rPr>
            </w:pPr>
            <w:r w:rsidRPr="00704D10">
              <w:rPr>
                <w:rFonts w:ascii="Arial" w:hAnsi="Arial" w:cs="Arial"/>
                <w:sz w:val="18"/>
                <w:szCs w:val="14"/>
                <w:lang w:eastAsia="x-none"/>
              </w:rPr>
              <w:t>Savings Methodology</w:t>
            </w:r>
          </w:p>
        </w:tc>
        <w:tc>
          <w:tcPr>
            <w:tcW w:w="1225" w:type="dxa"/>
          </w:tcPr>
          <w:p w14:paraId="4FB33B9F" w14:textId="44E2B6DC" w:rsidR="00022B84" w:rsidRPr="001607FD" w:rsidRDefault="004F7886"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092110">
              <w:rPr>
                <w:rFonts w:ascii="Arial" w:hAnsi="Arial" w:cs="Arial"/>
                <w:sz w:val="18"/>
                <w:szCs w:val="14"/>
                <w:lang w:eastAsia="x-none"/>
              </w:rPr>
              <w:t>Engineering Analysis &amp; TRM Algorithm</w:t>
            </w:r>
          </w:p>
        </w:tc>
        <w:tc>
          <w:tcPr>
            <w:tcW w:w="1499" w:type="dxa"/>
          </w:tcPr>
          <w:p w14:paraId="2A032A04" w14:textId="488DE62B" w:rsidR="00022B84" w:rsidRPr="001607FD" w:rsidRDefault="004F7886"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092110">
              <w:rPr>
                <w:rFonts w:ascii="Arial" w:hAnsi="Arial" w:cs="Arial"/>
                <w:sz w:val="18"/>
                <w:szCs w:val="14"/>
                <w:lang w:eastAsia="x-none"/>
              </w:rPr>
              <w:t>Engineering Analysis &amp; TRM Algorithm</w:t>
            </w:r>
          </w:p>
        </w:tc>
        <w:tc>
          <w:tcPr>
            <w:tcW w:w="1374" w:type="dxa"/>
          </w:tcPr>
          <w:p w14:paraId="566F9A77" w14:textId="06C3EE12" w:rsidR="00022B84" w:rsidRPr="001607FD" w:rsidRDefault="004F7886"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092110">
              <w:rPr>
                <w:rFonts w:ascii="Arial" w:hAnsi="Arial" w:cs="Arial"/>
                <w:sz w:val="18"/>
                <w:szCs w:val="14"/>
                <w:lang w:eastAsia="x-none"/>
              </w:rPr>
              <w:t>Engineering Analysis &amp; TRM Algorithm</w:t>
            </w:r>
          </w:p>
        </w:tc>
        <w:tc>
          <w:tcPr>
            <w:tcW w:w="1287" w:type="dxa"/>
          </w:tcPr>
          <w:p w14:paraId="1285BE38" w14:textId="2590D1FA" w:rsidR="00022B84" w:rsidRPr="001607FD" w:rsidRDefault="004F7886"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092110">
              <w:rPr>
                <w:rFonts w:ascii="Arial" w:hAnsi="Arial" w:cs="Arial"/>
                <w:sz w:val="18"/>
                <w:szCs w:val="14"/>
                <w:lang w:eastAsia="x-none"/>
              </w:rPr>
              <w:t>TRM Algorithm</w:t>
            </w:r>
          </w:p>
        </w:tc>
        <w:tc>
          <w:tcPr>
            <w:tcW w:w="1287" w:type="dxa"/>
          </w:tcPr>
          <w:p w14:paraId="1B051F14" w14:textId="3FD42874" w:rsidR="008416E8" w:rsidRDefault="004F7886" w:rsidP="00361F6D">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092110">
              <w:rPr>
                <w:rFonts w:ascii="Arial" w:hAnsi="Arial" w:cs="Arial"/>
                <w:sz w:val="18"/>
                <w:szCs w:val="14"/>
                <w:lang w:eastAsia="x-none"/>
              </w:rPr>
              <w:t>Engineering Analysis &amp; TRM Algorithm</w:t>
            </w:r>
          </w:p>
        </w:tc>
        <w:tc>
          <w:tcPr>
            <w:tcW w:w="1557" w:type="dxa"/>
          </w:tcPr>
          <w:p w14:paraId="56CDC829" w14:textId="5E4FEF4B" w:rsidR="00942C6F" w:rsidRPr="00092110" w:rsidRDefault="000625F0" w:rsidP="004F7886">
            <w:pPr>
              <w:pStyle w:val="BodyText1"/>
              <w:keepNext/>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4"/>
                <w:lang w:eastAsia="x-none"/>
              </w:rPr>
            </w:pPr>
            <w:r w:rsidRPr="000625F0">
              <w:rPr>
                <w:rFonts w:ascii="Arial" w:hAnsi="Arial" w:cs="Arial"/>
                <w:sz w:val="18"/>
                <w:szCs w:val="14"/>
                <w:lang w:eastAsia="x-none"/>
              </w:rPr>
              <w:t>Engineering Analysis &amp; Coordinated Measure List.</w:t>
            </w:r>
          </w:p>
        </w:tc>
      </w:tr>
    </w:tbl>
    <w:p w14:paraId="3AF932FA" w14:textId="77777777" w:rsidR="00191031" w:rsidRDefault="00191031" w:rsidP="00191031">
      <w:pPr>
        <w:pStyle w:val="TableText"/>
      </w:pPr>
      <w:r>
        <w:t># Prescriptive Program</w:t>
      </w:r>
    </w:p>
    <w:p w14:paraId="05256C6D" w14:textId="77777777" w:rsidR="00191031" w:rsidRDefault="00191031" w:rsidP="00191031">
      <w:pPr>
        <w:pStyle w:val="TableText"/>
      </w:pPr>
      <w:r>
        <w:t>## Custom Program</w:t>
      </w:r>
    </w:p>
    <w:p w14:paraId="14E86283" w14:textId="4CC5AD74" w:rsidR="00F9340B" w:rsidRDefault="00F9340B">
      <w:pPr>
        <w:rPr>
          <w:b/>
          <w:sz w:val="22"/>
        </w:rPr>
      </w:pPr>
      <w:r>
        <w:rPr>
          <w:b/>
        </w:rPr>
        <w:br w:type="page"/>
      </w:r>
    </w:p>
    <w:p w14:paraId="3A55A416" w14:textId="66C8F270" w:rsidR="00732182" w:rsidRPr="00D8694A" w:rsidRDefault="00A11EC1" w:rsidP="00D8694A">
      <w:pPr>
        <w:pStyle w:val="Heading6"/>
      </w:pPr>
      <w:bookmarkStart w:id="29" w:name="_Toc121935681"/>
      <w:bookmarkStart w:id="30" w:name="_Toc145924009"/>
      <w:r>
        <w:lastRenderedPageBreak/>
        <w:t xml:space="preserve">Program staff </w:t>
      </w:r>
      <w:r w:rsidR="00DB646F">
        <w:t>FEEDBACK</w:t>
      </w:r>
      <w:bookmarkEnd w:id="30"/>
      <w:r w:rsidR="00732182">
        <w:t xml:space="preserve"> </w:t>
      </w:r>
      <w:bookmarkEnd w:id="29"/>
    </w:p>
    <w:p w14:paraId="5FBB62D5" w14:textId="77777777" w:rsidR="00AA57E1" w:rsidRPr="00F029B5" w:rsidRDefault="00AA57E1" w:rsidP="00AA57E1">
      <w:pPr>
        <w:pStyle w:val="Heading8"/>
        <w:rPr>
          <w:lang w:val="en-US"/>
        </w:rPr>
      </w:pPr>
      <w:r>
        <w:rPr>
          <w:lang w:val="en-US"/>
        </w:rPr>
        <w:t xml:space="preserve">General information </w:t>
      </w:r>
    </w:p>
    <w:p w14:paraId="5B380FB1" w14:textId="77777777" w:rsidR="00A11EC1" w:rsidRDefault="00A11EC1" w:rsidP="00F33CE3">
      <w:pPr>
        <w:pStyle w:val="BodyText"/>
        <w:numPr>
          <w:ilvl w:val="0"/>
          <w:numId w:val="16"/>
        </w:numPr>
        <w:rPr>
          <w:szCs w:val="10"/>
          <w:lang w:val="en-US"/>
        </w:rPr>
      </w:pPr>
      <w:r w:rsidRPr="00F502E8">
        <w:rPr>
          <w:szCs w:val="10"/>
          <w:lang w:val="en-US"/>
        </w:rPr>
        <w:t xml:space="preserve">Can you explain what your role and responsibilities are for this program </w:t>
      </w:r>
      <w:proofErr w:type="gramStart"/>
      <w:r w:rsidRPr="00F502E8">
        <w:rPr>
          <w:szCs w:val="10"/>
          <w:lang w:val="en-US"/>
        </w:rPr>
        <w:t>and also</w:t>
      </w:r>
      <w:proofErr w:type="gramEnd"/>
      <w:r w:rsidRPr="00F502E8">
        <w:rPr>
          <w:szCs w:val="10"/>
          <w:lang w:val="en-US"/>
        </w:rPr>
        <w:t xml:space="preserve"> </w:t>
      </w:r>
      <w:r>
        <w:rPr>
          <w:szCs w:val="10"/>
          <w:lang w:val="en-US"/>
        </w:rPr>
        <w:t>for</w:t>
      </w:r>
      <w:r w:rsidRPr="00F502E8">
        <w:rPr>
          <w:szCs w:val="10"/>
          <w:lang w:val="en-US"/>
        </w:rPr>
        <w:t xml:space="preserve"> your company?</w:t>
      </w:r>
    </w:p>
    <w:p w14:paraId="10BEE786" w14:textId="77777777" w:rsidR="00A11EC1" w:rsidRDefault="00A11EC1" w:rsidP="00F33CE3">
      <w:pPr>
        <w:pStyle w:val="BodyText"/>
        <w:numPr>
          <w:ilvl w:val="0"/>
          <w:numId w:val="16"/>
        </w:numPr>
        <w:rPr>
          <w:szCs w:val="10"/>
          <w:lang w:val="en-US"/>
        </w:rPr>
      </w:pPr>
      <w:r w:rsidRPr="00091ADD">
        <w:rPr>
          <w:szCs w:val="10"/>
          <w:lang w:val="en-US"/>
        </w:rPr>
        <w:t>Is there anything</w:t>
      </w:r>
      <w:proofErr w:type="gramStart"/>
      <w:r>
        <w:rPr>
          <w:szCs w:val="10"/>
          <w:lang w:val="en-US"/>
        </w:rPr>
        <w:t>,</w:t>
      </w:r>
      <w:r w:rsidRPr="00091ADD">
        <w:rPr>
          <w:szCs w:val="10"/>
          <w:lang w:val="en-US"/>
        </w:rPr>
        <w:t xml:space="preserve"> in particular</w:t>
      </w:r>
      <w:r>
        <w:rPr>
          <w:szCs w:val="10"/>
          <w:lang w:val="en-US"/>
        </w:rPr>
        <w:t>,</w:t>
      </w:r>
      <w:r w:rsidRPr="00091ADD">
        <w:rPr>
          <w:szCs w:val="10"/>
          <w:lang w:val="en-US"/>
        </w:rPr>
        <w:t xml:space="preserve"> you</w:t>
      </w:r>
      <w:proofErr w:type="gramEnd"/>
      <w:r w:rsidRPr="00091ADD">
        <w:rPr>
          <w:szCs w:val="10"/>
          <w:lang w:val="en-US"/>
        </w:rPr>
        <w:t xml:space="preserve"> are interested in having the evaluators study?  </w:t>
      </w:r>
    </w:p>
    <w:p w14:paraId="5D8DEB42" w14:textId="77777777" w:rsidR="00AA57E1" w:rsidRDefault="00AA57E1" w:rsidP="00AA57E1">
      <w:pPr>
        <w:pStyle w:val="BodyText"/>
        <w:numPr>
          <w:ilvl w:val="0"/>
          <w:numId w:val="16"/>
        </w:numPr>
        <w:rPr>
          <w:szCs w:val="10"/>
          <w:lang w:val="en-US"/>
        </w:rPr>
      </w:pPr>
      <w:r>
        <w:t>What has changed in program delivery – and what has stayed the same – comparing PY1 with previous implementation?</w:t>
      </w:r>
    </w:p>
    <w:p w14:paraId="06C4BA94" w14:textId="77777777" w:rsidR="00A11EC1" w:rsidRDefault="00A11EC1" w:rsidP="00A11EC1">
      <w:pPr>
        <w:pStyle w:val="Heading8"/>
      </w:pPr>
      <w:r>
        <w:t>Communication and structure</w:t>
      </w:r>
    </w:p>
    <w:p w14:paraId="44366A66" w14:textId="77777777" w:rsidR="00A11EC1" w:rsidRPr="003809C9" w:rsidRDefault="00A11EC1" w:rsidP="00F33CE3">
      <w:pPr>
        <w:pStyle w:val="BodyText"/>
        <w:numPr>
          <w:ilvl w:val="0"/>
          <w:numId w:val="17"/>
        </w:numPr>
        <w:rPr>
          <w:szCs w:val="10"/>
          <w:lang w:val="en-US"/>
        </w:rPr>
      </w:pPr>
      <w:r w:rsidRPr="00091ADD">
        <w:rPr>
          <w:szCs w:val="10"/>
          <w:lang w:val="en-US"/>
        </w:rPr>
        <w:t xml:space="preserve">[If not already mentioned] What are the goals of the program? How are they set? [PROBE: segment targets, measure targets, </w:t>
      </w:r>
      <w:r>
        <w:rPr>
          <w:szCs w:val="10"/>
          <w:lang w:val="en-US"/>
        </w:rPr>
        <w:t>EE savings</w:t>
      </w:r>
      <w:r w:rsidRPr="00091ADD">
        <w:rPr>
          <w:szCs w:val="10"/>
          <w:lang w:val="en-US"/>
        </w:rPr>
        <w:t xml:space="preserve">, geographic targets, customer satisfaction, etc.] </w:t>
      </w:r>
    </w:p>
    <w:p w14:paraId="769CB274" w14:textId="77777777" w:rsidR="00A11EC1" w:rsidRDefault="00A11EC1" w:rsidP="00F33CE3">
      <w:pPr>
        <w:pStyle w:val="BodyText"/>
        <w:numPr>
          <w:ilvl w:val="0"/>
          <w:numId w:val="17"/>
        </w:numPr>
        <w:rPr>
          <w:szCs w:val="10"/>
          <w:lang w:val="en-US"/>
        </w:rPr>
      </w:pPr>
      <w:r>
        <w:rPr>
          <w:szCs w:val="10"/>
          <w:lang w:val="en-US"/>
        </w:rPr>
        <w:t>What metrics do you use to measure the success of the program?</w:t>
      </w:r>
      <w:r w:rsidRPr="00743BD7">
        <w:rPr>
          <w:szCs w:val="10"/>
          <w:lang w:val="en-US"/>
        </w:rPr>
        <w:t xml:space="preserve">  </w:t>
      </w:r>
    </w:p>
    <w:p w14:paraId="7476FF74" w14:textId="77777777" w:rsidR="00A11EC1" w:rsidRPr="005B1133" w:rsidRDefault="00A11EC1" w:rsidP="00F33CE3">
      <w:pPr>
        <w:pStyle w:val="BodyText"/>
        <w:numPr>
          <w:ilvl w:val="1"/>
          <w:numId w:val="17"/>
        </w:numPr>
        <w:rPr>
          <w:szCs w:val="10"/>
          <w:lang w:val="en-US"/>
        </w:rPr>
      </w:pPr>
      <w:r>
        <w:rPr>
          <w:szCs w:val="10"/>
          <w:lang w:val="en-US"/>
        </w:rPr>
        <w:t>A</w:t>
      </w:r>
      <w:r w:rsidRPr="005B1133">
        <w:rPr>
          <w:szCs w:val="10"/>
          <w:lang w:val="en-US"/>
        </w:rPr>
        <w:t xml:space="preserve">re there any metrics you would like to see incorporated into measuring and reporting on this program? </w:t>
      </w:r>
    </w:p>
    <w:p w14:paraId="1432F3F6" w14:textId="77777777" w:rsidR="00A11EC1" w:rsidRDefault="00A11EC1" w:rsidP="00F33CE3">
      <w:pPr>
        <w:pStyle w:val="BodyText"/>
        <w:numPr>
          <w:ilvl w:val="0"/>
          <w:numId w:val="17"/>
        </w:numPr>
        <w:rPr>
          <w:szCs w:val="10"/>
          <w:lang w:val="en-US"/>
        </w:rPr>
      </w:pPr>
      <w:r w:rsidRPr="00743BD7">
        <w:rPr>
          <w:szCs w:val="10"/>
          <w:lang w:val="en-US"/>
        </w:rPr>
        <w:t>How is the program currently progressing against its goals? How have they performed historically?</w:t>
      </w:r>
    </w:p>
    <w:p w14:paraId="01C5F0B9" w14:textId="77777777" w:rsidR="00A11EC1" w:rsidRDefault="00A11EC1" w:rsidP="00F33CE3">
      <w:pPr>
        <w:pStyle w:val="BodyText"/>
        <w:numPr>
          <w:ilvl w:val="1"/>
          <w:numId w:val="17"/>
        </w:numPr>
        <w:rPr>
          <w:szCs w:val="10"/>
          <w:lang w:val="en-US"/>
        </w:rPr>
      </w:pPr>
      <w:r>
        <w:rPr>
          <w:szCs w:val="10"/>
          <w:lang w:val="en-US"/>
        </w:rPr>
        <w:t>Are you considering any revisions to program goals?</w:t>
      </w:r>
    </w:p>
    <w:p w14:paraId="21B0A035" w14:textId="77777777" w:rsidR="00A11EC1" w:rsidRPr="00493E6B" w:rsidRDefault="00A11EC1" w:rsidP="00F33CE3">
      <w:pPr>
        <w:pStyle w:val="BodyText"/>
        <w:numPr>
          <w:ilvl w:val="0"/>
          <w:numId w:val="17"/>
        </w:numPr>
        <w:rPr>
          <w:szCs w:val="10"/>
          <w:lang w:val="en-US"/>
        </w:rPr>
      </w:pPr>
      <w:r w:rsidRPr="005B1133">
        <w:rPr>
          <w:szCs w:val="10"/>
          <w:lang w:val="en-US"/>
        </w:rPr>
        <w:t>How are program tracking metrics</w:t>
      </w:r>
      <w:r>
        <w:rPr>
          <w:szCs w:val="10"/>
          <w:lang w:val="en-US"/>
        </w:rPr>
        <w:t xml:space="preserve"> shared</w:t>
      </w:r>
      <w:r w:rsidRPr="005B1133">
        <w:rPr>
          <w:szCs w:val="10"/>
          <w:lang w:val="en-US"/>
        </w:rPr>
        <w:t>? What is the frequency and format of this reporting?</w:t>
      </w:r>
    </w:p>
    <w:p w14:paraId="0FFED12C" w14:textId="77777777" w:rsidR="00A11EC1" w:rsidRDefault="00A11EC1" w:rsidP="00F33CE3">
      <w:pPr>
        <w:pStyle w:val="BodyText"/>
        <w:numPr>
          <w:ilvl w:val="0"/>
          <w:numId w:val="17"/>
        </w:numPr>
        <w:rPr>
          <w:szCs w:val="10"/>
          <w:lang w:val="en-US"/>
        </w:rPr>
      </w:pPr>
      <w:r w:rsidRPr="005B1133">
        <w:rPr>
          <w:szCs w:val="10"/>
          <w:lang w:val="en-US"/>
        </w:rPr>
        <w:t>What data tracking systems are used for tracking program outreach? Participation? Savings? Project status? How are those integrated, if at all? </w:t>
      </w:r>
    </w:p>
    <w:p w14:paraId="3DAB4D24" w14:textId="77777777" w:rsidR="00A11EC1" w:rsidRPr="00FA4A6E" w:rsidRDefault="00A11EC1" w:rsidP="00F33CE3">
      <w:pPr>
        <w:pStyle w:val="BodyText"/>
        <w:numPr>
          <w:ilvl w:val="0"/>
          <w:numId w:val="17"/>
        </w:numPr>
        <w:rPr>
          <w:szCs w:val="10"/>
          <w:lang w:val="en-US"/>
        </w:rPr>
      </w:pPr>
      <w:r w:rsidRPr="00091ADD">
        <w:rPr>
          <w:szCs w:val="10"/>
          <w:lang w:val="en-US"/>
        </w:rPr>
        <w:t>How</w:t>
      </w:r>
      <w:r>
        <w:rPr>
          <w:szCs w:val="10"/>
          <w:lang w:val="en-US"/>
        </w:rPr>
        <w:t>, if at all,</w:t>
      </w:r>
      <w:r w:rsidRPr="00091ADD">
        <w:rPr>
          <w:szCs w:val="10"/>
          <w:lang w:val="en-US"/>
        </w:rPr>
        <w:t xml:space="preserve"> has the COVID-19 pandemic affected participation in the program? (PROBE: Effects on participation, </w:t>
      </w:r>
      <w:r>
        <w:rPr>
          <w:szCs w:val="10"/>
          <w:lang w:val="en-US"/>
        </w:rPr>
        <w:t>marketing, deployment of program specifics, events/engagement</w:t>
      </w:r>
      <w:r w:rsidRPr="00091ADD">
        <w:rPr>
          <w:szCs w:val="10"/>
          <w:lang w:val="en-US"/>
        </w:rPr>
        <w:t xml:space="preserve">)  </w:t>
      </w:r>
    </w:p>
    <w:p w14:paraId="6FBB34D8" w14:textId="77777777" w:rsidR="00A11EC1" w:rsidRDefault="00A11EC1" w:rsidP="00A11EC1">
      <w:pPr>
        <w:pStyle w:val="Heading8"/>
        <w:rPr>
          <w:lang w:val="en-US"/>
        </w:rPr>
      </w:pPr>
      <w:r>
        <w:rPr>
          <w:lang w:val="en-US"/>
        </w:rPr>
        <w:t xml:space="preserve">Program process </w:t>
      </w:r>
    </w:p>
    <w:p w14:paraId="7BE72958" w14:textId="77777777" w:rsidR="00A11EC1" w:rsidRDefault="00A11EC1" w:rsidP="00F33CE3">
      <w:pPr>
        <w:pStyle w:val="BodyText"/>
        <w:numPr>
          <w:ilvl w:val="0"/>
          <w:numId w:val="17"/>
        </w:numPr>
        <w:rPr>
          <w:szCs w:val="10"/>
          <w:lang w:val="en-US"/>
        </w:rPr>
      </w:pPr>
      <w:r>
        <w:rPr>
          <w:szCs w:val="10"/>
          <w:lang w:val="en-US"/>
        </w:rPr>
        <w:t>[FOR REBATES] C</w:t>
      </w:r>
      <w:r w:rsidRPr="00F502E8">
        <w:rPr>
          <w:szCs w:val="10"/>
          <w:lang w:val="en-US"/>
        </w:rPr>
        <w:t>an you describe the participation process for the program from the customer’s perspective, from first contact through rebate payment</w:t>
      </w:r>
      <w:r>
        <w:rPr>
          <w:szCs w:val="10"/>
          <w:lang w:val="en-US"/>
        </w:rPr>
        <w:t xml:space="preserve"> (or program completion)</w:t>
      </w:r>
      <w:r w:rsidRPr="00F502E8">
        <w:rPr>
          <w:szCs w:val="10"/>
          <w:lang w:val="en-US"/>
        </w:rPr>
        <w:t>? At what stage of participation/customer decision</w:t>
      </w:r>
      <w:r>
        <w:rPr>
          <w:szCs w:val="10"/>
          <w:lang w:val="en-US"/>
        </w:rPr>
        <w:t>-</w:t>
      </w:r>
      <w:r w:rsidRPr="00F502E8">
        <w:rPr>
          <w:szCs w:val="10"/>
          <w:lang w:val="en-US"/>
        </w:rPr>
        <w:t xml:space="preserve">making </w:t>
      </w:r>
      <w:r>
        <w:rPr>
          <w:szCs w:val="10"/>
          <w:lang w:val="en-US"/>
        </w:rPr>
        <w:t>do you</w:t>
      </w:r>
      <w:r w:rsidRPr="00F502E8">
        <w:rPr>
          <w:szCs w:val="10"/>
          <w:lang w:val="en-US"/>
        </w:rPr>
        <w:t xml:space="preserve"> typically get involved? </w:t>
      </w:r>
    </w:p>
    <w:p w14:paraId="6E29FDF1" w14:textId="77777777" w:rsidR="00A11EC1" w:rsidRPr="009C4295" w:rsidRDefault="00A11EC1" w:rsidP="00F33CE3">
      <w:pPr>
        <w:pStyle w:val="BodyText"/>
        <w:numPr>
          <w:ilvl w:val="0"/>
          <w:numId w:val="17"/>
        </w:numPr>
        <w:rPr>
          <w:lang w:val="en-US"/>
        </w:rPr>
      </w:pPr>
      <w:r w:rsidRPr="009C4295">
        <w:rPr>
          <w:lang w:val="en-US"/>
        </w:rPr>
        <w:t>Have you received any feedback on the participation process from customers?</w:t>
      </w:r>
    </w:p>
    <w:p w14:paraId="5BFFF2D2" w14:textId="77777777" w:rsidR="00A11EC1" w:rsidRPr="009C4295" w:rsidRDefault="00A11EC1" w:rsidP="00F33CE3">
      <w:pPr>
        <w:pStyle w:val="BodyText"/>
        <w:numPr>
          <w:ilvl w:val="0"/>
          <w:numId w:val="17"/>
        </w:numPr>
      </w:pPr>
      <w:r w:rsidRPr="009C4295">
        <w:t xml:space="preserve">How do you decide what energy savings measures are included in the program? </w:t>
      </w:r>
    </w:p>
    <w:p w14:paraId="657A24A7" w14:textId="77777777" w:rsidR="00AA57E1" w:rsidRPr="009C4295" w:rsidRDefault="00AA57E1" w:rsidP="00AA57E1">
      <w:pPr>
        <w:pStyle w:val="BodyText"/>
        <w:numPr>
          <w:ilvl w:val="0"/>
          <w:numId w:val="17"/>
        </w:numPr>
      </w:pPr>
      <w:r w:rsidRPr="001B289B">
        <w:t>Does NJNG coordinate with electric utilities on claiming savings on electric measures (or coordinate in broader ways)?</w:t>
      </w:r>
    </w:p>
    <w:p w14:paraId="05134E44" w14:textId="77777777" w:rsidR="00A11EC1" w:rsidRPr="00FD456D" w:rsidRDefault="00A11EC1" w:rsidP="00F33CE3">
      <w:pPr>
        <w:pStyle w:val="BodyText"/>
        <w:numPr>
          <w:ilvl w:val="0"/>
          <w:numId w:val="17"/>
        </w:numPr>
      </w:pPr>
      <w:r w:rsidRPr="009C4295">
        <w:t>What other measures</w:t>
      </w:r>
      <w:r>
        <w:t>, if any,</w:t>
      </w:r>
      <w:r w:rsidRPr="009C4295">
        <w:t xml:space="preserve"> have you thought about including in the program? </w:t>
      </w:r>
    </w:p>
    <w:p w14:paraId="50AE305D" w14:textId="77777777" w:rsidR="00A11EC1" w:rsidRDefault="00A11EC1" w:rsidP="00A11EC1">
      <w:pPr>
        <w:pStyle w:val="Heading8"/>
        <w:rPr>
          <w:lang w:val="en-US"/>
        </w:rPr>
      </w:pPr>
      <w:r>
        <w:rPr>
          <w:lang w:val="en-US"/>
        </w:rPr>
        <w:t>Marketing and outreach</w:t>
      </w:r>
    </w:p>
    <w:p w14:paraId="45823953" w14:textId="77777777" w:rsidR="00A11EC1" w:rsidRDefault="00A11EC1" w:rsidP="00F33CE3">
      <w:pPr>
        <w:pStyle w:val="BodyText"/>
        <w:numPr>
          <w:ilvl w:val="0"/>
          <w:numId w:val="17"/>
        </w:numPr>
        <w:rPr>
          <w:szCs w:val="10"/>
          <w:lang w:val="en-US"/>
        </w:rPr>
      </w:pPr>
      <w:r w:rsidRPr="00091ADD">
        <w:rPr>
          <w:szCs w:val="10"/>
          <w:lang w:val="en-US"/>
        </w:rPr>
        <w:t>How is the program</w:t>
      </w:r>
      <w:r>
        <w:rPr>
          <w:szCs w:val="10"/>
          <w:lang w:val="en-US"/>
        </w:rPr>
        <w:t xml:space="preserve"> currently</w:t>
      </w:r>
      <w:r w:rsidRPr="00091ADD">
        <w:rPr>
          <w:szCs w:val="10"/>
          <w:lang w:val="en-US"/>
        </w:rPr>
        <w:t xml:space="preserve"> marketed? What types of outreach activities does your team do?</w:t>
      </w:r>
    </w:p>
    <w:p w14:paraId="7277570F" w14:textId="77777777" w:rsidR="00AA57E1" w:rsidRDefault="00AA57E1" w:rsidP="00AA57E1">
      <w:pPr>
        <w:pStyle w:val="BodyText"/>
        <w:numPr>
          <w:ilvl w:val="0"/>
          <w:numId w:val="17"/>
        </w:numPr>
        <w:rPr>
          <w:szCs w:val="10"/>
          <w:lang w:val="en-US"/>
        </w:rPr>
      </w:pPr>
      <w:r>
        <w:rPr>
          <w:szCs w:val="10"/>
          <w:lang w:val="en-US"/>
        </w:rPr>
        <w:t>Does the program target particular customer types or market segments with its outreach?</w:t>
      </w:r>
    </w:p>
    <w:p w14:paraId="2FDE0151" w14:textId="77777777" w:rsidR="00A11EC1" w:rsidRPr="003809C9" w:rsidRDefault="00A11EC1" w:rsidP="00F33CE3">
      <w:pPr>
        <w:pStyle w:val="BodyText"/>
        <w:numPr>
          <w:ilvl w:val="0"/>
          <w:numId w:val="17"/>
        </w:numPr>
        <w:rPr>
          <w:szCs w:val="10"/>
          <w:lang w:val="en-US"/>
        </w:rPr>
      </w:pPr>
      <w:r>
        <w:rPr>
          <w:szCs w:val="10"/>
          <w:lang w:val="en-US"/>
        </w:rPr>
        <w:t>Do you conduct any community outreach or engagement? What do you do? [PROBES: how do they elicit input, WHO do they elicit it from, and do they make any special efforts to engage LI or minorities (certain programs target LI customers)?]</w:t>
      </w:r>
      <w:r w:rsidRPr="00091ADD">
        <w:rPr>
          <w:szCs w:val="10"/>
          <w:lang w:val="en-US"/>
        </w:rPr>
        <w:t xml:space="preserve">  </w:t>
      </w:r>
    </w:p>
    <w:p w14:paraId="72E543EF" w14:textId="77777777" w:rsidR="00A11EC1" w:rsidRPr="003809C9" w:rsidRDefault="00A11EC1" w:rsidP="00F33CE3">
      <w:pPr>
        <w:pStyle w:val="BodyText"/>
        <w:numPr>
          <w:ilvl w:val="0"/>
          <w:numId w:val="17"/>
        </w:numPr>
        <w:rPr>
          <w:szCs w:val="10"/>
          <w:lang w:val="en-US"/>
        </w:rPr>
      </w:pPr>
      <w:r w:rsidRPr="00091ADD">
        <w:rPr>
          <w:szCs w:val="10"/>
          <w:lang w:val="en-US"/>
        </w:rPr>
        <w:lastRenderedPageBreak/>
        <w:t>How do you measure/judge the effectiveness of program marketing? What metrics does the team capture</w:t>
      </w:r>
      <w:r>
        <w:rPr>
          <w:szCs w:val="10"/>
          <w:lang w:val="en-US"/>
        </w:rPr>
        <w:t>,</w:t>
      </w:r>
      <w:r w:rsidRPr="00091ADD">
        <w:rPr>
          <w:szCs w:val="10"/>
          <w:lang w:val="en-US"/>
        </w:rPr>
        <w:t xml:space="preserve"> and how are they used? Do you have specific goals? </w:t>
      </w:r>
    </w:p>
    <w:p w14:paraId="606C1AEA" w14:textId="77777777" w:rsidR="00A11EC1" w:rsidRPr="003F235C" w:rsidRDefault="00A11EC1" w:rsidP="00F33CE3">
      <w:pPr>
        <w:pStyle w:val="BodyText"/>
        <w:numPr>
          <w:ilvl w:val="0"/>
          <w:numId w:val="17"/>
        </w:numPr>
        <w:rPr>
          <w:szCs w:val="10"/>
          <w:lang w:val="en-US"/>
        </w:rPr>
      </w:pPr>
      <w:r w:rsidRPr="00091ADD">
        <w:rPr>
          <w:szCs w:val="10"/>
          <w:lang w:val="en-US"/>
        </w:rPr>
        <w:t>Is there any cross</w:t>
      </w:r>
      <w:r>
        <w:rPr>
          <w:szCs w:val="10"/>
          <w:lang w:val="en-US"/>
        </w:rPr>
        <w:t>-</w:t>
      </w:r>
      <w:r w:rsidRPr="00091ADD">
        <w:rPr>
          <w:szCs w:val="10"/>
          <w:lang w:val="en-US"/>
        </w:rPr>
        <w:t xml:space="preserve">marketing between other programs? </w:t>
      </w:r>
    </w:p>
    <w:p w14:paraId="2E515CD9" w14:textId="77777777" w:rsidR="00A11EC1" w:rsidRPr="003F235C" w:rsidRDefault="00A11EC1" w:rsidP="00F33CE3">
      <w:pPr>
        <w:pStyle w:val="BodyText"/>
        <w:numPr>
          <w:ilvl w:val="0"/>
          <w:numId w:val="17"/>
        </w:numPr>
        <w:rPr>
          <w:szCs w:val="10"/>
          <w:lang w:val="en-US"/>
        </w:rPr>
      </w:pPr>
      <w:r>
        <w:t>What do you believe are the most persuasive marketing messages/themes for your program? How is this different for different customers and measures?</w:t>
      </w:r>
    </w:p>
    <w:p w14:paraId="0263C282" w14:textId="77777777" w:rsidR="00A11EC1" w:rsidRPr="003809C9" w:rsidRDefault="00A11EC1" w:rsidP="00F33CE3">
      <w:pPr>
        <w:pStyle w:val="BodyText"/>
        <w:numPr>
          <w:ilvl w:val="0"/>
          <w:numId w:val="17"/>
        </w:numPr>
        <w:rPr>
          <w:szCs w:val="10"/>
          <w:lang w:val="en-US"/>
        </w:rPr>
      </w:pPr>
      <w:r>
        <w:t xml:space="preserve">Is there a particular time/event that is the most effective moment to market your program? How is this different for different customers and measures? </w:t>
      </w:r>
    </w:p>
    <w:p w14:paraId="4829A841" w14:textId="77777777" w:rsidR="00A11EC1" w:rsidRDefault="00A11EC1" w:rsidP="00A11EC1">
      <w:pPr>
        <w:pStyle w:val="Heading8"/>
        <w:rPr>
          <w:lang w:val="en-US"/>
        </w:rPr>
      </w:pPr>
      <w:r>
        <w:rPr>
          <w:lang w:val="en-US"/>
        </w:rPr>
        <w:t xml:space="preserve">Barriers to participation </w:t>
      </w:r>
    </w:p>
    <w:p w14:paraId="012893D8" w14:textId="77777777" w:rsidR="00A11EC1" w:rsidRDefault="00A11EC1" w:rsidP="00F33CE3">
      <w:pPr>
        <w:pStyle w:val="BodyText"/>
        <w:numPr>
          <w:ilvl w:val="0"/>
          <w:numId w:val="17"/>
        </w:numPr>
        <w:rPr>
          <w:szCs w:val="10"/>
          <w:lang w:val="en-US"/>
        </w:rPr>
      </w:pPr>
      <w:r w:rsidRPr="00091ADD">
        <w:rPr>
          <w:szCs w:val="10"/>
          <w:lang w:val="en-US"/>
        </w:rPr>
        <w:t>What do you see as some of the main barriers to getting a customer to participate in the program</w:t>
      </w:r>
      <w:r>
        <w:rPr>
          <w:szCs w:val="10"/>
          <w:lang w:val="en-US"/>
        </w:rPr>
        <w:t>?</w:t>
      </w:r>
    </w:p>
    <w:p w14:paraId="0CBC81DD" w14:textId="77777777" w:rsidR="00A11EC1" w:rsidRPr="00F029B5" w:rsidRDefault="00A11EC1" w:rsidP="00F33CE3">
      <w:pPr>
        <w:pStyle w:val="BodyText"/>
        <w:numPr>
          <w:ilvl w:val="1"/>
          <w:numId w:val="17"/>
        </w:numPr>
        <w:rPr>
          <w:szCs w:val="10"/>
          <w:lang w:val="en-US"/>
        </w:rPr>
      </w:pPr>
      <w:r>
        <w:rPr>
          <w:szCs w:val="10"/>
          <w:lang w:val="en-US"/>
        </w:rPr>
        <w:t>Do you have any plans on how to address these barriers?</w:t>
      </w:r>
    </w:p>
    <w:p w14:paraId="36CEBE33" w14:textId="77777777" w:rsidR="00A11EC1" w:rsidRPr="00291F1F" w:rsidRDefault="00A11EC1" w:rsidP="00A11EC1">
      <w:pPr>
        <w:pStyle w:val="Heading8"/>
        <w:rPr>
          <w:lang w:val="en-US"/>
        </w:rPr>
      </w:pPr>
      <w:r w:rsidRPr="00291F1F">
        <w:rPr>
          <w:lang w:val="en-US"/>
        </w:rPr>
        <w:t>Opportunities</w:t>
      </w:r>
    </w:p>
    <w:p w14:paraId="014993E4" w14:textId="77777777" w:rsidR="00D43C74" w:rsidRDefault="00A11EC1" w:rsidP="00F33CE3">
      <w:pPr>
        <w:pStyle w:val="BodyText"/>
        <w:numPr>
          <w:ilvl w:val="0"/>
          <w:numId w:val="17"/>
        </w:numPr>
        <w:rPr>
          <w:szCs w:val="10"/>
          <w:lang w:val="en-US"/>
        </w:rPr>
      </w:pPr>
      <w:r w:rsidRPr="00291F1F">
        <w:rPr>
          <w:szCs w:val="10"/>
          <w:lang w:val="en-US"/>
        </w:rPr>
        <w:t xml:space="preserve">Are there any interesting trends you’ve encountered in </w:t>
      </w:r>
      <w:r>
        <w:rPr>
          <w:szCs w:val="10"/>
          <w:lang w:val="en-US"/>
        </w:rPr>
        <w:t>implementing</w:t>
      </w:r>
      <w:r w:rsidRPr="00291F1F">
        <w:rPr>
          <w:szCs w:val="10"/>
          <w:lang w:val="en-US"/>
        </w:rPr>
        <w:t xml:space="preserve"> the program, or what kinds of feedback </w:t>
      </w:r>
      <w:r>
        <w:rPr>
          <w:szCs w:val="10"/>
          <w:lang w:val="en-US"/>
        </w:rPr>
        <w:t xml:space="preserve">do </w:t>
      </w:r>
      <w:r w:rsidRPr="00291F1F">
        <w:rPr>
          <w:szCs w:val="10"/>
          <w:lang w:val="en-US"/>
        </w:rPr>
        <w:t>customers provide about their</w:t>
      </w:r>
      <w:r>
        <w:rPr>
          <w:szCs w:val="10"/>
          <w:lang w:val="en-US"/>
        </w:rPr>
        <w:t xml:space="preserve"> experience</w:t>
      </w:r>
      <w:r w:rsidRPr="00291F1F">
        <w:rPr>
          <w:szCs w:val="10"/>
          <w:lang w:val="en-US"/>
        </w:rPr>
        <w:t xml:space="preserve">? </w:t>
      </w:r>
    </w:p>
    <w:p w14:paraId="24B3437A" w14:textId="408C4DD7" w:rsidR="00AA6B0A" w:rsidRPr="005C5EC9" w:rsidRDefault="00A11EC1" w:rsidP="00F33CE3">
      <w:pPr>
        <w:pStyle w:val="BodyText"/>
        <w:numPr>
          <w:ilvl w:val="0"/>
          <w:numId w:val="17"/>
        </w:numPr>
      </w:pPr>
      <w:r w:rsidRPr="00D43C74">
        <w:rPr>
          <w:szCs w:val="10"/>
          <w:lang w:val="en-US"/>
        </w:rPr>
        <w:t>Do you see other opportunities for program growth? If there were one thing you would add or change about the program, what would it be?</w:t>
      </w:r>
    </w:p>
    <w:p w14:paraId="3078C297" w14:textId="77777777" w:rsidR="00732182" w:rsidRDefault="00732182" w:rsidP="00732182">
      <w:pPr>
        <w:pStyle w:val="BodyText"/>
      </w:pPr>
    </w:p>
    <w:p w14:paraId="6CA6CB30" w14:textId="77777777" w:rsidR="00732182" w:rsidRPr="005C5EC9" w:rsidRDefault="00732182" w:rsidP="00732182">
      <w:pPr>
        <w:pStyle w:val="BodyText"/>
      </w:pPr>
    </w:p>
    <w:p w14:paraId="6F47681D" w14:textId="77777777" w:rsidR="006B49B8" w:rsidRDefault="006B49B8">
      <w:pPr>
        <w:rPr>
          <w:b/>
          <w:noProof/>
          <w:color w:val="0F204B"/>
          <w:sz w:val="26"/>
          <w:lang w:val="en-US"/>
        </w:rPr>
        <w:sectPr w:rsidR="006B49B8" w:rsidSect="00FA2766">
          <w:headerReference w:type="even" r:id="rId13"/>
          <w:headerReference w:type="default" r:id="rId14"/>
          <w:footerReference w:type="even" r:id="rId15"/>
          <w:footerReference w:type="default" r:id="rId16"/>
          <w:headerReference w:type="first" r:id="rId17"/>
          <w:footerReference w:type="first" r:id="rId18"/>
          <w:pgSz w:w="12240" w:h="15840"/>
          <w:pgMar w:top="1757" w:right="1134" w:bottom="1361" w:left="1191" w:header="774" w:footer="762" w:gutter="0"/>
          <w:cols w:space="708"/>
          <w:titlePg/>
          <w:docGrid w:linePitch="360"/>
        </w:sectPr>
      </w:pPr>
    </w:p>
    <w:p w14:paraId="45A92D7B" w14:textId="0F84E808" w:rsidR="00AA6B0A" w:rsidRDefault="00AA6B0A">
      <w:pPr>
        <w:rPr>
          <w:b/>
          <w:noProof/>
          <w:color w:val="0F204B"/>
          <w:sz w:val="26"/>
          <w:lang w:val="en-US"/>
        </w:rPr>
      </w:pPr>
    </w:p>
    <w:p w14:paraId="596CFBA5" w14:textId="7D4E7346" w:rsidR="007D01C5" w:rsidRPr="00515F25" w:rsidRDefault="007D01C5" w:rsidP="007D01C5">
      <w:pPr>
        <w:pStyle w:val="DNVGL-BackcoverTitle"/>
        <w:spacing w:before="9000"/>
        <w:rPr>
          <w:lang w:val="en-US"/>
        </w:rPr>
      </w:pPr>
      <w:r w:rsidRPr="00515F25">
        <w:rPr>
          <w:lang w:val="en-US"/>
        </w:rPr>
        <w:t>DNV</w:t>
      </w:r>
    </w:p>
    <w:p w14:paraId="48F3065B" w14:textId="09F0E9DC" w:rsidR="00907EBB" w:rsidRDefault="007D01C5" w:rsidP="00732182">
      <w:pPr>
        <w:pStyle w:val="BodyText"/>
      </w:pPr>
      <w:r w:rsidRPr="00515F25">
        <w:rPr>
          <w:lang w:val="en-US"/>
        </w:rPr>
        <w:t xml:space="preserve">DNV is a global quality assurance and risk management company. Driven by our purpose of safeguarding life, </w:t>
      </w:r>
      <w:proofErr w:type="gramStart"/>
      <w:r w:rsidRPr="00515F25">
        <w:rPr>
          <w:lang w:val="en-US"/>
        </w:rPr>
        <w:t>property</w:t>
      </w:r>
      <w:proofErr w:type="gramEnd"/>
      <w:r w:rsidRPr="00515F25">
        <w:rPr>
          <w:lang w:val="en-US"/>
        </w:rPr>
        <w:t xml:space="preserve"> and the environment, we enable our customers to advance the safety and sustainability of their business. We provide classification, technical assurance, </w:t>
      </w:r>
      <w:proofErr w:type="gramStart"/>
      <w:r w:rsidRPr="00515F25">
        <w:rPr>
          <w:lang w:val="en-US"/>
        </w:rPr>
        <w:t>software</w:t>
      </w:r>
      <w:proofErr w:type="gramEnd"/>
      <w:r w:rsidRPr="00515F25">
        <w:rPr>
          <w:lang w:val="en-US"/>
        </w:rPr>
        <w:t xml:space="preserve"> and independent expert advisory services to the maritime, oil &amp; gas, power and renewables industries. We also provide certification, supply chain and data management services to customers across a wide range of industries. Operating in more than 100 countries, our experts are dedicated to helping customers make the world safer, </w:t>
      </w:r>
      <w:proofErr w:type="gramStart"/>
      <w:r w:rsidRPr="00515F25">
        <w:rPr>
          <w:lang w:val="en-US"/>
        </w:rPr>
        <w:t>smarter</w:t>
      </w:r>
      <w:proofErr w:type="gramEnd"/>
      <w:r w:rsidRPr="00515F25">
        <w:rPr>
          <w:lang w:val="en-US"/>
        </w:rPr>
        <w:t xml:space="preserve"> and greener</w:t>
      </w:r>
      <w:r w:rsidR="00732182">
        <w:rPr>
          <w:lang w:val="en-US"/>
        </w:rPr>
        <w:t>.</w:t>
      </w:r>
    </w:p>
    <w:sectPr w:rsidR="00907EBB" w:rsidSect="006B49B8">
      <w:footerReference w:type="default" r:id="rId19"/>
      <w:footerReference w:type="first" r:id="rId20"/>
      <w:pgSz w:w="12240" w:h="15840"/>
      <w:pgMar w:top="1757" w:right="1134" w:bottom="1361" w:left="1191" w:header="774" w:footer="76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11"/>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AQAAAAAA" wne:acdName="acd0" wne:fciIndexBasedOn="0065"/>
    <wne:acd wne:argValue="AQAAAEIA" wne:acdName="acd1" wne:fciIndexBasedOn="0065"/>
    <wne:acd wne:acdName="acd2" wne:fciIndexBasedOn="0065"/>
    <wne:acd wne:argValue="AgBIAGUAYQBkAGkAbgBnACAAMgAsAEgAMgAsADIAbQA=" wne:acdName="acd3" wne:fciIndexBasedOn="0065"/>
    <wne:acd wne:argValue="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 wne:argValue="AQAAAAE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8AFA" w14:textId="77777777" w:rsidR="00F976B3" w:rsidRDefault="00F976B3">
      <w:r>
        <w:separator/>
      </w:r>
    </w:p>
  </w:endnote>
  <w:endnote w:type="continuationSeparator" w:id="0">
    <w:p w14:paraId="3F1D793A" w14:textId="77777777" w:rsidR="00F976B3" w:rsidRDefault="00F976B3">
      <w:r>
        <w:continuationSeparator/>
      </w:r>
    </w:p>
  </w:endnote>
  <w:endnote w:type="continuationNotice" w:id="1">
    <w:p w14:paraId="3C035ECD" w14:textId="77777777" w:rsidR="00F976B3" w:rsidRDefault="00F97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CD13" w14:textId="77777777" w:rsidR="00F77B2D" w:rsidRDefault="00F77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5D5479" w:rsidRPr="0009239B" w14:paraId="347DC16F" w14:textId="77777777" w:rsidTr="00E10B1A">
      <w:trPr>
        <w:trHeight w:val="82"/>
      </w:trPr>
      <w:tc>
        <w:tcPr>
          <w:tcW w:w="1634" w:type="pct"/>
          <w:tcBorders>
            <w:top w:val="single" w:sz="2" w:space="0" w:color="009FDA"/>
          </w:tcBorders>
          <w:shd w:val="clear" w:color="auto" w:fill="auto"/>
        </w:tcPr>
        <w:p w14:paraId="59B6A0EB" w14:textId="585787D1" w:rsidR="005D5479" w:rsidRPr="0009239B" w:rsidRDefault="005D5479"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4E483CC0" w14:textId="77777777" w:rsidR="005D5479" w:rsidRPr="0009239B" w:rsidRDefault="005D5479" w:rsidP="00FA2766">
          <w:pPr>
            <w:pStyle w:val="Footer"/>
            <w:jc w:val="center"/>
          </w:pPr>
        </w:p>
      </w:tc>
      <w:tc>
        <w:tcPr>
          <w:tcW w:w="1588" w:type="pct"/>
          <w:tcBorders>
            <w:top w:val="single" w:sz="2" w:space="0" w:color="009FDA"/>
          </w:tcBorders>
          <w:shd w:val="clear" w:color="auto" w:fill="auto"/>
        </w:tcPr>
        <w:p w14:paraId="444F625F" w14:textId="77777777" w:rsidR="005D5479" w:rsidRPr="0009239B" w:rsidRDefault="005D5479" w:rsidP="00E10B1A">
          <w:pPr>
            <w:pStyle w:val="Footer"/>
            <w:jc w:val="right"/>
          </w:pPr>
          <w:r w:rsidRPr="0009239B">
            <w:t xml:space="preserve">Page | </w:t>
          </w:r>
          <w:r w:rsidRPr="0009239B">
            <w:rPr>
              <w:noProof w:val="0"/>
            </w:rPr>
            <w:fldChar w:fldCharType="begin"/>
          </w:r>
          <w:r w:rsidRPr="0009239B">
            <w:instrText xml:space="preserve"> PAGE   \* MERGEFORMAT </w:instrText>
          </w:r>
          <w:r w:rsidRPr="0009239B">
            <w:rPr>
              <w:noProof w:val="0"/>
            </w:rPr>
            <w:fldChar w:fldCharType="separate"/>
          </w:r>
          <w:r w:rsidR="00393F7C">
            <w:t>20</w:t>
          </w:r>
          <w:r w:rsidRPr="0009239B">
            <w:fldChar w:fldCharType="end"/>
          </w:r>
        </w:p>
      </w:tc>
    </w:tr>
  </w:tbl>
  <w:p w14:paraId="274B0743" w14:textId="77777777" w:rsidR="005D5479" w:rsidRDefault="005D5479">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6D5" w14:textId="27D84095" w:rsidR="005D5479" w:rsidRDefault="005D5479" w:rsidP="00FA2766">
    <w:pPr>
      <w:pStyle w:val="DNVGL-HQDetails"/>
      <w:tabs>
        <w:tab w:val="left" w:pos="1380"/>
      </w:tabs>
    </w:pPr>
    <w:r>
      <mc:AlternateContent>
        <mc:Choice Requires="wps">
          <w:drawing>
            <wp:anchor distT="0" distB="0" distL="114300" distR="114300" simplePos="0" relativeHeight="251658241" behindDoc="0" locked="0" layoutInCell="1" allowOverlap="1" wp14:anchorId="010CBE6A" wp14:editId="53DB8709">
              <wp:simplePos x="0" y="0"/>
              <wp:positionH relativeFrom="column">
                <wp:posOffset>4063365</wp:posOffset>
              </wp:positionH>
              <wp:positionV relativeFrom="paragraph">
                <wp:posOffset>3684270</wp:posOffset>
              </wp:positionV>
              <wp:extent cx="2200275" cy="2571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4AE17005" w14:textId="77777777" w:rsidR="005D5479" w:rsidRPr="0009239B" w:rsidRDefault="005D5479"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BE6A" id="Rectangle 4" o:spid="_x0000_s1026" style="position:absolute;margin-left:319.95pt;margin-top:290.1pt;width:173.2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" filled="f" stroked="f" strokeweight="2pt">
              <v:textbox>
                <w:txbxContent>
                  <w:p w14:paraId="4AE17005" w14:textId="77777777" w:rsidR="005D5479" w:rsidRPr="0009239B" w:rsidRDefault="005D5479" w:rsidP="00FA2766">
                    <w:pPr>
                      <w:jc w:val="right"/>
                      <w:rPr>
                        <w:i/>
                        <w:iCs/>
                        <w:color w:val="D9D9D9"/>
                      </w:rPr>
                    </w:pPr>
                    <w:r w:rsidRPr="0009239B">
                      <w:rPr>
                        <w:i/>
                        <w:iCs/>
                        <w:color w:val="D9D9D9"/>
                      </w:rPr>
                      <w:t>Asbury Park, NJ</w:t>
                    </w:r>
                  </w:p>
                </w:txbxContent>
              </v:textbox>
            </v:rect>
          </w:pict>
        </mc:Fallback>
      </mc:AlternateContent>
    </w:r>
    <w:r>
      <w:tab/>
    </w:r>
    <w:r>
      <w:drawing>
        <wp:inline distT="0" distB="0" distL="0" distR="0" wp14:anchorId="5652978B" wp14:editId="6F4589E2">
          <wp:extent cx="6267450" cy="3810000"/>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7BBE88B5" w14:textId="0ED61E25" w:rsidR="005D5479" w:rsidRDefault="005D5479">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A61B" w14:textId="77777777" w:rsidR="006B49B8" w:rsidRDefault="006B49B8">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864B" w14:textId="77777777" w:rsidR="006B49B8" w:rsidRDefault="006B49B8" w:rsidP="00FA2766">
    <w:pPr>
      <w:pStyle w:val="DNVGL-HQDetails"/>
      <w:tabs>
        <w:tab w:val="left" w:pos="1380"/>
      </w:tabs>
    </w:pPr>
    <w:r>
      <mc:AlternateContent>
        <mc:Choice Requires="wps">
          <w:drawing>
            <wp:anchor distT="0" distB="0" distL="114300" distR="114300" simplePos="0" relativeHeight="251658242" behindDoc="0" locked="0" layoutInCell="1" allowOverlap="1" wp14:anchorId="7FED3CAF" wp14:editId="4B3E0806">
              <wp:simplePos x="0" y="0"/>
              <wp:positionH relativeFrom="column">
                <wp:posOffset>4063365</wp:posOffset>
              </wp:positionH>
              <wp:positionV relativeFrom="paragraph">
                <wp:posOffset>3684270</wp:posOffset>
              </wp:positionV>
              <wp:extent cx="220027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29F5FD5D" w14:textId="77777777" w:rsidR="006B49B8" w:rsidRPr="0009239B" w:rsidRDefault="006B49B8"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3CAF" id="Rectangle 2" o:spid="_x0000_s1027" style="position:absolute;margin-left:319.95pt;margin-top:290.1pt;width:173.2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" filled="f" stroked="f" strokeweight="2pt">
              <v:textbox>
                <w:txbxContent>
                  <w:p w14:paraId="29F5FD5D" w14:textId="77777777" w:rsidR="006B49B8" w:rsidRPr="0009239B" w:rsidRDefault="006B49B8" w:rsidP="00FA2766">
                    <w:pPr>
                      <w:jc w:val="right"/>
                      <w:rPr>
                        <w:i/>
                        <w:iCs/>
                        <w:color w:val="D9D9D9"/>
                      </w:rPr>
                    </w:pPr>
                    <w:r w:rsidRPr="0009239B">
                      <w:rPr>
                        <w:i/>
                        <w:iCs/>
                        <w:color w:val="D9D9D9"/>
                      </w:rPr>
                      <w:t>Asbury Park, NJ</w:t>
                    </w:r>
                  </w:p>
                </w:txbxContent>
              </v:textbox>
            </v:rect>
          </w:pict>
        </mc:Fallback>
      </mc:AlternateContent>
    </w:r>
    <w:r>
      <w:tab/>
    </w:r>
    <w:r>
      <w:drawing>
        <wp:inline distT="0" distB="0" distL="0" distR="0" wp14:anchorId="25C6B129" wp14:editId="528749B6">
          <wp:extent cx="6267450" cy="381000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7068CF7F" w14:textId="77777777" w:rsidR="006B49B8" w:rsidRDefault="006B49B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A025" w14:textId="77777777" w:rsidR="00F976B3" w:rsidRDefault="00F976B3">
      <w:r>
        <w:separator/>
      </w:r>
    </w:p>
  </w:footnote>
  <w:footnote w:type="continuationSeparator" w:id="0">
    <w:p w14:paraId="54FA96BB" w14:textId="77777777" w:rsidR="00F976B3" w:rsidRDefault="00F976B3">
      <w:r>
        <w:continuationSeparator/>
      </w:r>
    </w:p>
  </w:footnote>
  <w:footnote w:type="continuationNotice" w:id="1">
    <w:p w14:paraId="2C6A9450" w14:textId="77777777" w:rsidR="00F976B3" w:rsidRDefault="00F976B3"/>
  </w:footnote>
  <w:footnote w:id="2">
    <w:p w14:paraId="5559E63B" w14:textId="44B9256F" w:rsidR="00381463" w:rsidRPr="00756676" w:rsidRDefault="00381463">
      <w:pPr>
        <w:pStyle w:val="FootnoteText"/>
        <w:rPr>
          <w:lang w:val="en-US"/>
        </w:rPr>
      </w:pPr>
      <w:r>
        <w:rPr>
          <w:rStyle w:val="FootnoteReference"/>
        </w:rPr>
        <w:footnoteRef/>
      </w:r>
      <w:r>
        <w:t xml:space="preserve"> </w:t>
      </w:r>
      <w:r>
        <w:rPr>
          <w:lang w:val="en-US"/>
        </w:rPr>
        <w:t>The SAVEGREEN Project Program Plan (NJNG) -12/21/2020 (approved in 3/22).</w:t>
      </w:r>
    </w:p>
  </w:footnote>
  <w:footnote w:id="3">
    <w:p w14:paraId="41F0645C" w14:textId="75885CBB" w:rsidR="00173BA6" w:rsidRPr="00580ED2" w:rsidRDefault="00173BA6" w:rsidP="00756676">
      <w:pPr>
        <w:pStyle w:val="Default"/>
      </w:pPr>
      <w:r>
        <w:rPr>
          <w:rStyle w:val="FootnoteReference"/>
        </w:rPr>
        <w:footnoteRef/>
      </w:r>
      <w:r>
        <w:t xml:space="preserve"> </w:t>
      </w:r>
      <w:r w:rsidRPr="00756676">
        <w:rPr>
          <w:rFonts w:eastAsiaTheme="minorEastAsia"/>
          <w:color w:val="auto"/>
          <w:sz w:val="13"/>
          <w:szCs w:val="18"/>
          <w:lang w:val="en-GB" w:eastAsia="zh-CN"/>
        </w:rPr>
        <w:t xml:space="preserve">Count based on number of applications/projects completed, not account number </w:t>
      </w:r>
    </w:p>
  </w:footnote>
  <w:footnote w:id="4">
    <w:p w14:paraId="5F9558ED" w14:textId="77777777" w:rsidR="004B2D38" w:rsidRPr="00BF6E5B" w:rsidRDefault="004B2D38" w:rsidP="004B2D38">
      <w:pPr>
        <w:pStyle w:val="FootnoteText"/>
        <w:rPr>
          <w:lang w:val="en-US"/>
        </w:rPr>
      </w:pPr>
      <w:r>
        <w:rPr>
          <w:rStyle w:val="FootnoteReference"/>
        </w:rPr>
        <w:footnoteRef/>
      </w:r>
      <w:r>
        <w:t xml:space="preserve"> </w:t>
      </w:r>
      <w:hyperlink r:id="rId1" w:history="1">
        <w:r w:rsidRPr="0082741B">
          <w:rPr>
            <w:rStyle w:val="Hyperlink"/>
          </w:rPr>
          <w:t>https://www.njcleanenergy.com/files/file/UTILITY%20REPORTING/4Q%20FY22/NJNG%20-%20NJ%20Annual%20Report-Executive%20Summary%20-%2010_17_22.pdf</w:t>
        </w:r>
      </w:hyperlink>
    </w:p>
  </w:footnote>
  <w:footnote w:id="5">
    <w:p w14:paraId="35F87463" w14:textId="77777777" w:rsidR="008150FA" w:rsidRPr="00B8561D" w:rsidRDefault="008150FA" w:rsidP="008150FA">
      <w:pPr>
        <w:pStyle w:val="FootnoteText"/>
        <w:rPr>
          <w:lang w:val="en-US"/>
        </w:rPr>
      </w:pPr>
      <w:r>
        <w:rPr>
          <w:rStyle w:val="FootnoteReference"/>
        </w:rPr>
        <w:footnoteRef/>
      </w:r>
      <w:r>
        <w:t xml:space="preserve"> </w:t>
      </w:r>
      <w:r w:rsidRPr="00AD0A7B">
        <w:t>https://savegreenproject.com/businesses</w:t>
      </w:r>
    </w:p>
  </w:footnote>
  <w:footnote w:id="6">
    <w:p w14:paraId="1795DBAD" w14:textId="77777777" w:rsidR="008150FA" w:rsidRPr="007D02E3" w:rsidRDefault="008150FA" w:rsidP="008150FA">
      <w:pPr>
        <w:pStyle w:val="FootnoteText"/>
        <w:rPr>
          <w:lang w:val="en-US"/>
        </w:rPr>
      </w:pPr>
      <w:r>
        <w:rPr>
          <w:rStyle w:val="FootnoteReference"/>
        </w:rPr>
        <w:footnoteRef/>
      </w:r>
      <w:r>
        <w:t xml:space="preserve"> </w:t>
      </w:r>
      <w:r w:rsidRPr="007D02E3">
        <w:t>https://www.njcleanenergy.com/files/file/UTILITY%20REPORTING/4Q%20FY22/NJNG%20-%20NJ%20Annual%20Report-Executive%20Summary%20-%2010_17_22.pdf</w:t>
      </w:r>
    </w:p>
  </w:footnote>
  <w:footnote w:id="7">
    <w:p w14:paraId="29B67BC0" w14:textId="77777777" w:rsidR="00D45095" w:rsidRPr="00BF6E5B" w:rsidRDefault="00D45095" w:rsidP="00D45095">
      <w:pPr>
        <w:pStyle w:val="FootnoteText"/>
        <w:rPr>
          <w:lang w:val="en-US"/>
        </w:rPr>
      </w:pPr>
      <w:r>
        <w:rPr>
          <w:rStyle w:val="FootnoteReference"/>
        </w:rPr>
        <w:footnoteRef/>
      </w:r>
      <w:r>
        <w:t xml:space="preserve"> For PY1 filing, the utilities have been given an </w:t>
      </w:r>
      <w:r>
        <w:rPr>
          <w:lang w:val="en-US"/>
        </w:rPr>
        <w:t>extension of 30 days and the annual progress report was filed on October 17, 2022.</w:t>
      </w:r>
    </w:p>
  </w:footnote>
  <w:footnote w:id="8">
    <w:p w14:paraId="3BDFE76A" w14:textId="0403E1BB" w:rsidR="000F2BC5" w:rsidRPr="000F2BC5" w:rsidRDefault="000F2BC5">
      <w:pPr>
        <w:pStyle w:val="FootnoteText"/>
        <w:rPr>
          <w:lang w:val="en-US"/>
        </w:rPr>
      </w:pPr>
      <w:r>
        <w:rPr>
          <w:rStyle w:val="FootnoteReference"/>
        </w:rPr>
        <w:footnoteRef/>
      </w:r>
      <w:r>
        <w:t xml:space="preserve"> </w:t>
      </w:r>
      <w:hyperlink r:id="rId2" w:history="1">
        <w:r w:rsidRPr="000F2BC5">
          <w:rPr>
            <w:rStyle w:val="Hyperlink"/>
          </w:rPr>
          <w:t>https://www.savegreenproject.com/static/uploads/files/MFPrescriptiveandCustom_Application_FORM_2.2022.pdf</w:t>
        </w:r>
      </w:hyperlink>
    </w:p>
  </w:footnote>
  <w:footnote w:id="9">
    <w:p w14:paraId="1FD0BD31" w14:textId="37B19FE4" w:rsidR="00BD4177" w:rsidRPr="00BD4177" w:rsidRDefault="00BD4177">
      <w:pPr>
        <w:pStyle w:val="FootnoteText"/>
        <w:rPr>
          <w:lang w:val="en-US"/>
        </w:rPr>
      </w:pPr>
      <w:r>
        <w:rPr>
          <w:rStyle w:val="FootnoteReference"/>
        </w:rPr>
        <w:footnoteRef/>
      </w:r>
      <w:r>
        <w:t xml:space="preserve"> </w:t>
      </w:r>
      <w:hyperlink r:id="rId3" w:history="1">
        <w:r w:rsidRPr="00BD4177">
          <w:rPr>
            <w:rStyle w:val="Hyperlink"/>
          </w:rPr>
          <w:t>https://www.njcleanenergy.com/files/file/BPU/2022/10.14/NJ%20Coordinated%20Measures%20List%20-%20EMV%207_22_22.xlsx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EF10" w14:textId="77777777" w:rsidR="00F77B2D" w:rsidRDefault="00F77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9284" w14:textId="43D9808D" w:rsidR="005D5479" w:rsidRDefault="005D5479" w:rsidP="00C91DAC">
    <w:r>
      <w:rPr>
        <w:noProof/>
      </w:rPr>
      <w:drawing>
        <wp:inline distT="0" distB="0" distL="0" distR="0" wp14:anchorId="12398585" wp14:editId="54FB32D2">
          <wp:extent cx="1476375" cy="733425"/>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1951B591" w14:textId="77777777" w:rsidR="005D5479" w:rsidRDefault="005D547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A0A9" w14:textId="3660A4D7" w:rsidR="005D5479" w:rsidRDefault="005D5479" w:rsidP="00AC04CF">
    <w:r>
      <w:rPr>
        <w:noProof/>
      </w:rPr>
      <mc:AlternateContent>
        <mc:Choice Requires="wps">
          <w:drawing>
            <wp:anchor distT="4294967295" distB="4294967295" distL="114300" distR="114300" simplePos="0" relativeHeight="251658240" behindDoc="0" locked="0" layoutInCell="0" allowOverlap="1" wp14:anchorId="04B3A28C" wp14:editId="75180ABB">
              <wp:simplePos x="0" y="0"/>
              <wp:positionH relativeFrom="page">
                <wp:posOffset>252095</wp:posOffset>
              </wp:positionH>
              <wp:positionV relativeFrom="page">
                <wp:posOffset>3780789</wp:posOffset>
              </wp:positionV>
              <wp:extent cx="151130" cy="0"/>
              <wp:effectExtent l="0" t="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 cy="0"/>
                      </a:xfrm>
                      <a:prstGeom prst="line">
                        <a:avLst/>
                      </a:prstGeom>
                      <a:noFill/>
                      <a:ln w="3175">
                        <a:solidFill>
                          <a:srgbClr val="009FDA"/>
                        </a:solidFill>
                      </a:ln>
                      <a:effectLst/>
                    </wps:spPr>
                    <wps:bodyPr/>
                  </wps:wsp>
                </a:graphicData>
              </a:graphic>
              <wp14:sizeRelH relativeFrom="page">
                <wp14:pctWidth>0</wp14:pctWidth>
              </wp14:sizeRelH>
              <wp14:sizeRelV relativeFrom="page">
                <wp14:pctHeight>0</wp14:pctHeight>
              </wp14:sizeRelV>
            </wp:anchor>
          </w:drawing>
        </mc:Choice>
        <mc:Fallback>
          <w:pict>
            <v:line w14:anchorId="5EEDA49D"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9.85pt,297.7pt" to="31.7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" o:allowincell="f" strokecolor="#009fda" strokeweight=".25pt">
              <o:lock v:ext="edit" shapetype="f"/>
              <w10:wrap anchorx="page" anchory="page"/>
            </v:line>
          </w:pict>
        </mc:Fallback>
      </mc:AlternateContent>
    </w:r>
    <w:r>
      <w:rPr>
        <w:noProof/>
      </w:rPr>
      <w:drawing>
        <wp:inline distT="0" distB="0" distL="0" distR="0" wp14:anchorId="403227A5" wp14:editId="714909CD">
          <wp:extent cx="1476375" cy="73342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430259AC" w14:textId="77777777" w:rsidR="005D5479" w:rsidRPr="00866BDC" w:rsidRDefault="005D547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700CA2"/>
    <w:lvl w:ilvl="0">
      <w:start w:val="1"/>
      <w:numFmt w:val="upperRoman"/>
      <w:pStyle w:val="ListNumber5"/>
      <w:lvlText w:val="%1."/>
      <w:lvlJc w:val="right"/>
      <w:pPr>
        <w:ind w:left="1498" w:hanging="360"/>
      </w:pPr>
    </w:lvl>
  </w:abstractNum>
  <w:abstractNum w:abstractNumId="1" w15:restartNumberingAfterBreak="0">
    <w:nsid w:val="FFFFFF7D"/>
    <w:multiLevelType w:val="singleLevel"/>
    <w:tmpl w:val="FA6EFE02"/>
    <w:lvl w:ilvl="0">
      <w:start w:val="1"/>
      <w:numFmt w:val="upperLetter"/>
      <w:pStyle w:val="ListNumber4"/>
      <w:lvlText w:val="%1."/>
      <w:lvlJc w:val="left"/>
      <w:pPr>
        <w:ind w:left="1210" w:hanging="360"/>
      </w:pPr>
    </w:lvl>
  </w:abstractNum>
  <w:abstractNum w:abstractNumId="2" w15:restartNumberingAfterBreak="0">
    <w:nsid w:val="FFFFFF7E"/>
    <w:multiLevelType w:val="singleLevel"/>
    <w:tmpl w:val="025AA896"/>
    <w:lvl w:ilvl="0">
      <w:start w:val="1"/>
      <w:numFmt w:val="lowerRoman"/>
      <w:pStyle w:val="ListNumber3"/>
      <w:lvlText w:val="%1."/>
      <w:lvlJc w:val="right"/>
      <w:pPr>
        <w:ind w:left="922" w:hanging="360"/>
      </w:pPr>
    </w:lvl>
  </w:abstractNum>
  <w:abstractNum w:abstractNumId="3" w15:restartNumberingAfterBreak="0">
    <w:nsid w:val="FFFFFF7F"/>
    <w:multiLevelType w:val="singleLevel"/>
    <w:tmpl w:val="77009C7E"/>
    <w:lvl w:ilvl="0">
      <w:start w:val="1"/>
      <w:numFmt w:val="lowerLetter"/>
      <w:pStyle w:val="ListNumber2"/>
      <w:lvlText w:val="%1."/>
      <w:lvlJc w:val="left"/>
      <w:pPr>
        <w:ind w:left="648" w:hanging="360"/>
      </w:pPr>
    </w:lvl>
  </w:abstractNum>
  <w:abstractNum w:abstractNumId="4" w15:restartNumberingAfterBreak="0">
    <w:nsid w:val="FFFFFF80"/>
    <w:multiLevelType w:val="singleLevel"/>
    <w:tmpl w:val="3C2A9C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41C98"/>
    <w:lvl w:ilvl="0">
      <w:start w:val="1"/>
      <w:numFmt w:val="bullet"/>
      <w:pStyle w:val="ListBullet4"/>
      <w:lvlText w:val=""/>
      <w:lvlJc w:val="left"/>
      <w:pPr>
        <w:ind w:left="1210" w:hanging="360"/>
      </w:pPr>
      <w:rPr>
        <w:rFonts w:ascii="Wingdings" w:hAnsi="Wingdings" w:hint="default"/>
      </w:rPr>
    </w:lvl>
  </w:abstractNum>
  <w:abstractNum w:abstractNumId="6" w15:restartNumberingAfterBreak="0">
    <w:nsid w:val="FFFFFF82"/>
    <w:multiLevelType w:val="singleLevel"/>
    <w:tmpl w:val="86EEDE22"/>
    <w:lvl w:ilvl="0">
      <w:start w:val="1"/>
      <w:numFmt w:val="bullet"/>
      <w:pStyle w:val="ListBullet3"/>
      <w:lvlText w:val="o"/>
      <w:lvlJc w:val="left"/>
      <w:pPr>
        <w:ind w:left="922" w:hanging="360"/>
      </w:pPr>
      <w:rPr>
        <w:rFonts w:ascii="Courier New" w:hAnsi="Courier New" w:cs="Courier New" w:hint="default"/>
      </w:rPr>
    </w:lvl>
  </w:abstractNum>
  <w:abstractNum w:abstractNumId="7" w15:restartNumberingAfterBreak="0">
    <w:nsid w:val="FFFFFF83"/>
    <w:multiLevelType w:val="singleLevel"/>
    <w:tmpl w:val="CC22E1BC"/>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B56C97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381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10587"/>
    <w:multiLevelType w:val="hybridMultilevel"/>
    <w:tmpl w:val="851E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47023"/>
    <w:multiLevelType w:val="multilevel"/>
    <w:tmpl w:val="E96C51CA"/>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5024B31"/>
    <w:multiLevelType w:val="hybridMultilevel"/>
    <w:tmpl w:val="97B21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7086052"/>
    <w:multiLevelType w:val="hybridMultilevel"/>
    <w:tmpl w:val="CCC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C7821"/>
    <w:multiLevelType w:val="hybridMultilevel"/>
    <w:tmpl w:val="C4B86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5F20DB"/>
    <w:multiLevelType w:val="hybridMultilevel"/>
    <w:tmpl w:val="65E0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26BBC"/>
    <w:multiLevelType w:val="hybridMultilevel"/>
    <w:tmpl w:val="C18CC03E"/>
    <w:lvl w:ilvl="0" w:tplc="B4F0F216">
      <w:start w:val="1"/>
      <w:numFmt w:val="bullet"/>
      <w:pStyle w:val="Bullet1"/>
      <w:lvlText w:val=""/>
      <w:lvlJc w:val="left"/>
      <w:pPr>
        <w:ind w:left="720" w:hanging="360"/>
      </w:pPr>
      <w:rPr>
        <w:rFonts w:ascii="Symbol" w:hAnsi="Symbol" w:hint="default"/>
        <w:color w:val="1F497D"/>
        <w:sz w:val="19"/>
        <w:szCs w:val="19"/>
      </w:rPr>
    </w:lvl>
    <w:lvl w:ilvl="1" w:tplc="43EC23DA">
      <w:start w:val="1"/>
      <w:numFmt w:val="bullet"/>
      <w:pStyle w:val="Bullet2"/>
      <w:lvlText w:val="o"/>
      <w:lvlJc w:val="left"/>
      <w:pPr>
        <w:ind w:left="1440" w:hanging="360"/>
      </w:pPr>
      <w:rPr>
        <w:rFonts w:ascii="Courier New" w:hAnsi="Courier New" w:cs="Courier New" w:hint="default"/>
        <w:color w:val="1F497D"/>
      </w:rPr>
    </w:lvl>
    <w:lvl w:ilvl="2" w:tplc="0CB25716">
      <w:start w:val="1"/>
      <w:numFmt w:val="bullet"/>
      <w:pStyle w:val="Bullet3"/>
      <w:lvlText w:val=""/>
      <w:lvlJc w:val="left"/>
      <w:pPr>
        <w:ind w:left="2160" w:hanging="360"/>
      </w:pPr>
      <w:rPr>
        <w:rFonts w:ascii="Wingdings" w:hAnsi="Wingdings" w:hint="default"/>
        <w:color w:val="1F497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729AA"/>
    <w:multiLevelType w:val="multilevel"/>
    <w:tmpl w:val="1F44DE62"/>
    <w:name w:val="DNVGL Appendices"/>
    <w:lvl w:ilvl="0">
      <w:start w:val="1"/>
      <w:numFmt w:val="upperLetter"/>
      <w:lvlRestart w:val="0"/>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36446A"/>
    <w:multiLevelType w:val="hybridMultilevel"/>
    <w:tmpl w:val="9864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41801"/>
    <w:multiLevelType w:val="hybridMultilevel"/>
    <w:tmpl w:val="0D6A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02FDD"/>
    <w:multiLevelType w:val="hybridMultilevel"/>
    <w:tmpl w:val="E154F26E"/>
    <w:lvl w:ilvl="0" w:tplc="0AE43FB2">
      <w:start w:val="1"/>
      <w:numFmt w:val="bullet"/>
      <w:pStyle w:val="ConclusionParagraph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039A4"/>
    <w:multiLevelType w:val="hybridMultilevel"/>
    <w:tmpl w:val="173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D290E"/>
    <w:multiLevelType w:val="hybridMultilevel"/>
    <w:tmpl w:val="7278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B4EAA"/>
    <w:multiLevelType w:val="hybridMultilevel"/>
    <w:tmpl w:val="4E0A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464BA"/>
    <w:multiLevelType w:val="multilevel"/>
    <w:tmpl w:val="9ACCFA80"/>
    <w:lvl w:ilvl="0">
      <w:start w:val="1"/>
      <w:numFmt w:val="upperLetter"/>
      <w:pStyle w:val="Heading6"/>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FA1F65"/>
    <w:multiLevelType w:val="hybridMultilevel"/>
    <w:tmpl w:val="BBDA3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10ABC"/>
    <w:multiLevelType w:val="hybridMultilevel"/>
    <w:tmpl w:val="4C5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E79C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111CE7"/>
    <w:multiLevelType w:val="hybridMultilevel"/>
    <w:tmpl w:val="1B8A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21230"/>
    <w:multiLevelType w:val="hybridMultilevel"/>
    <w:tmpl w:val="DCEC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026A3D"/>
    <w:multiLevelType w:val="hybridMultilevel"/>
    <w:tmpl w:val="66E0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948DE"/>
    <w:multiLevelType w:val="hybridMultilevel"/>
    <w:tmpl w:val="7C7A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10A7D"/>
    <w:multiLevelType w:val="hybridMultilevel"/>
    <w:tmpl w:val="01067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349AE"/>
    <w:multiLevelType w:val="multilevel"/>
    <w:tmpl w:val="74241B6C"/>
    <w:lvl w:ilvl="0">
      <w:start w:val="1"/>
      <w:numFmt w:val="upperRoman"/>
      <w:suff w:val="space"/>
      <w:lvlText w:val="%1."/>
      <w:lvlJc w:val="left"/>
      <w:pPr>
        <w:ind w:left="0" w:firstLine="0"/>
      </w:pPr>
    </w:lvl>
    <w:lvl w:ilvl="1">
      <w:start w:val="1"/>
      <w:numFmt w:val="upperLetter"/>
      <w:lvlText w:val="%2."/>
      <w:lvlJc w:val="left"/>
      <w:pPr>
        <w:tabs>
          <w:tab w:val="num" w:pos="432"/>
        </w:tabs>
        <w:ind w:left="432" w:hanging="432"/>
      </w:pPr>
    </w:lvl>
    <w:lvl w:ilvl="2">
      <w:start w:val="1"/>
      <w:numFmt w:val="decimal"/>
      <w:lvlText w:val="%3."/>
      <w:lvlJc w:val="left"/>
      <w:pPr>
        <w:tabs>
          <w:tab w:val="num" w:pos="864"/>
        </w:tabs>
        <w:ind w:left="864" w:hanging="432"/>
      </w:pPr>
    </w:lvl>
    <w:lvl w:ilvl="3">
      <w:start w:val="1"/>
      <w:numFmt w:val="lowerLetter"/>
      <w:lvlText w:val="%4)"/>
      <w:lvlJc w:val="left"/>
      <w:pPr>
        <w:tabs>
          <w:tab w:val="num" w:pos="1296"/>
        </w:tabs>
        <w:ind w:left="1296" w:hanging="432"/>
      </w:pPr>
    </w:lvl>
    <w:lvl w:ilvl="4">
      <w:start w:val="1"/>
      <w:numFmt w:val="decimal"/>
      <w:lvlText w:val="(%5)"/>
      <w:lvlJc w:val="left"/>
      <w:pPr>
        <w:tabs>
          <w:tab w:val="num" w:pos="1728"/>
        </w:tabs>
        <w:ind w:left="1728" w:hanging="432"/>
      </w:pPr>
    </w:lvl>
    <w:lvl w:ilvl="5">
      <w:start w:val="1"/>
      <w:numFmt w:val="lowerLetter"/>
      <w:lvlText w:val="(%6)"/>
      <w:lvlJc w:val="left"/>
      <w:pPr>
        <w:tabs>
          <w:tab w:val="num" w:pos="1728"/>
        </w:tabs>
        <w:ind w:left="1728" w:hanging="432"/>
      </w:pPr>
    </w:lvl>
    <w:lvl w:ilvl="6">
      <w:start w:val="1"/>
      <w:numFmt w:val="lowerRoman"/>
      <w:lvlText w:val="(%7)"/>
      <w:lvlJc w:val="left"/>
      <w:pPr>
        <w:tabs>
          <w:tab w:val="num" w:pos="2016"/>
        </w:tabs>
        <w:ind w:left="1728" w:hanging="432"/>
      </w:pPr>
    </w:lvl>
    <w:lvl w:ilvl="7">
      <w:start w:val="1"/>
      <w:numFmt w:val="lowerLetter"/>
      <w:lvlText w:val="(%8)"/>
      <w:lvlJc w:val="left"/>
      <w:pPr>
        <w:tabs>
          <w:tab w:val="num" w:pos="1728"/>
        </w:tabs>
        <w:ind w:left="1728" w:hanging="432"/>
      </w:pPr>
    </w:lvl>
    <w:lvl w:ilvl="8">
      <w:start w:val="1"/>
      <w:numFmt w:val="lowerRoman"/>
      <w:lvlText w:val="(%9)"/>
      <w:lvlJc w:val="left"/>
      <w:pPr>
        <w:tabs>
          <w:tab w:val="num" w:pos="2016"/>
        </w:tabs>
        <w:ind w:left="1728" w:hanging="432"/>
      </w:pPr>
    </w:lvl>
  </w:abstractNum>
  <w:abstractNum w:abstractNumId="34" w15:restartNumberingAfterBreak="0">
    <w:nsid w:val="73F9637A"/>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A56F99"/>
    <w:multiLevelType w:val="hybridMultilevel"/>
    <w:tmpl w:val="28163364"/>
    <w:lvl w:ilvl="0" w:tplc="1A72D108">
      <w:start w:val="1"/>
      <w:numFmt w:val="bullet"/>
      <w:pStyle w:val="DNVGL-Bullet1"/>
      <w:lvlText w:val=""/>
      <w:lvlJc w:val="left"/>
      <w:pPr>
        <w:ind w:left="720" w:hanging="360"/>
      </w:pPr>
      <w:rPr>
        <w:rFonts w:ascii="Wingdings" w:hAnsi="Wingdings" w:hint="default"/>
        <w:color w:val="15C2BB"/>
      </w:rPr>
    </w:lvl>
    <w:lvl w:ilvl="1" w:tplc="F7900A8A">
      <w:start w:val="1"/>
      <w:numFmt w:val="bullet"/>
      <w:lvlText w:val="o"/>
      <w:lvlJc w:val="left"/>
      <w:pPr>
        <w:ind w:left="1440" w:hanging="360"/>
      </w:pPr>
      <w:rPr>
        <w:rFonts w:ascii="Courier New" w:hAnsi="Courier New" w:cs="Courier New" w:hint="default"/>
      </w:rPr>
    </w:lvl>
    <w:lvl w:ilvl="2" w:tplc="B59A5FAC">
      <w:start w:val="1"/>
      <w:numFmt w:val="bullet"/>
      <w:lvlText w:val=""/>
      <w:lvlJc w:val="left"/>
      <w:pPr>
        <w:ind w:left="2160" w:hanging="360"/>
      </w:pPr>
      <w:rPr>
        <w:rFonts w:ascii="Wingdings" w:hAnsi="Wingdings" w:hint="default"/>
      </w:rPr>
    </w:lvl>
    <w:lvl w:ilvl="3" w:tplc="DF706960">
      <w:start w:val="1"/>
      <w:numFmt w:val="bullet"/>
      <w:lvlText w:val=""/>
      <w:lvlJc w:val="left"/>
      <w:pPr>
        <w:ind w:left="2880" w:hanging="360"/>
      </w:pPr>
      <w:rPr>
        <w:rFonts w:ascii="Symbol" w:hAnsi="Symbol" w:hint="default"/>
      </w:rPr>
    </w:lvl>
    <w:lvl w:ilvl="4" w:tplc="0E3A208E">
      <w:start w:val="1"/>
      <w:numFmt w:val="bullet"/>
      <w:lvlText w:val="o"/>
      <w:lvlJc w:val="left"/>
      <w:pPr>
        <w:ind w:left="3600" w:hanging="360"/>
      </w:pPr>
      <w:rPr>
        <w:rFonts w:ascii="Courier New" w:hAnsi="Courier New" w:cs="Courier New" w:hint="default"/>
      </w:rPr>
    </w:lvl>
    <w:lvl w:ilvl="5" w:tplc="62305AD6">
      <w:start w:val="1"/>
      <w:numFmt w:val="bullet"/>
      <w:lvlText w:val=""/>
      <w:lvlJc w:val="left"/>
      <w:pPr>
        <w:ind w:left="4320" w:hanging="360"/>
      </w:pPr>
      <w:rPr>
        <w:rFonts w:ascii="Wingdings" w:hAnsi="Wingdings" w:hint="default"/>
      </w:rPr>
    </w:lvl>
    <w:lvl w:ilvl="6" w:tplc="5FA6EB94">
      <w:start w:val="1"/>
      <w:numFmt w:val="bullet"/>
      <w:lvlText w:val=""/>
      <w:lvlJc w:val="left"/>
      <w:pPr>
        <w:ind w:left="5040" w:hanging="360"/>
      </w:pPr>
      <w:rPr>
        <w:rFonts w:ascii="Symbol" w:hAnsi="Symbol" w:hint="default"/>
      </w:rPr>
    </w:lvl>
    <w:lvl w:ilvl="7" w:tplc="281405A8">
      <w:start w:val="1"/>
      <w:numFmt w:val="bullet"/>
      <w:lvlText w:val="o"/>
      <w:lvlJc w:val="left"/>
      <w:pPr>
        <w:ind w:left="5760" w:hanging="360"/>
      </w:pPr>
      <w:rPr>
        <w:rFonts w:ascii="Courier New" w:hAnsi="Courier New" w:cs="Courier New" w:hint="default"/>
      </w:rPr>
    </w:lvl>
    <w:lvl w:ilvl="8" w:tplc="58029B22">
      <w:start w:val="1"/>
      <w:numFmt w:val="bullet"/>
      <w:lvlText w:val=""/>
      <w:lvlJc w:val="left"/>
      <w:pPr>
        <w:ind w:left="6480" w:hanging="360"/>
      </w:pPr>
      <w:rPr>
        <w:rFonts w:ascii="Wingdings" w:hAnsi="Wingdings" w:hint="default"/>
      </w:rPr>
    </w:lvl>
  </w:abstractNum>
  <w:abstractNum w:abstractNumId="36" w15:restartNumberingAfterBreak="0">
    <w:nsid w:val="7D2E3450"/>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60206932">
    <w:abstractNumId w:val="11"/>
  </w:num>
  <w:num w:numId="2" w16cid:durableId="615258132">
    <w:abstractNumId w:val="9"/>
  </w:num>
  <w:num w:numId="3" w16cid:durableId="260114520">
    <w:abstractNumId w:val="8"/>
  </w:num>
  <w:num w:numId="4" w16cid:durableId="1591231234">
    <w:abstractNumId w:val="17"/>
  </w:num>
  <w:num w:numId="5" w16cid:durableId="553931662">
    <w:abstractNumId w:val="4"/>
  </w:num>
  <w:num w:numId="6" w16cid:durableId="1718897230">
    <w:abstractNumId w:val="0"/>
  </w:num>
  <w:num w:numId="7" w16cid:durableId="1664629184">
    <w:abstractNumId w:val="27"/>
  </w:num>
  <w:num w:numId="8" w16cid:durableId="1709795580">
    <w:abstractNumId w:val="34"/>
  </w:num>
  <w:num w:numId="9" w16cid:durableId="154298993">
    <w:abstractNumId w:val="36"/>
  </w:num>
  <w:num w:numId="10" w16cid:durableId="1539472945">
    <w:abstractNumId w:val="35"/>
  </w:num>
  <w:num w:numId="11" w16cid:durableId="1395733961">
    <w:abstractNumId w:val="16"/>
  </w:num>
  <w:num w:numId="12" w16cid:durableId="1878932159">
    <w:abstractNumId w:val="12"/>
  </w:num>
  <w:num w:numId="13" w16cid:durableId="124200304">
    <w:abstractNumId w:val="20"/>
  </w:num>
  <w:num w:numId="14" w16cid:durableId="886648033">
    <w:abstractNumId w:val="10"/>
  </w:num>
  <w:num w:numId="15" w16cid:durableId="802499710">
    <w:abstractNumId w:val="25"/>
  </w:num>
  <w:num w:numId="16" w16cid:durableId="1079669657">
    <w:abstractNumId w:val="31"/>
  </w:num>
  <w:num w:numId="17" w16cid:durableId="186064945">
    <w:abstractNumId w:val="32"/>
  </w:num>
  <w:num w:numId="18" w16cid:durableId="256988897">
    <w:abstractNumId w:val="11"/>
  </w:num>
  <w:num w:numId="19" w16cid:durableId="1314018259">
    <w:abstractNumId w:val="24"/>
    <w:lvlOverride w:ilvl="0">
      <w:lvl w:ilvl="0">
        <w:start w:val="1"/>
        <w:numFmt w:val="upperLetter"/>
        <w:pStyle w:val="Heading6"/>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16cid:durableId="1824926991">
    <w:abstractNumId w:val="7"/>
  </w:num>
  <w:num w:numId="21" w16cid:durableId="566308367">
    <w:abstractNumId w:val="6"/>
  </w:num>
  <w:num w:numId="22" w16cid:durableId="761880235">
    <w:abstractNumId w:val="5"/>
  </w:num>
  <w:num w:numId="23" w16cid:durableId="1064569071">
    <w:abstractNumId w:val="3"/>
  </w:num>
  <w:num w:numId="24" w16cid:durableId="1023093996">
    <w:abstractNumId w:val="2"/>
  </w:num>
  <w:num w:numId="25" w16cid:durableId="1499733326">
    <w:abstractNumId w:val="1"/>
  </w:num>
  <w:num w:numId="26" w16cid:durableId="2046559365">
    <w:abstractNumId w:val="29"/>
  </w:num>
  <w:num w:numId="27" w16cid:durableId="577321953">
    <w:abstractNumId w:val="14"/>
  </w:num>
  <w:num w:numId="28" w16cid:durableId="1687513486">
    <w:abstractNumId w:val="33"/>
  </w:num>
  <w:num w:numId="29" w16cid:durableId="1783380209">
    <w:abstractNumId w:val="23"/>
  </w:num>
  <w:num w:numId="30" w16cid:durableId="1746298790">
    <w:abstractNumId w:val="19"/>
  </w:num>
  <w:num w:numId="31" w16cid:durableId="1344433947">
    <w:abstractNumId w:val="28"/>
  </w:num>
  <w:num w:numId="32" w16cid:durableId="1876848193">
    <w:abstractNumId w:val="21"/>
  </w:num>
  <w:num w:numId="33" w16cid:durableId="1378623187">
    <w:abstractNumId w:val="22"/>
  </w:num>
  <w:num w:numId="34" w16cid:durableId="1292173885">
    <w:abstractNumId w:val="18"/>
  </w:num>
  <w:num w:numId="35" w16cid:durableId="394470683">
    <w:abstractNumId w:val="26"/>
  </w:num>
  <w:num w:numId="36" w16cid:durableId="1023825902">
    <w:abstractNumId w:val="30"/>
  </w:num>
  <w:num w:numId="37" w16cid:durableId="1364094696">
    <w:abstractNumId w:val="15"/>
  </w:num>
  <w:num w:numId="38" w16cid:durableId="96273006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sqwFAFwKuq4tAAAA"/>
    <w:docVar w:name="DFS_FileId" w:val="COR009us.dotx"/>
    <w:docVar w:name="DFS_FormId" w:val="1944"/>
    <w:docVar w:name="DFS_FormNo" w:val="COR 009us"/>
    <w:docVar w:name="DFS_FormversionNo" w:val="9"/>
    <w:docVar w:name="DFS_Issue" w:val="2021-03"/>
    <w:docVar w:name="DNVeFormDoc_guid" w:val="78dd3543c6704edfa3c3136fba57442a"/>
    <w:docVar w:name="eForms Core NewDocument" w:val="2021-10-29T15:30:57Z"/>
    <w:docVar w:name="eForms_xdoc_doc_config" w:val="&lt;?xml version=&quot;1.0&quot; encoding=&quot;UTF-8&quot;?&gt;&lt;DNVeFormsCore version=&quot;1.0&quot;&gt;&lt;doc_config client_app=&quot;&quot;&gt;&lt;setting name=&quot;form_config&quot;&gt;&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doc_config&gt;&lt;/DNVeFormsCore&gt;"/>
    <w:docVar w:name="eFormsBlenderServiceClientId" w:val="eFormsCore:Word"/>
    <w:docVar w:name="eFormsDataStoreItemId" w:val="{411D1D0F-7AC1-4B96-BEEB-0B5CA1189D58}"/>
    <w:docVar w:name="eFormsFormConfig" w:val="&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210215 113616"/>
    <w:docVar w:name="TB build utc" w:val="2021-02-15T10:36:26"/>
    <w:docVar w:name="TB filename" w:val="COR009us.dotx"/>
    <w:docVar w:name="TB id" w:val="7349"/>
    <w:docVar w:name="TB name" w:val="COR 009us"/>
    <w:docVar w:name="TMPeF_datafolder" w:val="COR 009us"/>
    <w:docVar w:name="XCD450QKD" w:val="020a76b5b0aa41438a76a01e5758bc87"/>
  </w:docVars>
  <w:rsids>
    <w:rsidRoot w:val="00EF65C7"/>
    <w:rsid w:val="0000022C"/>
    <w:rsid w:val="0000023A"/>
    <w:rsid w:val="000019E0"/>
    <w:rsid w:val="00001D81"/>
    <w:rsid w:val="0000335C"/>
    <w:rsid w:val="00003A9A"/>
    <w:rsid w:val="00003BF9"/>
    <w:rsid w:val="00004986"/>
    <w:rsid w:val="00006173"/>
    <w:rsid w:val="000071C1"/>
    <w:rsid w:val="000073EE"/>
    <w:rsid w:val="000076B9"/>
    <w:rsid w:val="0001109E"/>
    <w:rsid w:val="000110AE"/>
    <w:rsid w:val="000113DC"/>
    <w:rsid w:val="00011C24"/>
    <w:rsid w:val="0001399D"/>
    <w:rsid w:val="00013B9F"/>
    <w:rsid w:val="00015B77"/>
    <w:rsid w:val="000165FF"/>
    <w:rsid w:val="00016B25"/>
    <w:rsid w:val="0001759E"/>
    <w:rsid w:val="00017688"/>
    <w:rsid w:val="0002081B"/>
    <w:rsid w:val="00020C27"/>
    <w:rsid w:val="00021E68"/>
    <w:rsid w:val="00022B84"/>
    <w:rsid w:val="0002325C"/>
    <w:rsid w:val="00023697"/>
    <w:rsid w:val="000239F3"/>
    <w:rsid w:val="00024747"/>
    <w:rsid w:val="00024C74"/>
    <w:rsid w:val="00024CC6"/>
    <w:rsid w:val="00024E75"/>
    <w:rsid w:val="0002636E"/>
    <w:rsid w:val="000267A3"/>
    <w:rsid w:val="00026A3E"/>
    <w:rsid w:val="00026B63"/>
    <w:rsid w:val="00027690"/>
    <w:rsid w:val="00030342"/>
    <w:rsid w:val="00030753"/>
    <w:rsid w:val="00031075"/>
    <w:rsid w:val="00031710"/>
    <w:rsid w:val="00031AF7"/>
    <w:rsid w:val="000331EC"/>
    <w:rsid w:val="00033D2E"/>
    <w:rsid w:val="00033DD9"/>
    <w:rsid w:val="000344CB"/>
    <w:rsid w:val="00034F0F"/>
    <w:rsid w:val="000377D9"/>
    <w:rsid w:val="0003796C"/>
    <w:rsid w:val="00037BB2"/>
    <w:rsid w:val="00037D73"/>
    <w:rsid w:val="00040D46"/>
    <w:rsid w:val="00041AD9"/>
    <w:rsid w:val="00042E79"/>
    <w:rsid w:val="00043A6A"/>
    <w:rsid w:val="000449B7"/>
    <w:rsid w:val="00044E2F"/>
    <w:rsid w:val="00045936"/>
    <w:rsid w:val="0004623E"/>
    <w:rsid w:val="00046C3A"/>
    <w:rsid w:val="000509F5"/>
    <w:rsid w:val="00052F02"/>
    <w:rsid w:val="00052F74"/>
    <w:rsid w:val="00053C79"/>
    <w:rsid w:val="00053E69"/>
    <w:rsid w:val="000542F2"/>
    <w:rsid w:val="00055086"/>
    <w:rsid w:val="000552C8"/>
    <w:rsid w:val="00055DC6"/>
    <w:rsid w:val="00055DE0"/>
    <w:rsid w:val="00056868"/>
    <w:rsid w:val="00056B5D"/>
    <w:rsid w:val="00056F00"/>
    <w:rsid w:val="000575F4"/>
    <w:rsid w:val="000576CC"/>
    <w:rsid w:val="00057AE4"/>
    <w:rsid w:val="00060843"/>
    <w:rsid w:val="00060A82"/>
    <w:rsid w:val="000621E1"/>
    <w:rsid w:val="000625F0"/>
    <w:rsid w:val="0006287C"/>
    <w:rsid w:val="00062B13"/>
    <w:rsid w:val="000631E7"/>
    <w:rsid w:val="0006343E"/>
    <w:rsid w:val="00064685"/>
    <w:rsid w:val="00064960"/>
    <w:rsid w:val="00064C26"/>
    <w:rsid w:val="00066BAF"/>
    <w:rsid w:val="00066DEC"/>
    <w:rsid w:val="000674D3"/>
    <w:rsid w:val="00067E2A"/>
    <w:rsid w:val="00070C83"/>
    <w:rsid w:val="000719F3"/>
    <w:rsid w:val="00071E16"/>
    <w:rsid w:val="00071F16"/>
    <w:rsid w:val="00072E87"/>
    <w:rsid w:val="00072FF8"/>
    <w:rsid w:val="0007443B"/>
    <w:rsid w:val="000748A2"/>
    <w:rsid w:val="00074A4D"/>
    <w:rsid w:val="00076033"/>
    <w:rsid w:val="0007661B"/>
    <w:rsid w:val="000768B5"/>
    <w:rsid w:val="000773CF"/>
    <w:rsid w:val="0007782D"/>
    <w:rsid w:val="000804D0"/>
    <w:rsid w:val="00080F01"/>
    <w:rsid w:val="0008258F"/>
    <w:rsid w:val="00082BB1"/>
    <w:rsid w:val="000848E0"/>
    <w:rsid w:val="00084D47"/>
    <w:rsid w:val="00085859"/>
    <w:rsid w:val="00085E9D"/>
    <w:rsid w:val="000865EF"/>
    <w:rsid w:val="000874D8"/>
    <w:rsid w:val="00087C98"/>
    <w:rsid w:val="000906C5"/>
    <w:rsid w:val="00090BA7"/>
    <w:rsid w:val="00090F44"/>
    <w:rsid w:val="00091571"/>
    <w:rsid w:val="0009191E"/>
    <w:rsid w:val="00092110"/>
    <w:rsid w:val="0009239B"/>
    <w:rsid w:val="00092A26"/>
    <w:rsid w:val="00092BAF"/>
    <w:rsid w:val="00092E4E"/>
    <w:rsid w:val="00093DA5"/>
    <w:rsid w:val="00094554"/>
    <w:rsid w:val="00094695"/>
    <w:rsid w:val="00094BD6"/>
    <w:rsid w:val="000953E2"/>
    <w:rsid w:val="0009622C"/>
    <w:rsid w:val="00097D3E"/>
    <w:rsid w:val="00097E74"/>
    <w:rsid w:val="00097F71"/>
    <w:rsid w:val="000A0B13"/>
    <w:rsid w:val="000A0E72"/>
    <w:rsid w:val="000A161D"/>
    <w:rsid w:val="000A17EC"/>
    <w:rsid w:val="000A2744"/>
    <w:rsid w:val="000A297D"/>
    <w:rsid w:val="000A2C34"/>
    <w:rsid w:val="000A4473"/>
    <w:rsid w:val="000A4C44"/>
    <w:rsid w:val="000A6184"/>
    <w:rsid w:val="000A662D"/>
    <w:rsid w:val="000A7560"/>
    <w:rsid w:val="000A7F0A"/>
    <w:rsid w:val="000A7F4F"/>
    <w:rsid w:val="000B3263"/>
    <w:rsid w:val="000B4147"/>
    <w:rsid w:val="000B625F"/>
    <w:rsid w:val="000B6D05"/>
    <w:rsid w:val="000B7E31"/>
    <w:rsid w:val="000B7FFC"/>
    <w:rsid w:val="000C0B5B"/>
    <w:rsid w:val="000C0B5E"/>
    <w:rsid w:val="000C0B98"/>
    <w:rsid w:val="000C0D37"/>
    <w:rsid w:val="000C0F40"/>
    <w:rsid w:val="000C13F1"/>
    <w:rsid w:val="000C218F"/>
    <w:rsid w:val="000C287E"/>
    <w:rsid w:val="000C3481"/>
    <w:rsid w:val="000C360C"/>
    <w:rsid w:val="000C3850"/>
    <w:rsid w:val="000C387A"/>
    <w:rsid w:val="000C3F08"/>
    <w:rsid w:val="000C41A1"/>
    <w:rsid w:val="000C491D"/>
    <w:rsid w:val="000C52DC"/>
    <w:rsid w:val="000C5A04"/>
    <w:rsid w:val="000C5BDF"/>
    <w:rsid w:val="000C675C"/>
    <w:rsid w:val="000C705E"/>
    <w:rsid w:val="000C79B1"/>
    <w:rsid w:val="000D2DD8"/>
    <w:rsid w:val="000D3F1F"/>
    <w:rsid w:val="000D400A"/>
    <w:rsid w:val="000D5804"/>
    <w:rsid w:val="000D58EC"/>
    <w:rsid w:val="000D5F02"/>
    <w:rsid w:val="000D68E5"/>
    <w:rsid w:val="000D7219"/>
    <w:rsid w:val="000D7858"/>
    <w:rsid w:val="000E0367"/>
    <w:rsid w:val="000E15D8"/>
    <w:rsid w:val="000E2A9D"/>
    <w:rsid w:val="000E3746"/>
    <w:rsid w:val="000E4677"/>
    <w:rsid w:val="000E4E37"/>
    <w:rsid w:val="000E4ED1"/>
    <w:rsid w:val="000E502D"/>
    <w:rsid w:val="000E6333"/>
    <w:rsid w:val="000E6ABF"/>
    <w:rsid w:val="000E73B3"/>
    <w:rsid w:val="000E7499"/>
    <w:rsid w:val="000E786F"/>
    <w:rsid w:val="000E7BA7"/>
    <w:rsid w:val="000F0982"/>
    <w:rsid w:val="000F0CD5"/>
    <w:rsid w:val="000F2BC5"/>
    <w:rsid w:val="000F2F51"/>
    <w:rsid w:val="000F2FBD"/>
    <w:rsid w:val="000F300C"/>
    <w:rsid w:val="000F4140"/>
    <w:rsid w:val="000F4557"/>
    <w:rsid w:val="000F4DEF"/>
    <w:rsid w:val="000F5840"/>
    <w:rsid w:val="000F5DD9"/>
    <w:rsid w:val="000F6EF5"/>
    <w:rsid w:val="000F7014"/>
    <w:rsid w:val="0010022E"/>
    <w:rsid w:val="00100EB2"/>
    <w:rsid w:val="00101B8D"/>
    <w:rsid w:val="00102240"/>
    <w:rsid w:val="00102959"/>
    <w:rsid w:val="00103D34"/>
    <w:rsid w:val="00104256"/>
    <w:rsid w:val="001053E9"/>
    <w:rsid w:val="00106F42"/>
    <w:rsid w:val="00106FC8"/>
    <w:rsid w:val="0010710D"/>
    <w:rsid w:val="00107621"/>
    <w:rsid w:val="00110F48"/>
    <w:rsid w:val="00111937"/>
    <w:rsid w:val="00111F25"/>
    <w:rsid w:val="001128C5"/>
    <w:rsid w:val="00113021"/>
    <w:rsid w:val="001135F2"/>
    <w:rsid w:val="0011416E"/>
    <w:rsid w:val="00114BD4"/>
    <w:rsid w:val="00114E57"/>
    <w:rsid w:val="00117108"/>
    <w:rsid w:val="0011766A"/>
    <w:rsid w:val="0011781A"/>
    <w:rsid w:val="00120C5A"/>
    <w:rsid w:val="00120D69"/>
    <w:rsid w:val="00120EC0"/>
    <w:rsid w:val="00121CF8"/>
    <w:rsid w:val="00122D32"/>
    <w:rsid w:val="00122D89"/>
    <w:rsid w:val="00122E98"/>
    <w:rsid w:val="00123377"/>
    <w:rsid w:val="00123D86"/>
    <w:rsid w:val="00124110"/>
    <w:rsid w:val="0012448E"/>
    <w:rsid w:val="00125223"/>
    <w:rsid w:val="00126257"/>
    <w:rsid w:val="00126471"/>
    <w:rsid w:val="00126795"/>
    <w:rsid w:val="00126DAB"/>
    <w:rsid w:val="00127519"/>
    <w:rsid w:val="00130135"/>
    <w:rsid w:val="00130180"/>
    <w:rsid w:val="00130EE2"/>
    <w:rsid w:val="00131E90"/>
    <w:rsid w:val="00132C88"/>
    <w:rsid w:val="00133F45"/>
    <w:rsid w:val="00134A67"/>
    <w:rsid w:val="00134DED"/>
    <w:rsid w:val="001359FC"/>
    <w:rsid w:val="001361D5"/>
    <w:rsid w:val="00136CA5"/>
    <w:rsid w:val="00136D26"/>
    <w:rsid w:val="00137DA6"/>
    <w:rsid w:val="001405A8"/>
    <w:rsid w:val="00141527"/>
    <w:rsid w:val="00141C6A"/>
    <w:rsid w:val="001423BD"/>
    <w:rsid w:val="00142710"/>
    <w:rsid w:val="00142C60"/>
    <w:rsid w:val="001434C8"/>
    <w:rsid w:val="00143E7A"/>
    <w:rsid w:val="00144278"/>
    <w:rsid w:val="00145332"/>
    <w:rsid w:val="0014615B"/>
    <w:rsid w:val="001466D0"/>
    <w:rsid w:val="001473B8"/>
    <w:rsid w:val="00147528"/>
    <w:rsid w:val="00147E6A"/>
    <w:rsid w:val="00147F4B"/>
    <w:rsid w:val="00150117"/>
    <w:rsid w:val="00150716"/>
    <w:rsid w:val="00151A3B"/>
    <w:rsid w:val="00151C09"/>
    <w:rsid w:val="00151E7E"/>
    <w:rsid w:val="001521BC"/>
    <w:rsid w:val="001521C7"/>
    <w:rsid w:val="0015289E"/>
    <w:rsid w:val="00155420"/>
    <w:rsid w:val="00155EBD"/>
    <w:rsid w:val="0015692C"/>
    <w:rsid w:val="00156EBB"/>
    <w:rsid w:val="00156F09"/>
    <w:rsid w:val="00157403"/>
    <w:rsid w:val="00157ACC"/>
    <w:rsid w:val="00160070"/>
    <w:rsid w:val="001601E6"/>
    <w:rsid w:val="00160392"/>
    <w:rsid w:val="0016039E"/>
    <w:rsid w:val="001607FD"/>
    <w:rsid w:val="00160E39"/>
    <w:rsid w:val="00161D6F"/>
    <w:rsid w:val="00163B44"/>
    <w:rsid w:val="00163CE0"/>
    <w:rsid w:val="00164711"/>
    <w:rsid w:val="00164854"/>
    <w:rsid w:val="00166A7D"/>
    <w:rsid w:val="001705F0"/>
    <w:rsid w:val="00171414"/>
    <w:rsid w:val="00171C1F"/>
    <w:rsid w:val="00171D72"/>
    <w:rsid w:val="00173BA6"/>
    <w:rsid w:val="001745B3"/>
    <w:rsid w:val="00174798"/>
    <w:rsid w:val="00174A24"/>
    <w:rsid w:val="00174C64"/>
    <w:rsid w:val="0017583F"/>
    <w:rsid w:val="00176464"/>
    <w:rsid w:val="00176A2A"/>
    <w:rsid w:val="00176DC9"/>
    <w:rsid w:val="00177DC0"/>
    <w:rsid w:val="00177F69"/>
    <w:rsid w:val="00180B35"/>
    <w:rsid w:val="00181D30"/>
    <w:rsid w:val="00182A3F"/>
    <w:rsid w:val="00183A7F"/>
    <w:rsid w:val="00186950"/>
    <w:rsid w:val="00186F39"/>
    <w:rsid w:val="00187179"/>
    <w:rsid w:val="00187C32"/>
    <w:rsid w:val="00191031"/>
    <w:rsid w:val="00191314"/>
    <w:rsid w:val="001918B3"/>
    <w:rsid w:val="00191F83"/>
    <w:rsid w:val="00192B0E"/>
    <w:rsid w:val="00193882"/>
    <w:rsid w:val="00193A41"/>
    <w:rsid w:val="00193F2D"/>
    <w:rsid w:val="00195801"/>
    <w:rsid w:val="0019654E"/>
    <w:rsid w:val="0019665E"/>
    <w:rsid w:val="00197105"/>
    <w:rsid w:val="0019720A"/>
    <w:rsid w:val="001A0156"/>
    <w:rsid w:val="001A061A"/>
    <w:rsid w:val="001A071E"/>
    <w:rsid w:val="001A143E"/>
    <w:rsid w:val="001A191D"/>
    <w:rsid w:val="001A1A3B"/>
    <w:rsid w:val="001A243A"/>
    <w:rsid w:val="001A35EC"/>
    <w:rsid w:val="001A4345"/>
    <w:rsid w:val="001A451E"/>
    <w:rsid w:val="001A47CE"/>
    <w:rsid w:val="001A5B11"/>
    <w:rsid w:val="001A62CB"/>
    <w:rsid w:val="001A62FF"/>
    <w:rsid w:val="001A6464"/>
    <w:rsid w:val="001A6862"/>
    <w:rsid w:val="001A7061"/>
    <w:rsid w:val="001A70DA"/>
    <w:rsid w:val="001A7865"/>
    <w:rsid w:val="001B042F"/>
    <w:rsid w:val="001B1E0F"/>
    <w:rsid w:val="001B21DA"/>
    <w:rsid w:val="001B33AB"/>
    <w:rsid w:val="001B3408"/>
    <w:rsid w:val="001B4A83"/>
    <w:rsid w:val="001B57F1"/>
    <w:rsid w:val="001B653C"/>
    <w:rsid w:val="001B65C6"/>
    <w:rsid w:val="001B7C73"/>
    <w:rsid w:val="001B7EE3"/>
    <w:rsid w:val="001C08B7"/>
    <w:rsid w:val="001C17E2"/>
    <w:rsid w:val="001C19D3"/>
    <w:rsid w:val="001C1FF3"/>
    <w:rsid w:val="001C2178"/>
    <w:rsid w:val="001C3E8C"/>
    <w:rsid w:val="001C50C8"/>
    <w:rsid w:val="001C57A8"/>
    <w:rsid w:val="001C5849"/>
    <w:rsid w:val="001C598D"/>
    <w:rsid w:val="001C5B09"/>
    <w:rsid w:val="001C5E2B"/>
    <w:rsid w:val="001C6ECC"/>
    <w:rsid w:val="001C72CF"/>
    <w:rsid w:val="001D1279"/>
    <w:rsid w:val="001D137C"/>
    <w:rsid w:val="001D154E"/>
    <w:rsid w:val="001D3082"/>
    <w:rsid w:val="001D406C"/>
    <w:rsid w:val="001D5688"/>
    <w:rsid w:val="001D57B1"/>
    <w:rsid w:val="001D5DEA"/>
    <w:rsid w:val="001D7043"/>
    <w:rsid w:val="001E00CB"/>
    <w:rsid w:val="001E022A"/>
    <w:rsid w:val="001E0DF3"/>
    <w:rsid w:val="001E111B"/>
    <w:rsid w:val="001E1FED"/>
    <w:rsid w:val="001E2079"/>
    <w:rsid w:val="001E29B3"/>
    <w:rsid w:val="001E2A10"/>
    <w:rsid w:val="001E2E8F"/>
    <w:rsid w:val="001E441D"/>
    <w:rsid w:val="001E4B1F"/>
    <w:rsid w:val="001E533A"/>
    <w:rsid w:val="001E5426"/>
    <w:rsid w:val="001E6782"/>
    <w:rsid w:val="001E7254"/>
    <w:rsid w:val="001F01B5"/>
    <w:rsid w:val="001F5544"/>
    <w:rsid w:val="001F6AF2"/>
    <w:rsid w:val="001F767E"/>
    <w:rsid w:val="001F7E30"/>
    <w:rsid w:val="002002AC"/>
    <w:rsid w:val="002008B7"/>
    <w:rsid w:val="00200AD3"/>
    <w:rsid w:val="00200F3B"/>
    <w:rsid w:val="002023CC"/>
    <w:rsid w:val="00202BF4"/>
    <w:rsid w:val="00203060"/>
    <w:rsid w:val="00204BCE"/>
    <w:rsid w:val="002061D3"/>
    <w:rsid w:val="00206923"/>
    <w:rsid w:val="00206D20"/>
    <w:rsid w:val="00212A9F"/>
    <w:rsid w:val="00212AAF"/>
    <w:rsid w:val="00212C97"/>
    <w:rsid w:val="00213A94"/>
    <w:rsid w:val="00214FA0"/>
    <w:rsid w:val="00215378"/>
    <w:rsid w:val="00215523"/>
    <w:rsid w:val="00215D7E"/>
    <w:rsid w:val="0021684D"/>
    <w:rsid w:val="00216861"/>
    <w:rsid w:val="0021710A"/>
    <w:rsid w:val="00217175"/>
    <w:rsid w:val="00217A44"/>
    <w:rsid w:val="00217B65"/>
    <w:rsid w:val="00221210"/>
    <w:rsid w:val="00221FEE"/>
    <w:rsid w:val="00223510"/>
    <w:rsid w:val="0022407D"/>
    <w:rsid w:val="00226801"/>
    <w:rsid w:val="00227A03"/>
    <w:rsid w:val="00231449"/>
    <w:rsid w:val="0023157F"/>
    <w:rsid w:val="00231585"/>
    <w:rsid w:val="0023218A"/>
    <w:rsid w:val="00232513"/>
    <w:rsid w:val="00235AC6"/>
    <w:rsid w:val="00236DE3"/>
    <w:rsid w:val="002379F9"/>
    <w:rsid w:val="002415C5"/>
    <w:rsid w:val="00241D25"/>
    <w:rsid w:val="00242821"/>
    <w:rsid w:val="00242C26"/>
    <w:rsid w:val="00242D2F"/>
    <w:rsid w:val="002435F0"/>
    <w:rsid w:val="0024384F"/>
    <w:rsid w:val="00243A4E"/>
    <w:rsid w:val="002440A8"/>
    <w:rsid w:val="002458B9"/>
    <w:rsid w:val="002460ED"/>
    <w:rsid w:val="002471A0"/>
    <w:rsid w:val="002477B2"/>
    <w:rsid w:val="00247B04"/>
    <w:rsid w:val="00250214"/>
    <w:rsid w:val="00250352"/>
    <w:rsid w:val="002509A3"/>
    <w:rsid w:val="002515D2"/>
    <w:rsid w:val="002516D2"/>
    <w:rsid w:val="002533B5"/>
    <w:rsid w:val="0025342A"/>
    <w:rsid w:val="002534D3"/>
    <w:rsid w:val="002536D6"/>
    <w:rsid w:val="00253D0D"/>
    <w:rsid w:val="002543D5"/>
    <w:rsid w:val="00254520"/>
    <w:rsid w:val="002547AC"/>
    <w:rsid w:val="00254C50"/>
    <w:rsid w:val="00254DFD"/>
    <w:rsid w:val="0025588C"/>
    <w:rsid w:val="00255952"/>
    <w:rsid w:val="0025595E"/>
    <w:rsid w:val="00255E1E"/>
    <w:rsid w:val="00255F5B"/>
    <w:rsid w:val="00256E55"/>
    <w:rsid w:val="002579F2"/>
    <w:rsid w:val="002609CB"/>
    <w:rsid w:val="00260F14"/>
    <w:rsid w:val="002637D6"/>
    <w:rsid w:val="00263816"/>
    <w:rsid w:val="00263E04"/>
    <w:rsid w:val="00264A74"/>
    <w:rsid w:val="002657A3"/>
    <w:rsid w:val="002659E5"/>
    <w:rsid w:val="00265CE9"/>
    <w:rsid w:val="00266756"/>
    <w:rsid w:val="00266DBB"/>
    <w:rsid w:val="00266E6D"/>
    <w:rsid w:val="0027006A"/>
    <w:rsid w:val="0027102C"/>
    <w:rsid w:val="00271073"/>
    <w:rsid w:val="0027244B"/>
    <w:rsid w:val="00273ED8"/>
    <w:rsid w:val="002742C1"/>
    <w:rsid w:val="0027687B"/>
    <w:rsid w:val="002769A0"/>
    <w:rsid w:val="00276A8B"/>
    <w:rsid w:val="00277761"/>
    <w:rsid w:val="00277A73"/>
    <w:rsid w:val="00277AB2"/>
    <w:rsid w:val="00277BE7"/>
    <w:rsid w:val="002829F6"/>
    <w:rsid w:val="00282D03"/>
    <w:rsid w:val="0028364E"/>
    <w:rsid w:val="00283F25"/>
    <w:rsid w:val="00285018"/>
    <w:rsid w:val="002852A7"/>
    <w:rsid w:val="00285BD2"/>
    <w:rsid w:val="00286332"/>
    <w:rsid w:val="00290A5D"/>
    <w:rsid w:val="00290EA7"/>
    <w:rsid w:val="00291D52"/>
    <w:rsid w:val="00291E80"/>
    <w:rsid w:val="00293069"/>
    <w:rsid w:val="00293D74"/>
    <w:rsid w:val="00294727"/>
    <w:rsid w:val="00294A68"/>
    <w:rsid w:val="00295EEA"/>
    <w:rsid w:val="00296F2A"/>
    <w:rsid w:val="00297472"/>
    <w:rsid w:val="002A0200"/>
    <w:rsid w:val="002A02B7"/>
    <w:rsid w:val="002A39E6"/>
    <w:rsid w:val="002A4432"/>
    <w:rsid w:val="002A44B8"/>
    <w:rsid w:val="002A5DDA"/>
    <w:rsid w:val="002A6134"/>
    <w:rsid w:val="002A6B29"/>
    <w:rsid w:val="002A6D74"/>
    <w:rsid w:val="002A7123"/>
    <w:rsid w:val="002A75D3"/>
    <w:rsid w:val="002A771E"/>
    <w:rsid w:val="002A7B09"/>
    <w:rsid w:val="002A7D95"/>
    <w:rsid w:val="002B031A"/>
    <w:rsid w:val="002B0348"/>
    <w:rsid w:val="002B0E65"/>
    <w:rsid w:val="002B13D5"/>
    <w:rsid w:val="002B1DC0"/>
    <w:rsid w:val="002B2C93"/>
    <w:rsid w:val="002B2CD7"/>
    <w:rsid w:val="002B3898"/>
    <w:rsid w:val="002B3A19"/>
    <w:rsid w:val="002B42A2"/>
    <w:rsid w:val="002B5623"/>
    <w:rsid w:val="002B6423"/>
    <w:rsid w:val="002B6702"/>
    <w:rsid w:val="002B683A"/>
    <w:rsid w:val="002B741D"/>
    <w:rsid w:val="002B78D2"/>
    <w:rsid w:val="002B7C20"/>
    <w:rsid w:val="002B7CA3"/>
    <w:rsid w:val="002C1296"/>
    <w:rsid w:val="002C2516"/>
    <w:rsid w:val="002C2C58"/>
    <w:rsid w:val="002C2E17"/>
    <w:rsid w:val="002C3278"/>
    <w:rsid w:val="002C37CD"/>
    <w:rsid w:val="002C3971"/>
    <w:rsid w:val="002C5D9C"/>
    <w:rsid w:val="002C690D"/>
    <w:rsid w:val="002C6D87"/>
    <w:rsid w:val="002C7586"/>
    <w:rsid w:val="002C7E6F"/>
    <w:rsid w:val="002D0327"/>
    <w:rsid w:val="002D1200"/>
    <w:rsid w:val="002D2B9B"/>
    <w:rsid w:val="002D3D39"/>
    <w:rsid w:val="002D3FB0"/>
    <w:rsid w:val="002D47C6"/>
    <w:rsid w:val="002D533D"/>
    <w:rsid w:val="002D5542"/>
    <w:rsid w:val="002D5C2F"/>
    <w:rsid w:val="002D6024"/>
    <w:rsid w:val="002D71F9"/>
    <w:rsid w:val="002D78C7"/>
    <w:rsid w:val="002E07D3"/>
    <w:rsid w:val="002E1D17"/>
    <w:rsid w:val="002E1E91"/>
    <w:rsid w:val="002E2145"/>
    <w:rsid w:val="002E45FC"/>
    <w:rsid w:val="002E49CB"/>
    <w:rsid w:val="002E4D5A"/>
    <w:rsid w:val="002E60FB"/>
    <w:rsid w:val="002E697B"/>
    <w:rsid w:val="002E6DA5"/>
    <w:rsid w:val="002E7710"/>
    <w:rsid w:val="002E7C93"/>
    <w:rsid w:val="002F24E9"/>
    <w:rsid w:val="002F2ED7"/>
    <w:rsid w:val="002F305B"/>
    <w:rsid w:val="002F4138"/>
    <w:rsid w:val="002F47D9"/>
    <w:rsid w:val="002F4888"/>
    <w:rsid w:val="002F6398"/>
    <w:rsid w:val="002F740E"/>
    <w:rsid w:val="002F76C6"/>
    <w:rsid w:val="002F78BD"/>
    <w:rsid w:val="002F7CC2"/>
    <w:rsid w:val="002F7E1F"/>
    <w:rsid w:val="00300156"/>
    <w:rsid w:val="00301713"/>
    <w:rsid w:val="00302790"/>
    <w:rsid w:val="00302A9E"/>
    <w:rsid w:val="00302BD0"/>
    <w:rsid w:val="00302FBD"/>
    <w:rsid w:val="0030305E"/>
    <w:rsid w:val="00303295"/>
    <w:rsid w:val="0030338A"/>
    <w:rsid w:val="00303EC6"/>
    <w:rsid w:val="00304B4A"/>
    <w:rsid w:val="00304DD2"/>
    <w:rsid w:val="00305039"/>
    <w:rsid w:val="0030557B"/>
    <w:rsid w:val="00306420"/>
    <w:rsid w:val="0030677D"/>
    <w:rsid w:val="0030725F"/>
    <w:rsid w:val="00307AAB"/>
    <w:rsid w:val="003109CE"/>
    <w:rsid w:val="003110CF"/>
    <w:rsid w:val="003122C0"/>
    <w:rsid w:val="003141E3"/>
    <w:rsid w:val="003141F9"/>
    <w:rsid w:val="00314BFD"/>
    <w:rsid w:val="003154A8"/>
    <w:rsid w:val="00321BBA"/>
    <w:rsid w:val="00322747"/>
    <w:rsid w:val="00322E0F"/>
    <w:rsid w:val="0032429F"/>
    <w:rsid w:val="00324964"/>
    <w:rsid w:val="003268B5"/>
    <w:rsid w:val="00327007"/>
    <w:rsid w:val="003271FF"/>
    <w:rsid w:val="00327429"/>
    <w:rsid w:val="00327D5B"/>
    <w:rsid w:val="00330101"/>
    <w:rsid w:val="00332168"/>
    <w:rsid w:val="00332575"/>
    <w:rsid w:val="0033268B"/>
    <w:rsid w:val="0033313B"/>
    <w:rsid w:val="00333A30"/>
    <w:rsid w:val="00333C07"/>
    <w:rsid w:val="0033448B"/>
    <w:rsid w:val="00334E8A"/>
    <w:rsid w:val="00337D01"/>
    <w:rsid w:val="00340A34"/>
    <w:rsid w:val="00340C05"/>
    <w:rsid w:val="0034136D"/>
    <w:rsid w:val="00341C4D"/>
    <w:rsid w:val="003423C9"/>
    <w:rsid w:val="003430E4"/>
    <w:rsid w:val="0034621E"/>
    <w:rsid w:val="003468FB"/>
    <w:rsid w:val="00347F75"/>
    <w:rsid w:val="003501E8"/>
    <w:rsid w:val="0035070E"/>
    <w:rsid w:val="00350E23"/>
    <w:rsid w:val="00352A50"/>
    <w:rsid w:val="00353F8E"/>
    <w:rsid w:val="00354557"/>
    <w:rsid w:val="003547A9"/>
    <w:rsid w:val="0035487B"/>
    <w:rsid w:val="00354BE8"/>
    <w:rsid w:val="00355B9E"/>
    <w:rsid w:val="003565B9"/>
    <w:rsid w:val="00356829"/>
    <w:rsid w:val="00356B55"/>
    <w:rsid w:val="00357A75"/>
    <w:rsid w:val="00357D56"/>
    <w:rsid w:val="00360242"/>
    <w:rsid w:val="0036078D"/>
    <w:rsid w:val="00361BEC"/>
    <w:rsid w:val="00361DFF"/>
    <w:rsid w:val="00361F6D"/>
    <w:rsid w:val="0036212B"/>
    <w:rsid w:val="0036237A"/>
    <w:rsid w:val="00364500"/>
    <w:rsid w:val="0036453C"/>
    <w:rsid w:val="00370B79"/>
    <w:rsid w:val="00370FE3"/>
    <w:rsid w:val="00371943"/>
    <w:rsid w:val="003740BA"/>
    <w:rsid w:val="0037535C"/>
    <w:rsid w:val="00376568"/>
    <w:rsid w:val="00381463"/>
    <w:rsid w:val="00381E8F"/>
    <w:rsid w:val="003830F4"/>
    <w:rsid w:val="00383305"/>
    <w:rsid w:val="00385B07"/>
    <w:rsid w:val="00385CB4"/>
    <w:rsid w:val="00385D75"/>
    <w:rsid w:val="00385F00"/>
    <w:rsid w:val="00386E61"/>
    <w:rsid w:val="00386E91"/>
    <w:rsid w:val="00386FF5"/>
    <w:rsid w:val="00390276"/>
    <w:rsid w:val="003905F2"/>
    <w:rsid w:val="00390AFE"/>
    <w:rsid w:val="00390D4F"/>
    <w:rsid w:val="00390DFF"/>
    <w:rsid w:val="00390EEF"/>
    <w:rsid w:val="00391EFB"/>
    <w:rsid w:val="00391F23"/>
    <w:rsid w:val="00393F7C"/>
    <w:rsid w:val="003965BA"/>
    <w:rsid w:val="00396B85"/>
    <w:rsid w:val="0039759E"/>
    <w:rsid w:val="00397FF7"/>
    <w:rsid w:val="003A08D8"/>
    <w:rsid w:val="003A0B66"/>
    <w:rsid w:val="003A26A5"/>
    <w:rsid w:val="003A2B02"/>
    <w:rsid w:val="003A31A0"/>
    <w:rsid w:val="003A4A3A"/>
    <w:rsid w:val="003A4F03"/>
    <w:rsid w:val="003A523C"/>
    <w:rsid w:val="003A5934"/>
    <w:rsid w:val="003A5B87"/>
    <w:rsid w:val="003A5CB3"/>
    <w:rsid w:val="003A602F"/>
    <w:rsid w:val="003A6842"/>
    <w:rsid w:val="003A782C"/>
    <w:rsid w:val="003A7850"/>
    <w:rsid w:val="003B0A91"/>
    <w:rsid w:val="003B1395"/>
    <w:rsid w:val="003B1809"/>
    <w:rsid w:val="003B195D"/>
    <w:rsid w:val="003B1E07"/>
    <w:rsid w:val="003B1FC9"/>
    <w:rsid w:val="003B2195"/>
    <w:rsid w:val="003B35FE"/>
    <w:rsid w:val="003B450B"/>
    <w:rsid w:val="003B4728"/>
    <w:rsid w:val="003B4853"/>
    <w:rsid w:val="003B4D20"/>
    <w:rsid w:val="003B5F0A"/>
    <w:rsid w:val="003B6CB3"/>
    <w:rsid w:val="003B7F75"/>
    <w:rsid w:val="003C019A"/>
    <w:rsid w:val="003C025C"/>
    <w:rsid w:val="003C0432"/>
    <w:rsid w:val="003C0566"/>
    <w:rsid w:val="003C2A6F"/>
    <w:rsid w:val="003C3D31"/>
    <w:rsid w:val="003C527D"/>
    <w:rsid w:val="003C5617"/>
    <w:rsid w:val="003C5F35"/>
    <w:rsid w:val="003C7953"/>
    <w:rsid w:val="003D0160"/>
    <w:rsid w:val="003D0ADD"/>
    <w:rsid w:val="003D214A"/>
    <w:rsid w:val="003D2454"/>
    <w:rsid w:val="003D2ACB"/>
    <w:rsid w:val="003D42BF"/>
    <w:rsid w:val="003D5F98"/>
    <w:rsid w:val="003D7E39"/>
    <w:rsid w:val="003E372C"/>
    <w:rsid w:val="003E3A9B"/>
    <w:rsid w:val="003E4338"/>
    <w:rsid w:val="003E43D3"/>
    <w:rsid w:val="003E4C75"/>
    <w:rsid w:val="003E4CA4"/>
    <w:rsid w:val="003E576F"/>
    <w:rsid w:val="003E5EA5"/>
    <w:rsid w:val="003E6218"/>
    <w:rsid w:val="003E698A"/>
    <w:rsid w:val="003E6DCF"/>
    <w:rsid w:val="003F092A"/>
    <w:rsid w:val="003F0D12"/>
    <w:rsid w:val="003F0F3D"/>
    <w:rsid w:val="003F0FF9"/>
    <w:rsid w:val="003F2DF4"/>
    <w:rsid w:val="003F339A"/>
    <w:rsid w:val="003F3A84"/>
    <w:rsid w:val="003F4E57"/>
    <w:rsid w:val="003F5E67"/>
    <w:rsid w:val="003F5F86"/>
    <w:rsid w:val="003F6589"/>
    <w:rsid w:val="003F6906"/>
    <w:rsid w:val="003F6A47"/>
    <w:rsid w:val="003F75CC"/>
    <w:rsid w:val="00400203"/>
    <w:rsid w:val="00401416"/>
    <w:rsid w:val="0040201E"/>
    <w:rsid w:val="0040260B"/>
    <w:rsid w:val="0040283E"/>
    <w:rsid w:val="00402B10"/>
    <w:rsid w:val="0040307A"/>
    <w:rsid w:val="00403173"/>
    <w:rsid w:val="004042B5"/>
    <w:rsid w:val="00404384"/>
    <w:rsid w:val="004049E2"/>
    <w:rsid w:val="00404B60"/>
    <w:rsid w:val="00404CD0"/>
    <w:rsid w:val="00404DF3"/>
    <w:rsid w:val="00405E69"/>
    <w:rsid w:val="00406078"/>
    <w:rsid w:val="00407981"/>
    <w:rsid w:val="00407D48"/>
    <w:rsid w:val="00410F0A"/>
    <w:rsid w:val="004113CD"/>
    <w:rsid w:val="0041159A"/>
    <w:rsid w:val="004124ED"/>
    <w:rsid w:val="004132C0"/>
    <w:rsid w:val="004137B2"/>
    <w:rsid w:val="004141B3"/>
    <w:rsid w:val="00416196"/>
    <w:rsid w:val="00417606"/>
    <w:rsid w:val="0041768B"/>
    <w:rsid w:val="0042006D"/>
    <w:rsid w:val="004202B2"/>
    <w:rsid w:val="00421979"/>
    <w:rsid w:val="0042251A"/>
    <w:rsid w:val="0042347F"/>
    <w:rsid w:val="0042497D"/>
    <w:rsid w:val="00425591"/>
    <w:rsid w:val="00426304"/>
    <w:rsid w:val="0042649D"/>
    <w:rsid w:val="004268C1"/>
    <w:rsid w:val="00426A39"/>
    <w:rsid w:val="004270C1"/>
    <w:rsid w:val="00430230"/>
    <w:rsid w:val="00430F59"/>
    <w:rsid w:val="004322F8"/>
    <w:rsid w:val="00432853"/>
    <w:rsid w:val="00432C2A"/>
    <w:rsid w:val="0043311A"/>
    <w:rsid w:val="00433606"/>
    <w:rsid w:val="0043541C"/>
    <w:rsid w:val="00435D96"/>
    <w:rsid w:val="004364CA"/>
    <w:rsid w:val="004377EF"/>
    <w:rsid w:val="00437F16"/>
    <w:rsid w:val="004403D1"/>
    <w:rsid w:val="00441084"/>
    <w:rsid w:val="00441B17"/>
    <w:rsid w:val="004426DF"/>
    <w:rsid w:val="00443913"/>
    <w:rsid w:val="00443964"/>
    <w:rsid w:val="00443965"/>
    <w:rsid w:val="00443A14"/>
    <w:rsid w:val="00444621"/>
    <w:rsid w:val="004453C8"/>
    <w:rsid w:val="00445552"/>
    <w:rsid w:val="004457AF"/>
    <w:rsid w:val="00445D66"/>
    <w:rsid w:val="004474EA"/>
    <w:rsid w:val="00451051"/>
    <w:rsid w:val="004517C0"/>
    <w:rsid w:val="0045261D"/>
    <w:rsid w:val="00452F6A"/>
    <w:rsid w:val="00452F8F"/>
    <w:rsid w:val="00453B30"/>
    <w:rsid w:val="0045462C"/>
    <w:rsid w:val="00454C5B"/>
    <w:rsid w:val="00454C5F"/>
    <w:rsid w:val="00455536"/>
    <w:rsid w:val="00455EB0"/>
    <w:rsid w:val="004567E0"/>
    <w:rsid w:val="0045696D"/>
    <w:rsid w:val="00456B9B"/>
    <w:rsid w:val="004575A1"/>
    <w:rsid w:val="00463516"/>
    <w:rsid w:val="00465685"/>
    <w:rsid w:val="00465EC7"/>
    <w:rsid w:val="004660D7"/>
    <w:rsid w:val="0046616A"/>
    <w:rsid w:val="00466FD5"/>
    <w:rsid w:val="00467A2C"/>
    <w:rsid w:val="004708B1"/>
    <w:rsid w:val="00470B82"/>
    <w:rsid w:val="00471293"/>
    <w:rsid w:val="0047394D"/>
    <w:rsid w:val="004747B1"/>
    <w:rsid w:val="00475C51"/>
    <w:rsid w:val="00476132"/>
    <w:rsid w:val="004767BB"/>
    <w:rsid w:val="004771ED"/>
    <w:rsid w:val="0047763B"/>
    <w:rsid w:val="004800FE"/>
    <w:rsid w:val="00481072"/>
    <w:rsid w:val="004818CE"/>
    <w:rsid w:val="00482557"/>
    <w:rsid w:val="004826AB"/>
    <w:rsid w:val="0048376D"/>
    <w:rsid w:val="00483898"/>
    <w:rsid w:val="00483B5C"/>
    <w:rsid w:val="00483D23"/>
    <w:rsid w:val="00484071"/>
    <w:rsid w:val="00484655"/>
    <w:rsid w:val="00485A81"/>
    <w:rsid w:val="00485E34"/>
    <w:rsid w:val="00485F1E"/>
    <w:rsid w:val="00486726"/>
    <w:rsid w:val="00486D51"/>
    <w:rsid w:val="00490DA0"/>
    <w:rsid w:val="00490E51"/>
    <w:rsid w:val="004919F6"/>
    <w:rsid w:val="0049233C"/>
    <w:rsid w:val="00492F9D"/>
    <w:rsid w:val="00494E6B"/>
    <w:rsid w:val="0049618A"/>
    <w:rsid w:val="00497619"/>
    <w:rsid w:val="004977DE"/>
    <w:rsid w:val="00497A60"/>
    <w:rsid w:val="00497D76"/>
    <w:rsid w:val="00497E17"/>
    <w:rsid w:val="004A0E83"/>
    <w:rsid w:val="004A16CC"/>
    <w:rsid w:val="004A25AF"/>
    <w:rsid w:val="004A3008"/>
    <w:rsid w:val="004A33CA"/>
    <w:rsid w:val="004A3D47"/>
    <w:rsid w:val="004A43E6"/>
    <w:rsid w:val="004A541B"/>
    <w:rsid w:val="004A622F"/>
    <w:rsid w:val="004B0511"/>
    <w:rsid w:val="004B0FC1"/>
    <w:rsid w:val="004B122E"/>
    <w:rsid w:val="004B2D38"/>
    <w:rsid w:val="004B42F1"/>
    <w:rsid w:val="004B496D"/>
    <w:rsid w:val="004B575D"/>
    <w:rsid w:val="004B5A8F"/>
    <w:rsid w:val="004B609A"/>
    <w:rsid w:val="004B6216"/>
    <w:rsid w:val="004B69CD"/>
    <w:rsid w:val="004B6EDF"/>
    <w:rsid w:val="004B7B98"/>
    <w:rsid w:val="004C0086"/>
    <w:rsid w:val="004C0146"/>
    <w:rsid w:val="004C0D3E"/>
    <w:rsid w:val="004C1C13"/>
    <w:rsid w:val="004C22B9"/>
    <w:rsid w:val="004C2D82"/>
    <w:rsid w:val="004C3210"/>
    <w:rsid w:val="004C32EA"/>
    <w:rsid w:val="004C3660"/>
    <w:rsid w:val="004C439C"/>
    <w:rsid w:val="004C541A"/>
    <w:rsid w:val="004C5F6B"/>
    <w:rsid w:val="004C623E"/>
    <w:rsid w:val="004C73B2"/>
    <w:rsid w:val="004D2741"/>
    <w:rsid w:val="004D3104"/>
    <w:rsid w:val="004D3EA7"/>
    <w:rsid w:val="004D3F53"/>
    <w:rsid w:val="004D47DA"/>
    <w:rsid w:val="004D51F9"/>
    <w:rsid w:val="004D52C0"/>
    <w:rsid w:val="004D573C"/>
    <w:rsid w:val="004D5B33"/>
    <w:rsid w:val="004D626A"/>
    <w:rsid w:val="004D6DB0"/>
    <w:rsid w:val="004D75CA"/>
    <w:rsid w:val="004D7BC8"/>
    <w:rsid w:val="004E0028"/>
    <w:rsid w:val="004E0904"/>
    <w:rsid w:val="004E1129"/>
    <w:rsid w:val="004E1ED9"/>
    <w:rsid w:val="004E269A"/>
    <w:rsid w:val="004E2AC3"/>
    <w:rsid w:val="004E32CA"/>
    <w:rsid w:val="004E4C9B"/>
    <w:rsid w:val="004F0300"/>
    <w:rsid w:val="004F0690"/>
    <w:rsid w:val="004F1629"/>
    <w:rsid w:val="004F24E7"/>
    <w:rsid w:val="004F52B8"/>
    <w:rsid w:val="004F575A"/>
    <w:rsid w:val="004F768A"/>
    <w:rsid w:val="004F7886"/>
    <w:rsid w:val="005000AD"/>
    <w:rsid w:val="00500EDE"/>
    <w:rsid w:val="0050384F"/>
    <w:rsid w:val="00505318"/>
    <w:rsid w:val="005056BC"/>
    <w:rsid w:val="00505A2F"/>
    <w:rsid w:val="00505AD3"/>
    <w:rsid w:val="005072BA"/>
    <w:rsid w:val="005077D1"/>
    <w:rsid w:val="00510DB4"/>
    <w:rsid w:val="00510F2E"/>
    <w:rsid w:val="00512020"/>
    <w:rsid w:val="00512998"/>
    <w:rsid w:val="00515FA9"/>
    <w:rsid w:val="00517865"/>
    <w:rsid w:val="00517D2E"/>
    <w:rsid w:val="005200D1"/>
    <w:rsid w:val="0052034A"/>
    <w:rsid w:val="005209D3"/>
    <w:rsid w:val="005214B3"/>
    <w:rsid w:val="00522308"/>
    <w:rsid w:val="0052283E"/>
    <w:rsid w:val="00522E04"/>
    <w:rsid w:val="005230E4"/>
    <w:rsid w:val="005239F2"/>
    <w:rsid w:val="0052548D"/>
    <w:rsid w:val="005256A5"/>
    <w:rsid w:val="00525A59"/>
    <w:rsid w:val="005276F5"/>
    <w:rsid w:val="00527BA6"/>
    <w:rsid w:val="0053086A"/>
    <w:rsid w:val="0053094E"/>
    <w:rsid w:val="005311EE"/>
    <w:rsid w:val="00531267"/>
    <w:rsid w:val="00531354"/>
    <w:rsid w:val="0053177C"/>
    <w:rsid w:val="0053241A"/>
    <w:rsid w:val="00532B74"/>
    <w:rsid w:val="00534B7E"/>
    <w:rsid w:val="0053536B"/>
    <w:rsid w:val="00535521"/>
    <w:rsid w:val="005400E2"/>
    <w:rsid w:val="00540A26"/>
    <w:rsid w:val="00540FF8"/>
    <w:rsid w:val="00541026"/>
    <w:rsid w:val="0054276D"/>
    <w:rsid w:val="00542C03"/>
    <w:rsid w:val="00542CB9"/>
    <w:rsid w:val="005435D8"/>
    <w:rsid w:val="00543A7E"/>
    <w:rsid w:val="00545941"/>
    <w:rsid w:val="00545958"/>
    <w:rsid w:val="00545BDE"/>
    <w:rsid w:val="00546F41"/>
    <w:rsid w:val="0054768C"/>
    <w:rsid w:val="00547943"/>
    <w:rsid w:val="005507DD"/>
    <w:rsid w:val="00550F19"/>
    <w:rsid w:val="005517F6"/>
    <w:rsid w:val="00551B45"/>
    <w:rsid w:val="0055236E"/>
    <w:rsid w:val="0055238E"/>
    <w:rsid w:val="00552ABF"/>
    <w:rsid w:val="00552DDB"/>
    <w:rsid w:val="005530AA"/>
    <w:rsid w:val="005539C3"/>
    <w:rsid w:val="00554A42"/>
    <w:rsid w:val="00555590"/>
    <w:rsid w:val="00556B1E"/>
    <w:rsid w:val="00556DF3"/>
    <w:rsid w:val="00557A60"/>
    <w:rsid w:val="00557B65"/>
    <w:rsid w:val="00560259"/>
    <w:rsid w:val="00563601"/>
    <w:rsid w:val="00564108"/>
    <w:rsid w:val="005646A3"/>
    <w:rsid w:val="005647BA"/>
    <w:rsid w:val="00564A16"/>
    <w:rsid w:val="0056514C"/>
    <w:rsid w:val="005651E5"/>
    <w:rsid w:val="0056611D"/>
    <w:rsid w:val="00570226"/>
    <w:rsid w:val="00571290"/>
    <w:rsid w:val="005715D9"/>
    <w:rsid w:val="005716B9"/>
    <w:rsid w:val="00571CF8"/>
    <w:rsid w:val="00571D6A"/>
    <w:rsid w:val="00571FA2"/>
    <w:rsid w:val="00572579"/>
    <w:rsid w:val="00572BED"/>
    <w:rsid w:val="005746F2"/>
    <w:rsid w:val="00574873"/>
    <w:rsid w:val="00575BD6"/>
    <w:rsid w:val="00576040"/>
    <w:rsid w:val="005762F4"/>
    <w:rsid w:val="00576397"/>
    <w:rsid w:val="00576B2D"/>
    <w:rsid w:val="005772AD"/>
    <w:rsid w:val="00577A22"/>
    <w:rsid w:val="00577E10"/>
    <w:rsid w:val="00580ED2"/>
    <w:rsid w:val="00580FBF"/>
    <w:rsid w:val="005810C7"/>
    <w:rsid w:val="00581AEE"/>
    <w:rsid w:val="00581F67"/>
    <w:rsid w:val="005826BF"/>
    <w:rsid w:val="005834AE"/>
    <w:rsid w:val="00583864"/>
    <w:rsid w:val="00584668"/>
    <w:rsid w:val="00585328"/>
    <w:rsid w:val="00585D42"/>
    <w:rsid w:val="00585D7E"/>
    <w:rsid w:val="00586C3A"/>
    <w:rsid w:val="0058777A"/>
    <w:rsid w:val="00587D08"/>
    <w:rsid w:val="00587D83"/>
    <w:rsid w:val="0059137A"/>
    <w:rsid w:val="00591BE7"/>
    <w:rsid w:val="00592E2A"/>
    <w:rsid w:val="0059319C"/>
    <w:rsid w:val="0059697B"/>
    <w:rsid w:val="005969B5"/>
    <w:rsid w:val="0059757E"/>
    <w:rsid w:val="00597E08"/>
    <w:rsid w:val="005A0C2F"/>
    <w:rsid w:val="005A1BFD"/>
    <w:rsid w:val="005A1CDB"/>
    <w:rsid w:val="005A46CB"/>
    <w:rsid w:val="005A486B"/>
    <w:rsid w:val="005A677D"/>
    <w:rsid w:val="005A67DB"/>
    <w:rsid w:val="005A69CB"/>
    <w:rsid w:val="005A6BFB"/>
    <w:rsid w:val="005A6F4E"/>
    <w:rsid w:val="005A6F5F"/>
    <w:rsid w:val="005A77A8"/>
    <w:rsid w:val="005B0478"/>
    <w:rsid w:val="005B21BC"/>
    <w:rsid w:val="005B3FEA"/>
    <w:rsid w:val="005B5A85"/>
    <w:rsid w:val="005B5E08"/>
    <w:rsid w:val="005B61EC"/>
    <w:rsid w:val="005B6824"/>
    <w:rsid w:val="005B69C7"/>
    <w:rsid w:val="005B6C45"/>
    <w:rsid w:val="005C0116"/>
    <w:rsid w:val="005C061E"/>
    <w:rsid w:val="005C07C4"/>
    <w:rsid w:val="005C1963"/>
    <w:rsid w:val="005C2925"/>
    <w:rsid w:val="005C31F1"/>
    <w:rsid w:val="005C494D"/>
    <w:rsid w:val="005C5676"/>
    <w:rsid w:val="005C5EC9"/>
    <w:rsid w:val="005C60F7"/>
    <w:rsid w:val="005C63F6"/>
    <w:rsid w:val="005C64CC"/>
    <w:rsid w:val="005D0298"/>
    <w:rsid w:val="005D0C73"/>
    <w:rsid w:val="005D12F6"/>
    <w:rsid w:val="005D1369"/>
    <w:rsid w:val="005D1BC2"/>
    <w:rsid w:val="005D20F4"/>
    <w:rsid w:val="005D38EF"/>
    <w:rsid w:val="005D450B"/>
    <w:rsid w:val="005D4939"/>
    <w:rsid w:val="005D5479"/>
    <w:rsid w:val="005D5E44"/>
    <w:rsid w:val="005D6A46"/>
    <w:rsid w:val="005D6C6A"/>
    <w:rsid w:val="005D7823"/>
    <w:rsid w:val="005D7ADC"/>
    <w:rsid w:val="005E10E7"/>
    <w:rsid w:val="005E14F5"/>
    <w:rsid w:val="005E2292"/>
    <w:rsid w:val="005E55D0"/>
    <w:rsid w:val="005E5701"/>
    <w:rsid w:val="005E63A7"/>
    <w:rsid w:val="005E6539"/>
    <w:rsid w:val="005E7AB4"/>
    <w:rsid w:val="005F0A79"/>
    <w:rsid w:val="005F1125"/>
    <w:rsid w:val="005F16FC"/>
    <w:rsid w:val="005F24F3"/>
    <w:rsid w:val="005F3729"/>
    <w:rsid w:val="005F4E6F"/>
    <w:rsid w:val="005F4E72"/>
    <w:rsid w:val="005F5672"/>
    <w:rsid w:val="0060046F"/>
    <w:rsid w:val="00600733"/>
    <w:rsid w:val="006008BA"/>
    <w:rsid w:val="00601C67"/>
    <w:rsid w:val="006065C6"/>
    <w:rsid w:val="0060702D"/>
    <w:rsid w:val="00607B0C"/>
    <w:rsid w:val="00607E17"/>
    <w:rsid w:val="00607F48"/>
    <w:rsid w:val="00610035"/>
    <w:rsid w:val="0061077B"/>
    <w:rsid w:val="00610D9F"/>
    <w:rsid w:val="0061151E"/>
    <w:rsid w:val="00611E5F"/>
    <w:rsid w:val="0061215D"/>
    <w:rsid w:val="00612A88"/>
    <w:rsid w:val="006152F9"/>
    <w:rsid w:val="00615D7F"/>
    <w:rsid w:val="00616410"/>
    <w:rsid w:val="00617181"/>
    <w:rsid w:val="0061755B"/>
    <w:rsid w:val="006176B5"/>
    <w:rsid w:val="00620A41"/>
    <w:rsid w:val="0062100F"/>
    <w:rsid w:val="00621225"/>
    <w:rsid w:val="00621D9E"/>
    <w:rsid w:val="00622D23"/>
    <w:rsid w:val="006234C0"/>
    <w:rsid w:val="006239B3"/>
    <w:rsid w:val="006241AB"/>
    <w:rsid w:val="0062471E"/>
    <w:rsid w:val="00624A5A"/>
    <w:rsid w:val="0062597C"/>
    <w:rsid w:val="006260E4"/>
    <w:rsid w:val="006262B1"/>
    <w:rsid w:val="00626C5A"/>
    <w:rsid w:val="0062791F"/>
    <w:rsid w:val="0063108A"/>
    <w:rsid w:val="006311B6"/>
    <w:rsid w:val="0063137F"/>
    <w:rsid w:val="006314B6"/>
    <w:rsid w:val="0063158A"/>
    <w:rsid w:val="00633162"/>
    <w:rsid w:val="00634E05"/>
    <w:rsid w:val="00635143"/>
    <w:rsid w:val="00635DCA"/>
    <w:rsid w:val="0063639F"/>
    <w:rsid w:val="00636BF5"/>
    <w:rsid w:val="00640E91"/>
    <w:rsid w:val="00641F71"/>
    <w:rsid w:val="0064321A"/>
    <w:rsid w:val="00643528"/>
    <w:rsid w:val="0064432A"/>
    <w:rsid w:val="00644B42"/>
    <w:rsid w:val="00645DC1"/>
    <w:rsid w:val="00646684"/>
    <w:rsid w:val="00651486"/>
    <w:rsid w:val="00651A4B"/>
    <w:rsid w:val="00652708"/>
    <w:rsid w:val="006528C8"/>
    <w:rsid w:val="006548F0"/>
    <w:rsid w:val="006554B4"/>
    <w:rsid w:val="0065633C"/>
    <w:rsid w:val="0065659A"/>
    <w:rsid w:val="00657B9C"/>
    <w:rsid w:val="006601F5"/>
    <w:rsid w:val="006602C5"/>
    <w:rsid w:val="00660473"/>
    <w:rsid w:val="006605C5"/>
    <w:rsid w:val="006608C9"/>
    <w:rsid w:val="006616FE"/>
    <w:rsid w:val="00661F4B"/>
    <w:rsid w:val="0066285C"/>
    <w:rsid w:val="006637FC"/>
    <w:rsid w:val="006638C7"/>
    <w:rsid w:val="00665335"/>
    <w:rsid w:val="006658DF"/>
    <w:rsid w:val="00665C9C"/>
    <w:rsid w:val="00665CCA"/>
    <w:rsid w:val="00665D14"/>
    <w:rsid w:val="00665D2C"/>
    <w:rsid w:val="00667A5A"/>
    <w:rsid w:val="00667D55"/>
    <w:rsid w:val="00671A90"/>
    <w:rsid w:val="00672215"/>
    <w:rsid w:val="00672A35"/>
    <w:rsid w:val="006748FD"/>
    <w:rsid w:val="00674A7A"/>
    <w:rsid w:val="006775E3"/>
    <w:rsid w:val="0068054C"/>
    <w:rsid w:val="00681132"/>
    <w:rsid w:val="006815CB"/>
    <w:rsid w:val="00681C11"/>
    <w:rsid w:val="006823CA"/>
    <w:rsid w:val="006824DA"/>
    <w:rsid w:val="00682A2F"/>
    <w:rsid w:val="00682EB9"/>
    <w:rsid w:val="00683B6E"/>
    <w:rsid w:val="00683CAF"/>
    <w:rsid w:val="00684A00"/>
    <w:rsid w:val="00684AB3"/>
    <w:rsid w:val="00685CB8"/>
    <w:rsid w:val="00686195"/>
    <w:rsid w:val="00686512"/>
    <w:rsid w:val="00686BB3"/>
    <w:rsid w:val="00686D9D"/>
    <w:rsid w:val="00687325"/>
    <w:rsid w:val="00690D3F"/>
    <w:rsid w:val="006918EE"/>
    <w:rsid w:val="00691E0D"/>
    <w:rsid w:val="00693644"/>
    <w:rsid w:val="0069569F"/>
    <w:rsid w:val="006972C9"/>
    <w:rsid w:val="00697D73"/>
    <w:rsid w:val="006A1782"/>
    <w:rsid w:val="006A1ED6"/>
    <w:rsid w:val="006A33DB"/>
    <w:rsid w:val="006A35EC"/>
    <w:rsid w:val="006A3A99"/>
    <w:rsid w:val="006A50FB"/>
    <w:rsid w:val="006A5710"/>
    <w:rsid w:val="006A58A1"/>
    <w:rsid w:val="006A61E9"/>
    <w:rsid w:val="006A697D"/>
    <w:rsid w:val="006A6EE2"/>
    <w:rsid w:val="006B001A"/>
    <w:rsid w:val="006B2684"/>
    <w:rsid w:val="006B3375"/>
    <w:rsid w:val="006B3AC9"/>
    <w:rsid w:val="006B49B8"/>
    <w:rsid w:val="006B595B"/>
    <w:rsid w:val="006B6B38"/>
    <w:rsid w:val="006B6FF5"/>
    <w:rsid w:val="006B7227"/>
    <w:rsid w:val="006B7523"/>
    <w:rsid w:val="006C0075"/>
    <w:rsid w:val="006C054E"/>
    <w:rsid w:val="006C05A2"/>
    <w:rsid w:val="006C0B54"/>
    <w:rsid w:val="006C0E9C"/>
    <w:rsid w:val="006C12DD"/>
    <w:rsid w:val="006C1558"/>
    <w:rsid w:val="006C1A1D"/>
    <w:rsid w:val="006C1A6F"/>
    <w:rsid w:val="006C3D93"/>
    <w:rsid w:val="006C464C"/>
    <w:rsid w:val="006C4A9F"/>
    <w:rsid w:val="006D053C"/>
    <w:rsid w:val="006D1164"/>
    <w:rsid w:val="006D1ABD"/>
    <w:rsid w:val="006D1FCD"/>
    <w:rsid w:val="006D240B"/>
    <w:rsid w:val="006D2FA6"/>
    <w:rsid w:val="006D31FA"/>
    <w:rsid w:val="006D3632"/>
    <w:rsid w:val="006D3DAD"/>
    <w:rsid w:val="006D564F"/>
    <w:rsid w:val="006D6153"/>
    <w:rsid w:val="006D66C5"/>
    <w:rsid w:val="006D7992"/>
    <w:rsid w:val="006E00A3"/>
    <w:rsid w:val="006E1158"/>
    <w:rsid w:val="006E197C"/>
    <w:rsid w:val="006E240E"/>
    <w:rsid w:val="006E32D0"/>
    <w:rsid w:val="006E502B"/>
    <w:rsid w:val="006E63B8"/>
    <w:rsid w:val="006E6627"/>
    <w:rsid w:val="006E7F1F"/>
    <w:rsid w:val="006F0963"/>
    <w:rsid w:val="006F13A9"/>
    <w:rsid w:val="006F37FC"/>
    <w:rsid w:val="006F39A0"/>
    <w:rsid w:val="006F3FBB"/>
    <w:rsid w:val="006F4145"/>
    <w:rsid w:val="006F56ED"/>
    <w:rsid w:val="006F59E6"/>
    <w:rsid w:val="006F6C1B"/>
    <w:rsid w:val="006F754E"/>
    <w:rsid w:val="006F7F8F"/>
    <w:rsid w:val="0070017B"/>
    <w:rsid w:val="00700835"/>
    <w:rsid w:val="007022C2"/>
    <w:rsid w:val="00704739"/>
    <w:rsid w:val="00704772"/>
    <w:rsid w:val="0070496F"/>
    <w:rsid w:val="0070497B"/>
    <w:rsid w:val="007058E2"/>
    <w:rsid w:val="0070598D"/>
    <w:rsid w:val="00706598"/>
    <w:rsid w:val="007068B6"/>
    <w:rsid w:val="00710084"/>
    <w:rsid w:val="0071015E"/>
    <w:rsid w:val="00711835"/>
    <w:rsid w:val="007125B8"/>
    <w:rsid w:val="007134CA"/>
    <w:rsid w:val="00714010"/>
    <w:rsid w:val="00714F64"/>
    <w:rsid w:val="00716BA1"/>
    <w:rsid w:val="00720922"/>
    <w:rsid w:val="00720BB9"/>
    <w:rsid w:val="007217E4"/>
    <w:rsid w:val="00722252"/>
    <w:rsid w:val="00722535"/>
    <w:rsid w:val="00722775"/>
    <w:rsid w:val="00723DF4"/>
    <w:rsid w:val="0072582D"/>
    <w:rsid w:val="00725865"/>
    <w:rsid w:val="00725D78"/>
    <w:rsid w:val="00727030"/>
    <w:rsid w:val="00727B1F"/>
    <w:rsid w:val="007303F0"/>
    <w:rsid w:val="0073090C"/>
    <w:rsid w:val="00730D61"/>
    <w:rsid w:val="00731466"/>
    <w:rsid w:val="007315CF"/>
    <w:rsid w:val="00731B2B"/>
    <w:rsid w:val="00732182"/>
    <w:rsid w:val="0073274C"/>
    <w:rsid w:val="00732CAA"/>
    <w:rsid w:val="00732CC8"/>
    <w:rsid w:val="00733ABA"/>
    <w:rsid w:val="00733E5F"/>
    <w:rsid w:val="0073556C"/>
    <w:rsid w:val="007376B4"/>
    <w:rsid w:val="007402BB"/>
    <w:rsid w:val="0074032B"/>
    <w:rsid w:val="00740B24"/>
    <w:rsid w:val="00740E18"/>
    <w:rsid w:val="0074109F"/>
    <w:rsid w:val="00742A36"/>
    <w:rsid w:val="00742C80"/>
    <w:rsid w:val="007430B8"/>
    <w:rsid w:val="00743499"/>
    <w:rsid w:val="0074350A"/>
    <w:rsid w:val="00743806"/>
    <w:rsid w:val="00744FC9"/>
    <w:rsid w:val="0074592E"/>
    <w:rsid w:val="007477F8"/>
    <w:rsid w:val="007510CA"/>
    <w:rsid w:val="00751530"/>
    <w:rsid w:val="0075228D"/>
    <w:rsid w:val="0075255C"/>
    <w:rsid w:val="007525D5"/>
    <w:rsid w:val="0075347A"/>
    <w:rsid w:val="0075401F"/>
    <w:rsid w:val="00754532"/>
    <w:rsid w:val="007557F0"/>
    <w:rsid w:val="007560AB"/>
    <w:rsid w:val="00756676"/>
    <w:rsid w:val="00756744"/>
    <w:rsid w:val="00756F16"/>
    <w:rsid w:val="00757047"/>
    <w:rsid w:val="00760260"/>
    <w:rsid w:val="00760DBD"/>
    <w:rsid w:val="00761094"/>
    <w:rsid w:val="00761C4D"/>
    <w:rsid w:val="00761EBE"/>
    <w:rsid w:val="00762423"/>
    <w:rsid w:val="007633DD"/>
    <w:rsid w:val="00763DB3"/>
    <w:rsid w:val="007647C9"/>
    <w:rsid w:val="00764E8B"/>
    <w:rsid w:val="00766094"/>
    <w:rsid w:val="00766C78"/>
    <w:rsid w:val="00767243"/>
    <w:rsid w:val="00770158"/>
    <w:rsid w:val="0077121C"/>
    <w:rsid w:val="007735B1"/>
    <w:rsid w:val="00773B42"/>
    <w:rsid w:val="00773FAC"/>
    <w:rsid w:val="00774605"/>
    <w:rsid w:val="00774A41"/>
    <w:rsid w:val="007752C5"/>
    <w:rsid w:val="00775382"/>
    <w:rsid w:val="00776260"/>
    <w:rsid w:val="00776814"/>
    <w:rsid w:val="0078005C"/>
    <w:rsid w:val="00780670"/>
    <w:rsid w:val="00781149"/>
    <w:rsid w:val="0078115B"/>
    <w:rsid w:val="00782177"/>
    <w:rsid w:val="007824B5"/>
    <w:rsid w:val="007829D0"/>
    <w:rsid w:val="00785E71"/>
    <w:rsid w:val="00786C4B"/>
    <w:rsid w:val="00787235"/>
    <w:rsid w:val="00790866"/>
    <w:rsid w:val="0079087D"/>
    <w:rsid w:val="007911EB"/>
    <w:rsid w:val="007916FF"/>
    <w:rsid w:val="00792405"/>
    <w:rsid w:val="00792AD3"/>
    <w:rsid w:val="00793D9A"/>
    <w:rsid w:val="00793F29"/>
    <w:rsid w:val="007943CD"/>
    <w:rsid w:val="007945FE"/>
    <w:rsid w:val="007947CC"/>
    <w:rsid w:val="00794ACC"/>
    <w:rsid w:val="00795D7F"/>
    <w:rsid w:val="007A0E88"/>
    <w:rsid w:val="007A22FF"/>
    <w:rsid w:val="007A346B"/>
    <w:rsid w:val="007A3D74"/>
    <w:rsid w:val="007A4299"/>
    <w:rsid w:val="007A4331"/>
    <w:rsid w:val="007A5408"/>
    <w:rsid w:val="007A5E41"/>
    <w:rsid w:val="007A6790"/>
    <w:rsid w:val="007A6AE5"/>
    <w:rsid w:val="007A6F29"/>
    <w:rsid w:val="007B2036"/>
    <w:rsid w:val="007B3443"/>
    <w:rsid w:val="007B3696"/>
    <w:rsid w:val="007B3957"/>
    <w:rsid w:val="007B5491"/>
    <w:rsid w:val="007C0411"/>
    <w:rsid w:val="007C0EF4"/>
    <w:rsid w:val="007C1008"/>
    <w:rsid w:val="007C10B3"/>
    <w:rsid w:val="007C17C0"/>
    <w:rsid w:val="007C1EB3"/>
    <w:rsid w:val="007C5FAE"/>
    <w:rsid w:val="007C6052"/>
    <w:rsid w:val="007C624B"/>
    <w:rsid w:val="007C6C4A"/>
    <w:rsid w:val="007C7E49"/>
    <w:rsid w:val="007D01C5"/>
    <w:rsid w:val="007D022F"/>
    <w:rsid w:val="007D050B"/>
    <w:rsid w:val="007D0DD2"/>
    <w:rsid w:val="007D2144"/>
    <w:rsid w:val="007D2E1C"/>
    <w:rsid w:val="007D4018"/>
    <w:rsid w:val="007D407B"/>
    <w:rsid w:val="007D449C"/>
    <w:rsid w:val="007D4E17"/>
    <w:rsid w:val="007D51DB"/>
    <w:rsid w:val="007D7372"/>
    <w:rsid w:val="007D73F8"/>
    <w:rsid w:val="007D7DB8"/>
    <w:rsid w:val="007D7EB0"/>
    <w:rsid w:val="007E23CD"/>
    <w:rsid w:val="007E3DBC"/>
    <w:rsid w:val="007E4088"/>
    <w:rsid w:val="007E4235"/>
    <w:rsid w:val="007E44E9"/>
    <w:rsid w:val="007E4758"/>
    <w:rsid w:val="007E515D"/>
    <w:rsid w:val="007E541B"/>
    <w:rsid w:val="007E5EDD"/>
    <w:rsid w:val="007E715B"/>
    <w:rsid w:val="007E78F3"/>
    <w:rsid w:val="007E7D97"/>
    <w:rsid w:val="007F1196"/>
    <w:rsid w:val="007F12E6"/>
    <w:rsid w:val="007F272D"/>
    <w:rsid w:val="007F31F1"/>
    <w:rsid w:val="007F48A1"/>
    <w:rsid w:val="007F5186"/>
    <w:rsid w:val="007F66C4"/>
    <w:rsid w:val="007F68E1"/>
    <w:rsid w:val="007F70C3"/>
    <w:rsid w:val="007F739A"/>
    <w:rsid w:val="0080021C"/>
    <w:rsid w:val="0080053C"/>
    <w:rsid w:val="00800DC3"/>
    <w:rsid w:val="00801BF5"/>
    <w:rsid w:val="00802A1B"/>
    <w:rsid w:val="00802E1A"/>
    <w:rsid w:val="00803355"/>
    <w:rsid w:val="00803B95"/>
    <w:rsid w:val="008051EC"/>
    <w:rsid w:val="00805EB3"/>
    <w:rsid w:val="008066D9"/>
    <w:rsid w:val="0080686B"/>
    <w:rsid w:val="00806949"/>
    <w:rsid w:val="00806C2A"/>
    <w:rsid w:val="008078DA"/>
    <w:rsid w:val="00807AA9"/>
    <w:rsid w:val="00810E27"/>
    <w:rsid w:val="00811552"/>
    <w:rsid w:val="00811C13"/>
    <w:rsid w:val="00811D7C"/>
    <w:rsid w:val="00812171"/>
    <w:rsid w:val="00812206"/>
    <w:rsid w:val="00812390"/>
    <w:rsid w:val="008130DD"/>
    <w:rsid w:val="00813C2F"/>
    <w:rsid w:val="0081496F"/>
    <w:rsid w:val="00814E79"/>
    <w:rsid w:val="008150FA"/>
    <w:rsid w:val="008156BE"/>
    <w:rsid w:val="00815D04"/>
    <w:rsid w:val="00816360"/>
    <w:rsid w:val="00817499"/>
    <w:rsid w:val="00817D36"/>
    <w:rsid w:val="00817E25"/>
    <w:rsid w:val="00821C35"/>
    <w:rsid w:val="00821FB6"/>
    <w:rsid w:val="0082215A"/>
    <w:rsid w:val="00822B4F"/>
    <w:rsid w:val="0082359E"/>
    <w:rsid w:val="00824571"/>
    <w:rsid w:val="00824703"/>
    <w:rsid w:val="0082533A"/>
    <w:rsid w:val="008253D5"/>
    <w:rsid w:val="00825959"/>
    <w:rsid w:val="00826380"/>
    <w:rsid w:val="0082741B"/>
    <w:rsid w:val="00827A8D"/>
    <w:rsid w:val="008304FB"/>
    <w:rsid w:val="00830715"/>
    <w:rsid w:val="00832914"/>
    <w:rsid w:val="00832EDB"/>
    <w:rsid w:val="0083479A"/>
    <w:rsid w:val="00834828"/>
    <w:rsid w:val="0083508C"/>
    <w:rsid w:val="00835E18"/>
    <w:rsid w:val="00836146"/>
    <w:rsid w:val="0083693F"/>
    <w:rsid w:val="00837046"/>
    <w:rsid w:val="00837F6B"/>
    <w:rsid w:val="008416E8"/>
    <w:rsid w:val="008420B2"/>
    <w:rsid w:val="00843CA1"/>
    <w:rsid w:val="00843D8E"/>
    <w:rsid w:val="00844018"/>
    <w:rsid w:val="00844B57"/>
    <w:rsid w:val="00844D83"/>
    <w:rsid w:val="0084555C"/>
    <w:rsid w:val="008457EF"/>
    <w:rsid w:val="008461CE"/>
    <w:rsid w:val="00846DA9"/>
    <w:rsid w:val="008479D2"/>
    <w:rsid w:val="00847B55"/>
    <w:rsid w:val="00850298"/>
    <w:rsid w:val="008504C5"/>
    <w:rsid w:val="0085231F"/>
    <w:rsid w:val="008523BE"/>
    <w:rsid w:val="00855750"/>
    <w:rsid w:val="008557D9"/>
    <w:rsid w:val="008557E8"/>
    <w:rsid w:val="008558DC"/>
    <w:rsid w:val="00855AF7"/>
    <w:rsid w:val="00856560"/>
    <w:rsid w:val="008575B3"/>
    <w:rsid w:val="00861AC0"/>
    <w:rsid w:val="00861D5C"/>
    <w:rsid w:val="00862A5E"/>
    <w:rsid w:val="00863036"/>
    <w:rsid w:val="00863264"/>
    <w:rsid w:val="008634B7"/>
    <w:rsid w:val="0086377D"/>
    <w:rsid w:val="00863B63"/>
    <w:rsid w:val="008642F4"/>
    <w:rsid w:val="008649FD"/>
    <w:rsid w:val="008656D7"/>
    <w:rsid w:val="00865DC3"/>
    <w:rsid w:val="00866BDC"/>
    <w:rsid w:val="00867112"/>
    <w:rsid w:val="0086793B"/>
    <w:rsid w:val="00871328"/>
    <w:rsid w:val="00871BD6"/>
    <w:rsid w:val="00871EB8"/>
    <w:rsid w:val="00871FF3"/>
    <w:rsid w:val="00874194"/>
    <w:rsid w:val="008748E1"/>
    <w:rsid w:val="00875EB3"/>
    <w:rsid w:val="00875F10"/>
    <w:rsid w:val="00876536"/>
    <w:rsid w:val="008772CB"/>
    <w:rsid w:val="008775C8"/>
    <w:rsid w:val="00877A6F"/>
    <w:rsid w:val="0088007D"/>
    <w:rsid w:val="00880E7F"/>
    <w:rsid w:val="00880E84"/>
    <w:rsid w:val="0088163A"/>
    <w:rsid w:val="008822FA"/>
    <w:rsid w:val="008827BD"/>
    <w:rsid w:val="008831B5"/>
    <w:rsid w:val="008834B4"/>
    <w:rsid w:val="00883D13"/>
    <w:rsid w:val="00884988"/>
    <w:rsid w:val="0088673E"/>
    <w:rsid w:val="008868F9"/>
    <w:rsid w:val="00890807"/>
    <w:rsid w:val="00890B7F"/>
    <w:rsid w:val="00890FCE"/>
    <w:rsid w:val="00891954"/>
    <w:rsid w:val="00891B62"/>
    <w:rsid w:val="008947FA"/>
    <w:rsid w:val="0089496E"/>
    <w:rsid w:val="0089509E"/>
    <w:rsid w:val="00895E76"/>
    <w:rsid w:val="00896606"/>
    <w:rsid w:val="00897191"/>
    <w:rsid w:val="0089722D"/>
    <w:rsid w:val="008A17BB"/>
    <w:rsid w:val="008A268C"/>
    <w:rsid w:val="008A3078"/>
    <w:rsid w:val="008A532A"/>
    <w:rsid w:val="008A5423"/>
    <w:rsid w:val="008A61BB"/>
    <w:rsid w:val="008A7610"/>
    <w:rsid w:val="008A77D9"/>
    <w:rsid w:val="008A784D"/>
    <w:rsid w:val="008A7A8B"/>
    <w:rsid w:val="008A7C9E"/>
    <w:rsid w:val="008B03CB"/>
    <w:rsid w:val="008B0724"/>
    <w:rsid w:val="008B15C8"/>
    <w:rsid w:val="008B1745"/>
    <w:rsid w:val="008B1A8E"/>
    <w:rsid w:val="008B1BB6"/>
    <w:rsid w:val="008B26E8"/>
    <w:rsid w:val="008B2F00"/>
    <w:rsid w:val="008B3638"/>
    <w:rsid w:val="008B6E40"/>
    <w:rsid w:val="008B77D6"/>
    <w:rsid w:val="008B7DD3"/>
    <w:rsid w:val="008B7FF2"/>
    <w:rsid w:val="008C06CA"/>
    <w:rsid w:val="008C0D50"/>
    <w:rsid w:val="008C1843"/>
    <w:rsid w:val="008C22F6"/>
    <w:rsid w:val="008C42E2"/>
    <w:rsid w:val="008C4BE9"/>
    <w:rsid w:val="008C590A"/>
    <w:rsid w:val="008C735C"/>
    <w:rsid w:val="008C77BB"/>
    <w:rsid w:val="008D160F"/>
    <w:rsid w:val="008D2240"/>
    <w:rsid w:val="008D2C83"/>
    <w:rsid w:val="008D39D5"/>
    <w:rsid w:val="008D504B"/>
    <w:rsid w:val="008D5319"/>
    <w:rsid w:val="008D7568"/>
    <w:rsid w:val="008E0218"/>
    <w:rsid w:val="008E14BF"/>
    <w:rsid w:val="008E1DEE"/>
    <w:rsid w:val="008E2A9F"/>
    <w:rsid w:val="008E333E"/>
    <w:rsid w:val="008E4A25"/>
    <w:rsid w:val="008E50D2"/>
    <w:rsid w:val="008E521A"/>
    <w:rsid w:val="008E5616"/>
    <w:rsid w:val="008E5685"/>
    <w:rsid w:val="008E685C"/>
    <w:rsid w:val="008E6989"/>
    <w:rsid w:val="008E7445"/>
    <w:rsid w:val="008F17C6"/>
    <w:rsid w:val="008F2B19"/>
    <w:rsid w:val="008F3CA8"/>
    <w:rsid w:val="008F4468"/>
    <w:rsid w:val="008F5FDC"/>
    <w:rsid w:val="008F6D6B"/>
    <w:rsid w:val="008F7C80"/>
    <w:rsid w:val="0090084D"/>
    <w:rsid w:val="00901994"/>
    <w:rsid w:val="00901E79"/>
    <w:rsid w:val="00901FA3"/>
    <w:rsid w:val="0090214C"/>
    <w:rsid w:val="00902F24"/>
    <w:rsid w:val="00903078"/>
    <w:rsid w:val="00905576"/>
    <w:rsid w:val="009063BC"/>
    <w:rsid w:val="00907EBB"/>
    <w:rsid w:val="00907F14"/>
    <w:rsid w:val="00910709"/>
    <w:rsid w:val="0091090B"/>
    <w:rsid w:val="009118DC"/>
    <w:rsid w:val="00912256"/>
    <w:rsid w:val="00913464"/>
    <w:rsid w:val="00915DE1"/>
    <w:rsid w:val="00916011"/>
    <w:rsid w:val="0091639E"/>
    <w:rsid w:val="009176A9"/>
    <w:rsid w:val="009178E6"/>
    <w:rsid w:val="0092000D"/>
    <w:rsid w:val="009209CC"/>
    <w:rsid w:val="00921CEA"/>
    <w:rsid w:val="00922A90"/>
    <w:rsid w:val="00924654"/>
    <w:rsid w:val="009248C5"/>
    <w:rsid w:val="00924CB8"/>
    <w:rsid w:val="0092604A"/>
    <w:rsid w:val="00927230"/>
    <w:rsid w:val="0093076E"/>
    <w:rsid w:val="009310C0"/>
    <w:rsid w:val="00931944"/>
    <w:rsid w:val="009319C0"/>
    <w:rsid w:val="009320EC"/>
    <w:rsid w:val="00932101"/>
    <w:rsid w:val="00932372"/>
    <w:rsid w:val="00933977"/>
    <w:rsid w:val="00933D34"/>
    <w:rsid w:val="00935487"/>
    <w:rsid w:val="009357EC"/>
    <w:rsid w:val="0093629D"/>
    <w:rsid w:val="009368F0"/>
    <w:rsid w:val="00937CEF"/>
    <w:rsid w:val="009414CD"/>
    <w:rsid w:val="00941F19"/>
    <w:rsid w:val="0094217A"/>
    <w:rsid w:val="00942C6F"/>
    <w:rsid w:val="00942D6F"/>
    <w:rsid w:val="009434B4"/>
    <w:rsid w:val="00943707"/>
    <w:rsid w:val="0094375F"/>
    <w:rsid w:val="00944399"/>
    <w:rsid w:val="00945F3D"/>
    <w:rsid w:val="00946991"/>
    <w:rsid w:val="00950AD3"/>
    <w:rsid w:val="00950CC2"/>
    <w:rsid w:val="00951ABA"/>
    <w:rsid w:val="00954037"/>
    <w:rsid w:val="0095442B"/>
    <w:rsid w:val="009546F6"/>
    <w:rsid w:val="00954919"/>
    <w:rsid w:val="0095498B"/>
    <w:rsid w:val="00954ECA"/>
    <w:rsid w:val="00955416"/>
    <w:rsid w:val="00955BFF"/>
    <w:rsid w:val="009561F3"/>
    <w:rsid w:val="00956554"/>
    <w:rsid w:val="00957B29"/>
    <w:rsid w:val="00960E3D"/>
    <w:rsid w:val="009617F6"/>
    <w:rsid w:val="0096187C"/>
    <w:rsid w:val="00961BB9"/>
    <w:rsid w:val="00962E9B"/>
    <w:rsid w:val="0096335D"/>
    <w:rsid w:val="0096365F"/>
    <w:rsid w:val="00963C90"/>
    <w:rsid w:val="009659BA"/>
    <w:rsid w:val="00965F46"/>
    <w:rsid w:val="00966781"/>
    <w:rsid w:val="00966E8D"/>
    <w:rsid w:val="0097009D"/>
    <w:rsid w:val="00970DB3"/>
    <w:rsid w:val="00970E46"/>
    <w:rsid w:val="00970F76"/>
    <w:rsid w:val="00971AA8"/>
    <w:rsid w:val="0097235F"/>
    <w:rsid w:val="00972E6F"/>
    <w:rsid w:val="00974223"/>
    <w:rsid w:val="00974225"/>
    <w:rsid w:val="009750AA"/>
    <w:rsid w:val="0097560E"/>
    <w:rsid w:val="00975E40"/>
    <w:rsid w:val="00976A8B"/>
    <w:rsid w:val="00976DB3"/>
    <w:rsid w:val="0097767F"/>
    <w:rsid w:val="00977DB4"/>
    <w:rsid w:val="0098066E"/>
    <w:rsid w:val="0098125E"/>
    <w:rsid w:val="009814C1"/>
    <w:rsid w:val="0098157F"/>
    <w:rsid w:val="00981683"/>
    <w:rsid w:val="00981FD2"/>
    <w:rsid w:val="009828E7"/>
    <w:rsid w:val="00984830"/>
    <w:rsid w:val="009849BD"/>
    <w:rsid w:val="00984B07"/>
    <w:rsid w:val="0098741F"/>
    <w:rsid w:val="009928A1"/>
    <w:rsid w:val="00992B0D"/>
    <w:rsid w:val="0099306A"/>
    <w:rsid w:val="0099337B"/>
    <w:rsid w:val="009951C8"/>
    <w:rsid w:val="00995235"/>
    <w:rsid w:val="00996610"/>
    <w:rsid w:val="00996736"/>
    <w:rsid w:val="009979F4"/>
    <w:rsid w:val="009A1377"/>
    <w:rsid w:val="009A1812"/>
    <w:rsid w:val="009A1891"/>
    <w:rsid w:val="009A20F0"/>
    <w:rsid w:val="009A2196"/>
    <w:rsid w:val="009A25F5"/>
    <w:rsid w:val="009A2A3B"/>
    <w:rsid w:val="009A3F0A"/>
    <w:rsid w:val="009A5A79"/>
    <w:rsid w:val="009A6966"/>
    <w:rsid w:val="009A6A0D"/>
    <w:rsid w:val="009A72C8"/>
    <w:rsid w:val="009A7B9B"/>
    <w:rsid w:val="009B2B74"/>
    <w:rsid w:val="009B30C6"/>
    <w:rsid w:val="009B3134"/>
    <w:rsid w:val="009B3BD2"/>
    <w:rsid w:val="009B3C6D"/>
    <w:rsid w:val="009B3E86"/>
    <w:rsid w:val="009B3E96"/>
    <w:rsid w:val="009B408D"/>
    <w:rsid w:val="009B424C"/>
    <w:rsid w:val="009B66CA"/>
    <w:rsid w:val="009B7196"/>
    <w:rsid w:val="009B7623"/>
    <w:rsid w:val="009C0776"/>
    <w:rsid w:val="009C1F3D"/>
    <w:rsid w:val="009C2294"/>
    <w:rsid w:val="009C2E75"/>
    <w:rsid w:val="009C2EFC"/>
    <w:rsid w:val="009C2F65"/>
    <w:rsid w:val="009C3B5C"/>
    <w:rsid w:val="009C4339"/>
    <w:rsid w:val="009C4509"/>
    <w:rsid w:val="009C47E5"/>
    <w:rsid w:val="009C5D2A"/>
    <w:rsid w:val="009C5EF6"/>
    <w:rsid w:val="009C673A"/>
    <w:rsid w:val="009C7192"/>
    <w:rsid w:val="009C71A8"/>
    <w:rsid w:val="009C75D3"/>
    <w:rsid w:val="009C7B1A"/>
    <w:rsid w:val="009C7DCA"/>
    <w:rsid w:val="009D03A1"/>
    <w:rsid w:val="009D315F"/>
    <w:rsid w:val="009D3347"/>
    <w:rsid w:val="009D3E59"/>
    <w:rsid w:val="009D449B"/>
    <w:rsid w:val="009D505C"/>
    <w:rsid w:val="009D56FA"/>
    <w:rsid w:val="009D5AC7"/>
    <w:rsid w:val="009D5E52"/>
    <w:rsid w:val="009D7377"/>
    <w:rsid w:val="009E109A"/>
    <w:rsid w:val="009E14E2"/>
    <w:rsid w:val="009E2E6B"/>
    <w:rsid w:val="009E33DC"/>
    <w:rsid w:val="009E3A73"/>
    <w:rsid w:val="009E4374"/>
    <w:rsid w:val="009E511F"/>
    <w:rsid w:val="009E5A8C"/>
    <w:rsid w:val="009E60C4"/>
    <w:rsid w:val="009E6871"/>
    <w:rsid w:val="009E6941"/>
    <w:rsid w:val="009E7D0B"/>
    <w:rsid w:val="009F0473"/>
    <w:rsid w:val="009F12C6"/>
    <w:rsid w:val="009F22F1"/>
    <w:rsid w:val="009F2A1D"/>
    <w:rsid w:val="009F2BA4"/>
    <w:rsid w:val="009F37CC"/>
    <w:rsid w:val="009F511B"/>
    <w:rsid w:val="009F62BD"/>
    <w:rsid w:val="009F63AD"/>
    <w:rsid w:val="009F6CBB"/>
    <w:rsid w:val="009F7702"/>
    <w:rsid w:val="00A00FBF"/>
    <w:rsid w:val="00A0111C"/>
    <w:rsid w:val="00A01178"/>
    <w:rsid w:val="00A01737"/>
    <w:rsid w:val="00A019F5"/>
    <w:rsid w:val="00A03132"/>
    <w:rsid w:val="00A03CF2"/>
    <w:rsid w:val="00A03F35"/>
    <w:rsid w:val="00A03F64"/>
    <w:rsid w:val="00A054C8"/>
    <w:rsid w:val="00A05530"/>
    <w:rsid w:val="00A06692"/>
    <w:rsid w:val="00A06E59"/>
    <w:rsid w:val="00A07BB9"/>
    <w:rsid w:val="00A07D91"/>
    <w:rsid w:val="00A10ABA"/>
    <w:rsid w:val="00A10C2D"/>
    <w:rsid w:val="00A11B69"/>
    <w:rsid w:val="00A11EC1"/>
    <w:rsid w:val="00A12394"/>
    <w:rsid w:val="00A12BD6"/>
    <w:rsid w:val="00A135DE"/>
    <w:rsid w:val="00A1378C"/>
    <w:rsid w:val="00A141DF"/>
    <w:rsid w:val="00A14DC1"/>
    <w:rsid w:val="00A1565A"/>
    <w:rsid w:val="00A15C7D"/>
    <w:rsid w:val="00A17258"/>
    <w:rsid w:val="00A173C6"/>
    <w:rsid w:val="00A20840"/>
    <w:rsid w:val="00A21033"/>
    <w:rsid w:val="00A211E4"/>
    <w:rsid w:val="00A22A99"/>
    <w:rsid w:val="00A23186"/>
    <w:rsid w:val="00A23B90"/>
    <w:rsid w:val="00A24137"/>
    <w:rsid w:val="00A243E4"/>
    <w:rsid w:val="00A251CE"/>
    <w:rsid w:val="00A25357"/>
    <w:rsid w:val="00A25F15"/>
    <w:rsid w:val="00A2616C"/>
    <w:rsid w:val="00A26172"/>
    <w:rsid w:val="00A262B6"/>
    <w:rsid w:val="00A264E2"/>
    <w:rsid w:val="00A27303"/>
    <w:rsid w:val="00A30A92"/>
    <w:rsid w:val="00A31AA4"/>
    <w:rsid w:val="00A31D0E"/>
    <w:rsid w:val="00A325E0"/>
    <w:rsid w:val="00A32FA9"/>
    <w:rsid w:val="00A3319C"/>
    <w:rsid w:val="00A3320E"/>
    <w:rsid w:val="00A337E6"/>
    <w:rsid w:val="00A33DDE"/>
    <w:rsid w:val="00A34369"/>
    <w:rsid w:val="00A346FA"/>
    <w:rsid w:val="00A35E2E"/>
    <w:rsid w:val="00A361F1"/>
    <w:rsid w:val="00A36AD7"/>
    <w:rsid w:val="00A36C12"/>
    <w:rsid w:val="00A36CC7"/>
    <w:rsid w:val="00A372C7"/>
    <w:rsid w:val="00A375E7"/>
    <w:rsid w:val="00A40AAF"/>
    <w:rsid w:val="00A416CA"/>
    <w:rsid w:val="00A418F4"/>
    <w:rsid w:val="00A42210"/>
    <w:rsid w:val="00A42AFA"/>
    <w:rsid w:val="00A43398"/>
    <w:rsid w:val="00A4341E"/>
    <w:rsid w:val="00A45087"/>
    <w:rsid w:val="00A452F5"/>
    <w:rsid w:val="00A45FF8"/>
    <w:rsid w:val="00A46F37"/>
    <w:rsid w:val="00A476D2"/>
    <w:rsid w:val="00A50B0A"/>
    <w:rsid w:val="00A51791"/>
    <w:rsid w:val="00A51F01"/>
    <w:rsid w:val="00A521C9"/>
    <w:rsid w:val="00A524F7"/>
    <w:rsid w:val="00A527A0"/>
    <w:rsid w:val="00A527F2"/>
    <w:rsid w:val="00A535EE"/>
    <w:rsid w:val="00A5478E"/>
    <w:rsid w:val="00A5490C"/>
    <w:rsid w:val="00A54B33"/>
    <w:rsid w:val="00A557FD"/>
    <w:rsid w:val="00A5600E"/>
    <w:rsid w:val="00A57B7E"/>
    <w:rsid w:val="00A57D6A"/>
    <w:rsid w:val="00A6080C"/>
    <w:rsid w:val="00A60DF8"/>
    <w:rsid w:val="00A61BD0"/>
    <w:rsid w:val="00A62C8F"/>
    <w:rsid w:val="00A63D56"/>
    <w:rsid w:val="00A64782"/>
    <w:rsid w:val="00A64DB4"/>
    <w:rsid w:val="00A64EAA"/>
    <w:rsid w:val="00A650FC"/>
    <w:rsid w:val="00A6584B"/>
    <w:rsid w:val="00A66F9E"/>
    <w:rsid w:val="00A66FA2"/>
    <w:rsid w:val="00A677BA"/>
    <w:rsid w:val="00A70FBE"/>
    <w:rsid w:val="00A716AD"/>
    <w:rsid w:val="00A719F2"/>
    <w:rsid w:val="00A71CF4"/>
    <w:rsid w:val="00A73126"/>
    <w:rsid w:val="00A7498F"/>
    <w:rsid w:val="00A7509D"/>
    <w:rsid w:val="00A75BDD"/>
    <w:rsid w:val="00A76952"/>
    <w:rsid w:val="00A76F70"/>
    <w:rsid w:val="00A77637"/>
    <w:rsid w:val="00A80E3D"/>
    <w:rsid w:val="00A81284"/>
    <w:rsid w:val="00A819F4"/>
    <w:rsid w:val="00A8388E"/>
    <w:rsid w:val="00A84670"/>
    <w:rsid w:val="00A84F0D"/>
    <w:rsid w:val="00A850C2"/>
    <w:rsid w:val="00A85B25"/>
    <w:rsid w:val="00A85ECA"/>
    <w:rsid w:val="00A861D8"/>
    <w:rsid w:val="00A87757"/>
    <w:rsid w:val="00A91955"/>
    <w:rsid w:val="00A9199C"/>
    <w:rsid w:val="00A91B6B"/>
    <w:rsid w:val="00A91EA8"/>
    <w:rsid w:val="00A933F9"/>
    <w:rsid w:val="00A94AFB"/>
    <w:rsid w:val="00A9502B"/>
    <w:rsid w:val="00A95208"/>
    <w:rsid w:val="00A95ED2"/>
    <w:rsid w:val="00A97CF1"/>
    <w:rsid w:val="00AA0CD4"/>
    <w:rsid w:val="00AA11C6"/>
    <w:rsid w:val="00AA122D"/>
    <w:rsid w:val="00AA15F2"/>
    <w:rsid w:val="00AA1904"/>
    <w:rsid w:val="00AA1975"/>
    <w:rsid w:val="00AA1ABA"/>
    <w:rsid w:val="00AA1B54"/>
    <w:rsid w:val="00AA3275"/>
    <w:rsid w:val="00AA57E1"/>
    <w:rsid w:val="00AA5AE6"/>
    <w:rsid w:val="00AA6294"/>
    <w:rsid w:val="00AA6B0A"/>
    <w:rsid w:val="00AA6D67"/>
    <w:rsid w:val="00AA7198"/>
    <w:rsid w:val="00AA79FC"/>
    <w:rsid w:val="00AB077E"/>
    <w:rsid w:val="00AB07EF"/>
    <w:rsid w:val="00AB14DF"/>
    <w:rsid w:val="00AB1C11"/>
    <w:rsid w:val="00AB3332"/>
    <w:rsid w:val="00AB352F"/>
    <w:rsid w:val="00AB3CFE"/>
    <w:rsid w:val="00AB46CA"/>
    <w:rsid w:val="00AB61FB"/>
    <w:rsid w:val="00AB644B"/>
    <w:rsid w:val="00AB6C03"/>
    <w:rsid w:val="00AB7461"/>
    <w:rsid w:val="00AC02F4"/>
    <w:rsid w:val="00AC04CF"/>
    <w:rsid w:val="00AC05B5"/>
    <w:rsid w:val="00AC05BA"/>
    <w:rsid w:val="00AC068A"/>
    <w:rsid w:val="00AC0D1E"/>
    <w:rsid w:val="00AC138A"/>
    <w:rsid w:val="00AC174C"/>
    <w:rsid w:val="00AC18CE"/>
    <w:rsid w:val="00AC2259"/>
    <w:rsid w:val="00AC2545"/>
    <w:rsid w:val="00AC26BE"/>
    <w:rsid w:val="00AC2899"/>
    <w:rsid w:val="00AC35BE"/>
    <w:rsid w:val="00AC419B"/>
    <w:rsid w:val="00AC4763"/>
    <w:rsid w:val="00AC4852"/>
    <w:rsid w:val="00AC5B8F"/>
    <w:rsid w:val="00AD0B01"/>
    <w:rsid w:val="00AD1097"/>
    <w:rsid w:val="00AD2665"/>
    <w:rsid w:val="00AD2F86"/>
    <w:rsid w:val="00AD3104"/>
    <w:rsid w:val="00AD32D4"/>
    <w:rsid w:val="00AD4662"/>
    <w:rsid w:val="00AD553F"/>
    <w:rsid w:val="00AD56B5"/>
    <w:rsid w:val="00AD57FF"/>
    <w:rsid w:val="00AD6F95"/>
    <w:rsid w:val="00AD75F5"/>
    <w:rsid w:val="00AD7D37"/>
    <w:rsid w:val="00AE1752"/>
    <w:rsid w:val="00AE17A5"/>
    <w:rsid w:val="00AE1EC5"/>
    <w:rsid w:val="00AE23B0"/>
    <w:rsid w:val="00AE25DC"/>
    <w:rsid w:val="00AE28E9"/>
    <w:rsid w:val="00AE31BA"/>
    <w:rsid w:val="00AE372C"/>
    <w:rsid w:val="00AE40EF"/>
    <w:rsid w:val="00AE474E"/>
    <w:rsid w:val="00AE4A71"/>
    <w:rsid w:val="00AE5849"/>
    <w:rsid w:val="00AE5BE5"/>
    <w:rsid w:val="00AE6F14"/>
    <w:rsid w:val="00AE71A5"/>
    <w:rsid w:val="00AE7B57"/>
    <w:rsid w:val="00AF05F8"/>
    <w:rsid w:val="00AF0CB4"/>
    <w:rsid w:val="00AF0DE4"/>
    <w:rsid w:val="00AF1077"/>
    <w:rsid w:val="00AF1DFC"/>
    <w:rsid w:val="00AF2B4F"/>
    <w:rsid w:val="00AF2F8D"/>
    <w:rsid w:val="00AF3A03"/>
    <w:rsid w:val="00AF40F7"/>
    <w:rsid w:val="00AF4162"/>
    <w:rsid w:val="00AF4A8E"/>
    <w:rsid w:val="00AF4FEE"/>
    <w:rsid w:val="00AF524B"/>
    <w:rsid w:val="00AF5A11"/>
    <w:rsid w:val="00AF6927"/>
    <w:rsid w:val="00AF7616"/>
    <w:rsid w:val="00B003BF"/>
    <w:rsid w:val="00B01514"/>
    <w:rsid w:val="00B02321"/>
    <w:rsid w:val="00B023CA"/>
    <w:rsid w:val="00B02645"/>
    <w:rsid w:val="00B03071"/>
    <w:rsid w:val="00B03406"/>
    <w:rsid w:val="00B03AFB"/>
    <w:rsid w:val="00B047F7"/>
    <w:rsid w:val="00B048C2"/>
    <w:rsid w:val="00B04A0B"/>
    <w:rsid w:val="00B05165"/>
    <w:rsid w:val="00B05559"/>
    <w:rsid w:val="00B068C4"/>
    <w:rsid w:val="00B07291"/>
    <w:rsid w:val="00B0753D"/>
    <w:rsid w:val="00B07A96"/>
    <w:rsid w:val="00B07D97"/>
    <w:rsid w:val="00B10948"/>
    <w:rsid w:val="00B1098B"/>
    <w:rsid w:val="00B11976"/>
    <w:rsid w:val="00B12763"/>
    <w:rsid w:val="00B14421"/>
    <w:rsid w:val="00B15050"/>
    <w:rsid w:val="00B15145"/>
    <w:rsid w:val="00B15DCA"/>
    <w:rsid w:val="00B164E5"/>
    <w:rsid w:val="00B16DB4"/>
    <w:rsid w:val="00B17465"/>
    <w:rsid w:val="00B17FC4"/>
    <w:rsid w:val="00B21658"/>
    <w:rsid w:val="00B2209C"/>
    <w:rsid w:val="00B26AE2"/>
    <w:rsid w:val="00B26B52"/>
    <w:rsid w:val="00B2772B"/>
    <w:rsid w:val="00B27E6F"/>
    <w:rsid w:val="00B301D2"/>
    <w:rsid w:val="00B30A52"/>
    <w:rsid w:val="00B319C8"/>
    <w:rsid w:val="00B319DE"/>
    <w:rsid w:val="00B320F4"/>
    <w:rsid w:val="00B32162"/>
    <w:rsid w:val="00B3258C"/>
    <w:rsid w:val="00B32C19"/>
    <w:rsid w:val="00B3493E"/>
    <w:rsid w:val="00B354DD"/>
    <w:rsid w:val="00B35C87"/>
    <w:rsid w:val="00B36688"/>
    <w:rsid w:val="00B375B8"/>
    <w:rsid w:val="00B41265"/>
    <w:rsid w:val="00B41770"/>
    <w:rsid w:val="00B42540"/>
    <w:rsid w:val="00B426C2"/>
    <w:rsid w:val="00B42B70"/>
    <w:rsid w:val="00B432A0"/>
    <w:rsid w:val="00B43DF7"/>
    <w:rsid w:val="00B44654"/>
    <w:rsid w:val="00B4472D"/>
    <w:rsid w:val="00B45CCF"/>
    <w:rsid w:val="00B45F46"/>
    <w:rsid w:val="00B46DE9"/>
    <w:rsid w:val="00B47280"/>
    <w:rsid w:val="00B47BF8"/>
    <w:rsid w:val="00B50049"/>
    <w:rsid w:val="00B50AB9"/>
    <w:rsid w:val="00B51B83"/>
    <w:rsid w:val="00B530D7"/>
    <w:rsid w:val="00B54094"/>
    <w:rsid w:val="00B5488B"/>
    <w:rsid w:val="00B56307"/>
    <w:rsid w:val="00B56681"/>
    <w:rsid w:val="00B56E1B"/>
    <w:rsid w:val="00B571B0"/>
    <w:rsid w:val="00B57A36"/>
    <w:rsid w:val="00B57F4D"/>
    <w:rsid w:val="00B60CB5"/>
    <w:rsid w:val="00B61900"/>
    <w:rsid w:val="00B61E4D"/>
    <w:rsid w:val="00B62264"/>
    <w:rsid w:val="00B62CB9"/>
    <w:rsid w:val="00B64E20"/>
    <w:rsid w:val="00B6537C"/>
    <w:rsid w:val="00B6769E"/>
    <w:rsid w:val="00B703BE"/>
    <w:rsid w:val="00B711BB"/>
    <w:rsid w:val="00B71870"/>
    <w:rsid w:val="00B718CB"/>
    <w:rsid w:val="00B71FAF"/>
    <w:rsid w:val="00B7259C"/>
    <w:rsid w:val="00B734D1"/>
    <w:rsid w:val="00B7358B"/>
    <w:rsid w:val="00B74C26"/>
    <w:rsid w:val="00B754AD"/>
    <w:rsid w:val="00B75D65"/>
    <w:rsid w:val="00B767B2"/>
    <w:rsid w:val="00B77988"/>
    <w:rsid w:val="00B779AC"/>
    <w:rsid w:val="00B77AAC"/>
    <w:rsid w:val="00B803E7"/>
    <w:rsid w:val="00B810CA"/>
    <w:rsid w:val="00B816B1"/>
    <w:rsid w:val="00B83AD0"/>
    <w:rsid w:val="00B851C9"/>
    <w:rsid w:val="00B8587A"/>
    <w:rsid w:val="00B86532"/>
    <w:rsid w:val="00B86917"/>
    <w:rsid w:val="00B8772B"/>
    <w:rsid w:val="00B901F0"/>
    <w:rsid w:val="00B9147A"/>
    <w:rsid w:val="00B91DEB"/>
    <w:rsid w:val="00B92359"/>
    <w:rsid w:val="00B9448F"/>
    <w:rsid w:val="00B94E10"/>
    <w:rsid w:val="00B95F37"/>
    <w:rsid w:val="00B9640D"/>
    <w:rsid w:val="00B9664C"/>
    <w:rsid w:val="00B96910"/>
    <w:rsid w:val="00B97426"/>
    <w:rsid w:val="00B977BA"/>
    <w:rsid w:val="00BA00B6"/>
    <w:rsid w:val="00BA12EB"/>
    <w:rsid w:val="00BA1570"/>
    <w:rsid w:val="00BA1D3F"/>
    <w:rsid w:val="00BA26F4"/>
    <w:rsid w:val="00BA4CDE"/>
    <w:rsid w:val="00BA7BDA"/>
    <w:rsid w:val="00BA7EBA"/>
    <w:rsid w:val="00BB076F"/>
    <w:rsid w:val="00BB1E70"/>
    <w:rsid w:val="00BB392B"/>
    <w:rsid w:val="00BB39FF"/>
    <w:rsid w:val="00BB45D9"/>
    <w:rsid w:val="00BB4694"/>
    <w:rsid w:val="00BB4A3E"/>
    <w:rsid w:val="00BB4C0D"/>
    <w:rsid w:val="00BB4E30"/>
    <w:rsid w:val="00BB51B4"/>
    <w:rsid w:val="00BB5250"/>
    <w:rsid w:val="00BB5259"/>
    <w:rsid w:val="00BB5323"/>
    <w:rsid w:val="00BB53D6"/>
    <w:rsid w:val="00BB5542"/>
    <w:rsid w:val="00BB5CFB"/>
    <w:rsid w:val="00BB5E82"/>
    <w:rsid w:val="00BB5FF8"/>
    <w:rsid w:val="00BB7842"/>
    <w:rsid w:val="00BC1A20"/>
    <w:rsid w:val="00BC1DF1"/>
    <w:rsid w:val="00BC3706"/>
    <w:rsid w:val="00BC3813"/>
    <w:rsid w:val="00BC4175"/>
    <w:rsid w:val="00BC48AC"/>
    <w:rsid w:val="00BC508D"/>
    <w:rsid w:val="00BC680C"/>
    <w:rsid w:val="00BC694D"/>
    <w:rsid w:val="00BC69E0"/>
    <w:rsid w:val="00BD066D"/>
    <w:rsid w:val="00BD0780"/>
    <w:rsid w:val="00BD0F3F"/>
    <w:rsid w:val="00BD1634"/>
    <w:rsid w:val="00BD241D"/>
    <w:rsid w:val="00BD3F28"/>
    <w:rsid w:val="00BD3FFA"/>
    <w:rsid w:val="00BD4016"/>
    <w:rsid w:val="00BD4177"/>
    <w:rsid w:val="00BD508D"/>
    <w:rsid w:val="00BD5A94"/>
    <w:rsid w:val="00BD69FC"/>
    <w:rsid w:val="00BD6EE2"/>
    <w:rsid w:val="00BE07AB"/>
    <w:rsid w:val="00BE0B72"/>
    <w:rsid w:val="00BE4454"/>
    <w:rsid w:val="00BE45D0"/>
    <w:rsid w:val="00BE5480"/>
    <w:rsid w:val="00BE59F2"/>
    <w:rsid w:val="00BE7E4A"/>
    <w:rsid w:val="00BF0A8A"/>
    <w:rsid w:val="00BF1036"/>
    <w:rsid w:val="00BF1455"/>
    <w:rsid w:val="00BF1731"/>
    <w:rsid w:val="00BF24D8"/>
    <w:rsid w:val="00BF27AB"/>
    <w:rsid w:val="00BF5C8F"/>
    <w:rsid w:val="00BF632D"/>
    <w:rsid w:val="00BF7E57"/>
    <w:rsid w:val="00C00430"/>
    <w:rsid w:val="00C0300A"/>
    <w:rsid w:val="00C03C32"/>
    <w:rsid w:val="00C050DF"/>
    <w:rsid w:val="00C0516F"/>
    <w:rsid w:val="00C053E5"/>
    <w:rsid w:val="00C06D40"/>
    <w:rsid w:val="00C073F2"/>
    <w:rsid w:val="00C0768B"/>
    <w:rsid w:val="00C0776E"/>
    <w:rsid w:val="00C115EE"/>
    <w:rsid w:val="00C1183F"/>
    <w:rsid w:val="00C12F9A"/>
    <w:rsid w:val="00C15B23"/>
    <w:rsid w:val="00C160E6"/>
    <w:rsid w:val="00C164AF"/>
    <w:rsid w:val="00C175E1"/>
    <w:rsid w:val="00C207EF"/>
    <w:rsid w:val="00C20D4F"/>
    <w:rsid w:val="00C20DE8"/>
    <w:rsid w:val="00C217BE"/>
    <w:rsid w:val="00C2269A"/>
    <w:rsid w:val="00C22EB6"/>
    <w:rsid w:val="00C23CC9"/>
    <w:rsid w:val="00C2400C"/>
    <w:rsid w:val="00C25656"/>
    <w:rsid w:val="00C27966"/>
    <w:rsid w:val="00C27D61"/>
    <w:rsid w:val="00C27ECB"/>
    <w:rsid w:val="00C30232"/>
    <w:rsid w:val="00C3029F"/>
    <w:rsid w:val="00C30663"/>
    <w:rsid w:val="00C30849"/>
    <w:rsid w:val="00C318E9"/>
    <w:rsid w:val="00C32D49"/>
    <w:rsid w:val="00C3308D"/>
    <w:rsid w:val="00C330B5"/>
    <w:rsid w:val="00C35890"/>
    <w:rsid w:val="00C358FA"/>
    <w:rsid w:val="00C35A30"/>
    <w:rsid w:val="00C35D27"/>
    <w:rsid w:val="00C360F0"/>
    <w:rsid w:val="00C373B2"/>
    <w:rsid w:val="00C377FF"/>
    <w:rsid w:val="00C37DA3"/>
    <w:rsid w:val="00C40BA8"/>
    <w:rsid w:val="00C40F14"/>
    <w:rsid w:val="00C414F1"/>
    <w:rsid w:val="00C41D37"/>
    <w:rsid w:val="00C42A5C"/>
    <w:rsid w:val="00C434F6"/>
    <w:rsid w:val="00C439B0"/>
    <w:rsid w:val="00C43C92"/>
    <w:rsid w:val="00C43FAB"/>
    <w:rsid w:val="00C44594"/>
    <w:rsid w:val="00C4518B"/>
    <w:rsid w:val="00C463B6"/>
    <w:rsid w:val="00C4735F"/>
    <w:rsid w:val="00C50BE5"/>
    <w:rsid w:val="00C5329B"/>
    <w:rsid w:val="00C53BFE"/>
    <w:rsid w:val="00C5457E"/>
    <w:rsid w:val="00C561BC"/>
    <w:rsid w:val="00C61D5F"/>
    <w:rsid w:val="00C62281"/>
    <w:rsid w:val="00C62EAA"/>
    <w:rsid w:val="00C64499"/>
    <w:rsid w:val="00C64CF0"/>
    <w:rsid w:val="00C654E6"/>
    <w:rsid w:val="00C65D3D"/>
    <w:rsid w:val="00C66152"/>
    <w:rsid w:val="00C66C6C"/>
    <w:rsid w:val="00C703CB"/>
    <w:rsid w:val="00C70886"/>
    <w:rsid w:val="00C70D5D"/>
    <w:rsid w:val="00C72139"/>
    <w:rsid w:val="00C724A0"/>
    <w:rsid w:val="00C726D3"/>
    <w:rsid w:val="00C73DAD"/>
    <w:rsid w:val="00C74535"/>
    <w:rsid w:val="00C757DA"/>
    <w:rsid w:val="00C75B9E"/>
    <w:rsid w:val="00C77314"/>
    <w:rsid w:val="00C779B1"/>
    <w:rsid w:val="00C81103"/>
    <w:rsid w:val="00C81621"/>
    <w:rsid w:val="00C81D81"/>
    <w:rsid w:val="00C825C1"/>
    <w:rsid w:val="00C82C24"/>
    <w:rsid w:val="00C8459B"/>
    <w:rsid w:val="00C84A00"/>
    <w:rsid w:val="00C858FE"/>
    <w:rsid w:val="00C85C7F"/>
    <w:rsid w:val="00C865FC"/>
    <w:rsid w:val="00C8698E"/>
    <w:rsid w:val="00C86B98"/>
    <w:rsid w:val="00C87CDF"/>
    <w:rsid w:val="00C87F0E"/>
    <w:rsid w:val="00C90233"/>
    <w:rsid w:val="00C911E9"/>
    <w:rsid w:val="00C91630"/>
    <w:rsid w:val="00C919C2"/>
    <w:rsid w:val="00C91B9B"/>
    <w:rsid w:val="00C91DAC"/>
    <w:rsid w:val="00C927C8"/>
    <w:rsid w:val="00C93F55"/>
    <w:rsid w:val="00C94346"/>
    <w:rsid w:val="00C95A3A"/>
    <w:rsid w:val="00C96635"/>
    <w:rsid w:val="00C976EA"/>
    <w:rsid w:val="00C977AE"/>
    <w:rsid w:val="00CA0F49"/>
    <w:rsid w:val="00CA120C"/>
    <w:rsid w:val="00CA1442"/>
    <w:rsid w:val="00CA2EB3"/>
    <w:rsid w:val="00CA303E"/>
    <w:rsid w:val="00CA4F03"/>
    <w:rsid w:val="00CA53B2"/>
    <w:rsid w:val="00CA779E"/>
    <w:rsid w:val="00CA7CDB"/>
    <w:rsid w:val="00CB04AA"/>
    <w:rsid w:val="00CB0ADF"/>
    <w:rsid w:val="00CB156D"/>
    <w:rsid w:val="00CB2F7A"/>
    <w:rsid w:val="00CB365E"/>
    <w:rsid w:val="00CB5000"/>
    <w:rsid w:val="00CB7386"/>
    <w:rsid w:val="00CB7869"/>
    <w:rsid w:val="00CC006E"/>
    <w:rsid w:val="00CC0E44"/>
    <w:rsid w:val="00CC144E"/>
    <w:rsid w:val="00CC1F61"/>
    <w:rsid w:val="00CC2B28"/>
    <w:rsid w:val="00CC3415"/>
    <w:rsid w:val="00CC4DAA"/>
    <w:rsid w:val="00CC510B"/>
    <w:rsid w:val="00CC5BB5"/>
    <w:rsid w:val="00CC5BF4"/>
    <w:rsid w:val="00CC66BE"/>
    <w:rsid w:val="00CC670F"/>
    <w:rsid w:val="00CC76E2"/>
    <w:rsid w:val="00CC7A30"/>
    <w:rsid w:val="00CD1205"/>
    <w:rsid w:val="00CD294D"/>
    <w:rsid w:val="00CD3229"/>
    <w:rsid w:val="00CD3375"/>
    <w:rsid w:val="00CD3ACF"/>
    <w:rsid w:val="00CD530D"/>
    <w:rsid w:val="00CD690B"/>
    <w:rsid w:val="00CD6D07"/>
    <w:rsid w:val="00CD7393"/>
    <w:rsid w:val="00CD7B89"/>
    <w:rsid w:val="00CE0961"/>
    <w:rsid w:val="00CE24EE"/>
    <w:rsid w:val="00CE2AB8"/>
    <w:rsid w:val="00CE2FC4"/>
    <w:rsid w:val="00CE423D"/>
    <w:rsid w:val="00CE54C6"/>
    <w:rsid w:val="00CE67DC"/>
    <w:rsid w:val="00CE6BF7"/>
    <w:rsid w:val="00CE79D4"/>
    <w:rsid w:val="00CE7B1C"/>
    <w:rsid w:val="00CF0EF6"/>
    <w:rsid w:val="00CF3D4B"/>
    <w:rsid w:val="00CF47BC"/>
    <w:rsid w:val="00CF4F82"/>
    <w:rsid w:val="00CF50FA"/>
    <w:rsid w:val="00CF59D2"/>
    <w:rsid w:val="00CF5CE3"/>
    <w:rsid w:val="00CF62EA"/>
    <w:rsid w:val="00CF6446"/>
    <w:rsid w:val="00CF6617"/>
    <w:rsid w:val="00CF76F3"/>
    <w:rsid w:val="00CF7EB4"/>
    <w:rsid w:val="00D006F7"/>
    <w:rsid w:val="00D0095E"/>
    <w:rsid w:val="00D01714"/>
    <w:rsid w:val="00D0182E"/>
    <w:rsid w:val="00D02840"/>
    <w:rsid w:val="00D02B1C"/>
    <w:rsid w:val="00D02CB5"/>
    <w:rsid w:val="00D02F8A"/>
    <w:rsid w:val="00D031BB"/>
    <w:rsid w:val="00D034F3"/>
    <w:rsid w:val="00D03784"/>
    <w:rsid w:val="00D04237"/>
    <w:rsid w:val="00D0488C"/>
    <w:rsid w:val="00D05810"/>
    <w:rsid w:val="00D103CA"/>
    <w:rsid w:val="00D10F62"/>
    <w:rsid w:val="00D1119C"/>
    <w:rsid w:val="00D118E5"/>
    <w:rsid w:val="00D11A6D"/>
    <w:rsid w:val="00D125C1"/>
    <w:rsid w:val="00D12EB5"/>
    <w:rsid w:val="00D1436A"/>
    <w:rsid w:val="00D15166"/>
    <w:rsid w:val="00D15EA7"/>
    <w:rsid w:val="00D15FA4"/>
    <w:rsid w:val="00D16057"/>
    <w:rsid w:val="00D16851"/>
    <w:rsid w:val="00D17AC1"/>
    <w:rsid w:val="00D20570"/>
    <w:rsid w:val="00D20E21"/>
    <w:rsid w:val="00D2149D"/>
    <w:rsid w:val="00D21523"/>
    <w:rsid w:val="00D21635"/>
    <w:rsid w:val="00D2236F"/>
    <w:rsid w:val="00D2258B"/>
    <w:rsid w:val="00D24100"/>
    <w:rsid w:val="00D241AB"/>
    <w:rsid w:val="00D2530F"/>
    <w:rsid w:val="00D278EE"/>
    <w:rsid w:val="00D31827"/>
    <w:rsid w:val="00D32100"/>
    <w:rsid w:val="00D322E4"/>
    <w:rsid w:val="00D3273F"/>
    <w:rsid w:val="00D329E8"/>
    <w:rsid w:val="00D33EB7"/>
    <w:rsid w:val="00D34CED"/>
    <w:rsid w:val="00D36092"/>
    <w:rsid w:val="00D3657E"/>
    <w:rsid w:val="00D37125"/>
    <w:rsid w:val="00D417F9"/>
    <w:rsid w:val="00D42584"/>
    <w:rsid w:val="00D42601"/>
    <w:rsid w:val="00D42A5A"/>
    <w:rsid w:val="00D436F0"/>
    <w:rsid w:val="00D437C4"/>
    <w:rsid w:val="00D43C74"/>
    <w:rsid w:val="00D44E0B"/>
    <w:rsid w:val="00D44F2B"/>
    <w:rsid w:val="00D44FF7"/>
    <w:rsid w:val="00D45095"/>
    <w:rsid w:val="00D45266"/>
    <w:rsid w:val="00D45578"/>
    <w:rsid w:val="00D47145"/>
    <w:rsid w:val="00D50B4A"/>
    <w:rsid w:val="00D5149E"/>
    <w:rsid w:val="00D51645"/>
    <w:rsid w:val="00D5231C"/>
    <w:rsid w:val="00D52811"/>
    <w:rsid w:val="00D54931"/>
    <w:rsid w:val="00D5587E"/>
    <w:rsid w:val="00D56735"/>
    <w:rsid w:val="00D57024"/>
    <w:rsid w:val="00D57589"/>
    <w:rsid w:val="00D57B8D"/>
    <w:rsid w:val="00D60232"/>
    <w:rsid w:val="00D6023A"/>
    <w:rsid w:val="00D602D4"/>
    <w:rsid w:val="00D6040F"/>
    <w:rsid w:val="00D60AAB"/>
    <w:rsid w:val="00D60DB9"/>
    <w:rsid w:val="00D61356"/>
    <w:rsid w:val="00D616CE"/>
    <w:rsid w:val="00D62458"/>
    <w:rsid w:val="00D636E2"/>
    <w:rsid w:val="00D6455D"/>
    <w:rsid w:val="00D6455E"/>
    <w:rsid w:val="00D645EA"/>
    <w:rsid w:val="00D64818"/>
    <w:rsid w:val="00D65142"/>
    <w:rsid w:val="00D656EA"/>
    <w:rsid w:val="00D671AD"/>
    <w:rsid w:val="00D70106"/>
    <w:rsid w:val="00D70FD7"/>
    <w:rsid w:val="00D720FA"/>
    <w:rsid w:val="00D7332F"/>
    <w:rsid w:val="00D754AF"/>
    <w:rsid w:val="00D77F63"/>
    <w:rsid w:val="00D80797"/>
    <w:rsid w:val="00D80A79"/>
    <w:rsid w:val="00D819BB"/>
    <w:rsid w:val="00D8238C"/>
    <w:rsid w:val="00D8285A"/>
    <w:rsid w:val="00D83F32"/>
    <w:rsid w:val="00D8530C"/>
    <w:rsid w:val="00D861CB"/>
    <w:rsid w:val="00D8694A"/>
    <w:rsid w:val="00D86FA8"/>
    <w:rsid w:val="00D872B3"/>
    <w:rsid w:val="00D900B9"/>
    <w:rsid w:val="00D91FB2"/>
    <w:rsid w:val="00D92261"/>
    <w:rsid w:val="00D924DE"/>
    <w:rsid w:val="00D93B37"/>
    <w:rsid w:val="00D9442E"/>
    <w:rsid w:val="00D94440"/>
    <w:rsid w:val="00D950B8"/>
    <w:rsid w:val="00D96196"/>
    <w:rsid w:val="00D96260"/>
    <w:rsid w:val="00DA0264"/>
    <w:rsid w:val="00DA03FA"/>
    <w:rsid w:val="00DA12D3"/>
    <w:rsid w:val="00DA1AED"/>
    <w:rsid w:val="00DA1B56"/>
    <w:rsid w:val="00DA21C7"/>
    <w:rsid w:val="00DA25E7"/>
    <w:rsid w:val="00DA37CC"/>
    <w:rsid w:val="00DA43EB"/>
    <w:rsid w:val="00DA519E"/>
    <w:rsid w:val="00DA6606"/>
    <w:rsid w:val="00DA6B62"/>
    <w:rsid w:val="00DA72A6"/>
    <w:rsid w:val="00DA72EA"/>
    <w:rsid w:val="00DA794E"/>
    <w:rsid w:val="00DA7B26"/>
    <w:rsid w:val="00DA7F61"/>
    <w:rsid w:val="00DB06C3"/>
    <w:rsid w:val="00DB0D09"/>
    <w:rsid w:val="00DB1C94"/>
    <w:rsid w:val="00DB1D84"/>
    <w:rsid w:val="00DB1FC1"/>
    <w:rsid w:val="00DB23B1"/>
    <w:rsid w:val="00DB3E7F"/>
    <w:rsid w:val="00DB41D6"/>
    <w:rsid w:val="00DB4BA0"/>
    <w:rsid w:val="00DB5690"/>
    <w:rsid w:val="00DB5F2A"/>
    <w:rsid w:val="00DB5FC3"/>
    <w:rsid w:val="00DB646F"/>
    <w:rsid w:val="00DB6B90"/>
    <w:rsid w:val="00DB7D9C"/>
    <w:rsid w:val="00DC0574"/>
    <w:rsid w:val="00DC1FC6"/>
    <w:rsid w:val="00DC2803"/>
    <w:rsid w:val="00DC373B"/>
    <w:rsid w:val="00DC3F66"/>
    <w:rsid w:val="00DC3FF8"/>
    <w:rsid w:val="00DC40C5"/>
    <w:rsid w:val="00DC5C3F"/>
    <w:rsid w:val="00DC60C8"/>
    <w:rsid w:val="00DC6523"/>
    <w:rsid w:val="00DC7060"/>
    <w:rsid w:val="00DD0020"/>
    <w:rsid w:val="00DD0067"/>
    <w:rsid w:val="00DD0F09"/>
    <w:rsid w:val="00DD11AB"/>
    <w:rsid w:val="00DD1D96"/>
    <w:rsid w:val="00DD2326"/>
    <w:rsid w:val="00DD27C0"/>
    <w:rsid w:val="00DD2A8A"/>
    <w:rsid w:val="00DD3184"/>
    <w:rsid w:val="00DD3483"/>
    <w:rsid w:val="00DD3492"/>
    <w:rsid w:val="00DD381E"/>
    <w:rsid w:val="00DD4A7C"/>
    <w:rsid w:val="00DD5DDB"/>
    <w:rsid w:val="00DD6CA4"/>
    <w:rsid w:val="00DD6EF3"/>
    <w:rsid w:val="00DD72E6"/>
    <w:rsid w:val="00DD7377"/>
    <w:rsid w:val="00DD7D61"/>
    <w:rsid w:val="00DD7FC9"/>
    <w:rsid w:val="00DE0A20"/>
    <w:rsid w:val="00DE1031"/>
    <w:rsid w:val="00DE1C91"/>
    <w:rsid w:val="00DE28BC"/>
    <w:rsid w:val="00DE3934"/>
    <w:rsid w:val="00DE3F34"/>
    <w:rsid w:val="00DE4A99"/>
    <w:rsid w:val="00DE6C35"/>
    <w:rsid w:val="00DE7A3A"/>
    <w:rsid w:val="00DE7ED3"/>
    <w:rsid w:val="00DF01DF"/>
    <w:rsid w:val="00DF05EE"/>
    <w:rsid w:val="00DF0EFE"/>
    <w:rsid w:val="00DF12CB"/>
    <w:rsid w:val="00DF1FF1"/>
    <w:rsid w:val="00DF2DFF"/>
    <w:rsid w:val="00DF52CB"/>
    <w:rsid w:val="00DF5327"/>
    <w:rsid w:val="00DF5397"/>
    <w:rsid w:val="00DF56C3"/>
    <w:rsid w:val="00DF5E73"/>
    <w:rsid w:val="00DF65E5"/>
    <w:rsid w:val="00DF696F"/>
    <w:rsid w:val="00DF7756"/>
    <w:rsid w:val="00DF7C51"/>
    <w:rsid w:val="00DF7D03"/>
    <w:rsid w:val="00DF7EE6"/>
    <w:rsid w:val="00E00320"/>
    <w:rsid w:val="00E0067D"/>
    <w:rsid w:val="00E01656"/>
    <w:rsid w:val="00E02491"/>
    <w:rsid w:val="00E03BC5"/>
    <w:rsid w:val="00E069F1"/>
    <w:rsid w:val="00E06B4D"/>
    <w:rsid w:val="00E07080"/>
    <w:rsid w:val="00E07388"/>
    <w:rsid w:val="00E0773E"/>
    <w:rsid w:val="00E07A80"/>
    <w:rsid w:val="00E07BE5"/>
    <w:rsid w:val="00E10465"/>
    <w:rsid w:val="00E10B1A"/>
    <w:rsid w:val="00E10DC8"/>
    <w:rsid w:val="00E116CD"/>
    <w:rsid w:val="00E122FE"/>
    <w:rsid w:val="00E13205"/>
    <w:rsid w:val="00E1343E"/>
    <w:rsid w:val="00E13C3D"/>
    <w:rsid w:val="00E141BA"/>
    <w:rsid w:val="00E155A5"/>
    <w:rsid w:val="00E20D6B"/>
    <w:rsid w:val="00E22483"/>
    <w:rsid w:val="00E25411"/>
    <w:rsid w:val="00E25C24"/>
    <w:rsid w:val="00E2694B"/>
    <w:rsid w:val="00E27A89"/>
    <w:rsid w:val="00E27CA6"/>
    <w:rsid w:val="00E325B6"/>
    <w:rsid w:val="00E3317A"/>
    <w:rsid w:val="00E3508B"/>
    <w:rsid w:val="00E3700C"/>
    <w:rsid w:val="00E3789D"/>
    <w:rsid w:val="00E4070B"/>
    <w:rsid w:val="00E40B36"/>
    <w:rsid w:val="00E40C31"/>
    <w:rsid w:val="00E42901"/>
    <w:rsid w:val="00E42E5B"/>
    <w:rsid w:val="00E42F71"/>
    <w:rsid w:val="00E45869"/>
    <w:rsid w:val="00E4610E"/>
    <w:rsid w:val="00E461BE"/>
    <w:rsid w:val="00E50C1A"/>
    <w:rsid w:val="00E514F0"/>
    <w:rsid w:val="00E51B82"/>
    <w:rsid w:val="00E51E3C"/>
    <w:rsid w:val="00E52941"/>
    <w:rsid w:val="00E53584"/>
    <w:rsid w:val="00E53A10"/>
    <w:rsid w:val="00E53B14"/>
    <w:rsid w:val="00E54343"/>
    <w:rsid w:val="00E54D87"/>
    <w:rsid w:val="00E5565E"/>
    <w:rsid w:val="00E56840"/>
    <w:rsid w:val="00E5686A"/>
    <w:rsid w:val="00E56C72"/>
    <w:rsid w:val="00E57C92"/>
    <w:rsid w:val="00E6031F"/>
    <w:rsid w:val="00E614D2"/>
    <w:rsid w:val="00E639A5"/>
    <w:rsid w:val="00E64694"/>
    <w:rsid w:val="00E64FF4"/>
    <w:rsid w:val="00E65A11"/>
    <w:rsid w:val="00E65E2A"/>
    <w:rsid w:val="00E66040"/>
    <w:rsid w:val="00E666AD"/>
    <w:rsid w:val="00E66E91"/>
    <w:rsid w:val="00E7057E"/>
    <w:rsid w:val="00E70884"/>
    <w:rsid w:val="00E71E25"/>
    <w:rsid w:val="00E732A8"/>
    <w:rsid w:val="00E7478A"/>
    <w:rsid w:val="00E77DE8"/>
    <w:rsid w:val="00E81519"/>
    <w:rsid w:val="00E81F4A"/>
    <w:rsid w:val="00E82524"/>
    <w:rsid w:val="00E82B67"/>
    <w:rsid w:val="00E83051"/>
    <w:rsid w:val="00E83090"/>
    <w:rsid w:val="00E8348A"/>
    <w:rsid w:val="00E83625"/>
    <w:rsid w:val="00E84390"/>
    <w:rsid w:val="00E847CE"/>
    <w:rsid w:val="00E8716F"/>
    <w:rsid w:val="00E91A4F"/>
    <w:rsid w:val="00E91B81"/>
    <w:rsid w:val="00E91C15"/>
    <w:rsid w:val="00E9335A"/>
    <w:rsid w:val="00E939A8"/>
    <w:rsid w:val="00E93AD0"/>
    <w:rsid w:val="00E93EB0"/>
    <w:rsid w:val="00E940C9"/>
    <w:rsid w:val="00E94520"/>
    <w:rsid w:val="00E94F53"/>
    <w:rsid w:val="00E96685"/>
    <w:rsid w:val="00E97082"/>
    <w:rsid w:val="00EA1575"/>
    <w:rsid w:val="00EA1A5B"/>
    <w:rsid w:val="00EA1AF5"/>
    <w:rsid w:val="00EA2846"/>
    <w:rsid w:val="00EA2DCC"/>
    <w:rsid w:val="00EA2DED"/>
    <w:rsid w:val="00EA30CE"/>
    <w:rsid w:val="00EA36C5"/>
    <w:rsid w:val="00EA3B42"/>
    <w:rsid w:val="00EA3DF8"/>
    <w:rsid w:val="00EA3DFB"/>
    <w:rsid w:val="00EA4F56"/>
    <w:rsid w:val="00EA4F5E"/>
    <w:rsid w:val="00EA511F"/>
    <w:rsid w:val="00EA7CA5"/>
    <w:rsid w:val="00EB0306"/>
    <w:rsid w:val="00EB0E1E"/>
    <w:rsid w:val="00EB2487"/>
    <w:rsid w:val="00EB26B9"/>
    <w:rsid w:val="00EB34A8"/>
    <w:rsid w:val="00EB3735"/>
    <w:rsid w:val="00EB3D43"/>
    <w:rsid w:val="00EB5772"/>
    <w:rsid w:val="00EB6345"/>
    <w:rsid w:val="00EB6B84"/>
    <w:rsid w:val="00EB6F19"/>
    <w:rsid w:val="00EB7EA1"/>
    <w:rsid w:val="00EC07B9"/>
    <w:rsid w:val="00EC1484"/>
    <w:rsid w:val="00EC2A8C"/>
    <w:rsid w:val="00EC3020"/>
    <w:rsid w:val="00EC4C34"/>
    <w:rsid w:val="00EC5E1B"/>
    <w:rsid w:val="00EC6DBF"/>
    <w:rsid w:val="00EC7969"/>
    <w:rsid w:val="00EC79B8"/>
    <w:rsid w:val="00ED072E"/>
    <w:rsid w:val="00ED0785"/>
    <w:rsid w:val="00ED1B7F"/>
    <w:rsid w:val="00ED2C54"/>
    <w:rsid w:val="00ED3759"/>
    <w:rsid w:val="00ED385C"/>
    <w:rsid w:val="00ED45E4"/>
    <w:rsid w:val="00ED56D6"/>
    <w:rsid w:val="00ED5895"/>
    <w:rsid w:val="00ED72B1"/>
    <w:rsid w:val="00ED7A65"/>
    <w:rsid w:val="00ED7B77"/>
    <w:rsid w:val="00EE003B"/>
    <w:rsid w:val="00EE0CAA"/>
    <w:rsid w:val="00EE148E"/>
    <w:rsid w:val="00EE1E47"/>
    <w:rsid w:val="00EE1F1D"/>
    <w:rsid w:val="00EE2739"/>
    <w:rsid w:val="00EE2DE5"/>
    <w:rsid w:val="00EE2E14"/>
    <w:rsid w:val="00EE3452"/>
    <w:rsid w:val="00EE3961"/>
    <w:rsid w:val="00EE47C2"/>
    <w:rsid w:val="00EE5272"/>
    <w:rsid w:val="00EE5970"/>
    <w:rsid w:val="00EE604B"/>
    <w:rsid w:val="00EE7401"/>
    <w:rsid w:val="00EE74FF"/>
    <w:rsid w:val="00EE7EA3"/>
    <w:rsid w:val="00EF0047"/>
    <w:rsid w:val="00EF1105"/>
    <w:rsid w:val="00EF111C"/>
    <w:rsid w:val="00EF1C1B"/>
    <w:rsid w:val="00EF21E4"/>
    <w:rsid w:val="00EF23A9"/>
    <w:rsid w:val="00EF2806"/>
    <w:rsid w:val="00EF357A"/>
    <w:rsid w:val="00EF479A"/>
    <w:rsid w:val="00EF5D6D"/>
    <w:rsid w:val="00EF5DD9"/>
    <w:rsid w:val="00EF6545"/>
    <w:rsid w:val="00EF65C7"/>
    <w:rsid w:val="00EF7304"/>
    <w:rsid w:val="00EF7D4E"/>
    <w:rsid w:val="00EF7D89"/>
    <w:rsid w:val="00EF7E1A"/>
    <w:rsid w:val="00F004D6"/>
    <w:rsid w:val="00F012BE"/>
    <w:rsid w:val="00F01FA0"/>
    <w:rsid w:val="00F020A6"/>
    <w:rsid w:val="00F0213C"/>
    <w:rsid w:val="00F02180"/>
    <w:rsid w:val="00F04375"/>
    <w:rsid w:val="00F044A1"/>
    <w:rsid w:val="00F056F2"/>
    <w:rsid w:val="00F05F44"/>
    <w:rsid w:val="00F06349"/>
    <w:rsid w:val="00F0649F"/>
    <w:rsid w:val="00F06EA7"/>
    <w:rsid w:val="00F07098"/>
    <w:rsid w:val="00F100EB"/>
    <w:rsid w:val="00F112A6"/>
    <w:rsid w:val="00F11360"/>
    <w:rsid w:val="00F12160"/>
    <w:rsid w:val="00F12455"/>
    <w:rsid w:val="00F1272E"/>
    <w:rsid w:val="00F13676"/>
    <w:rsid w:val="00F13AA2"/>
    <w:rsid w:val="00F13D48"/>
    <w:rsid w:val="00F1447F"/>
    <w:rsid w:val="00F1512D"/>
    <w:rsid w:val="00F152B2"/>
    <w:rsid w:val="00F155B4"/>
    <w:rsid w:val="00F16846"/>
    <w:rsid w:val="00F170A9"/>
    <w:rsid w:val="00F2088D"/>
    <w:rsid w:val="00F20937"/>
    <w:rsid w:val="00F219C8"/>
    <w:rsid w:val="00F22CCA"/>
    <w:rsid w:val="00F234F5"/>
    <w:rsid w:val="00F235B3"/>
    <w:rsid w:val="00F23F66"/>
    <w:rsid w:val="00F271B6"/>
    <w:rsid w:val="00F310A6"/>
    <w:rsid w:val="00F321F7"/>
    <w:rsid w:val="00F327C1"/>
    <w:rsid w:val="00F32E01"/>
    <w:rsid w:val="00F33A3F"/>
    <w:rsid w:val="00F33CE3"/>
    <w:rsid w:val="00F33FF6"/>
    <w:rsid w:val="00F355CF"/>
    <w:rsid w:val="00F35B45"/>
    <w:rsid w:val="00F35CD3"/>
    <w:rsid w:val="00F36117"/>
    <w:rsid w:val="00F40EA6"/>
    <w:rsid w:val="00F40F4C"/>
    <w:rsid w:val="00F4161A"/>
    <w:rsid w:val="00F4220C"/>
    <w:rsid w:val="00F4397D"/>
    <w:rsid w:val="00F46ACC"/>
    <w:rsid w:val="00F46BA7"/>
    <w:rsid w:val="00F50366"/>
    <w:rsid w:val="00F50389"/>
    <w:rsid w:val="00F50770"/>
    <w:rsid w:val="00F51BE6"/>
    <w:rsid w:val="00F51BED"/>
    <w:rsid w:val="00F5364F"/>
    <w:rsid w:val="00F54E7B"/>
    <w:rsid w:val="00F55941"/>
    <w:rsid w:val="00F56DE1"/>
    <w:rsid w:val="00F604FB"/>
    <w:rsid w:val="00F6096D"/>
    <w:rsid w:val="00F60D80"/>
    <w:rsid w:val="00F62176"/>
    <w:rsid w:val="00F65434"/>
    <w:rsid w:val="00F65F29"/>
    <w:rsid w:val="00F663D2"/>
    <w:rsid w:val="00F66558"/>
    <w:rsid w:val="00F671AD"/>
    <w:rsid w:val="00F675FF"/>
    <w:rsid w:val="00F70B97"/>
    <w:rsid w:val="00F71D35"/>
    <w:rsid w:val="00F72933"/>
    <w:rsid w:val="00F739C5"/>
    <w:rsid w:val="00F73C3F"/>
    <w:rsid w:val="00F741EB"/>
    <w:rsid w:val="00F74A34"/>
    <w:rsid w:val="00F752E6"/>
    <w:rsid w:val="00F7600A"/>
    <w:rsid w:val="00F76280"/>
    <w:rsid w:val="00F768EB"/>
    <w:rsid w:val="00F775B5"/>
    <w:rsid w:val="00F77A35"/>
    <w:rsid w:val="00F77B2D"/>
    <w:rsid w:val="00F77B61"/>
    <w:rsid w:val="00F80115"/>
    <w:rsid w:val="00F80456"/>
    <w:rsid w:val="00F8139D"/>
    <w:rsid w:val="00F816FD"/>
    <w:rsid w:val="00F8235D"/>
    <w:rsid w:val="00F82EBF"/>
    <w:rsid w:val="00F8334A"/>
    <w:rsid w:val="00F841F2"/>
    <w:rsid w:val="00F85259"/>
    <w:rsid w:val="00F85539"/>
    <w:rsid w:val="00F85F2E"/>
    <w:rsid w:val="00F8609D"/>
    <w:rsid w:val="00F86386"/>
    <w:rsid w:val="00F915AF"/>
    <w:rsid w:val="00F92B28"/>
    <w:rsid w:val="00F9340B"/>
    <w:rsid w:val="00F9351E"/>
    <w:rsid w:val="00F93EC3"/>
    <w:rsid w:val="00F94B64"/>
    <w:rsid w:val="00F95086"/>
    <w:rsid w:val="00F96B87"/>
    <w:rsid w:val="00F974D7"/>
    <w:rsid w:val="00F976B3"/>
    <w:rsid w:val="00FA0382"/>
    <w:rsid w:val="00FA053F"/>
    <w:rsid w:val="00FA0BAF"/>
    <w:rsid w:val="00FA1A8E"/>
    <w:rsid w:val="00FA2766"/>
    <w:rsid w:val="00FA38A9"/>
    <w:rsid w:val="00FA418D"/>
    <w:rsid w:val="00FA54F1"/>
    <w:rsid w:val="00FA7286"/>
    <w:rsid w:val="00FA76DF"/>
    <w:rsid w:val="00FB01A5"/>
    <w:rsid w:val="00FB3BCA"/>
    <w:rsid w:val="00FB49CF"/>
    <w:rsid w:val="00FB4F9B"/>
    <w:rsid w:val="00FB69EB"/>
    <w:rsid w:val="00FB705D"/>
    <w:rsid w:val="00FB7771"/>
    <w:rsid w:val="00FC09DF"/>
    <w:rsid w:val="00FC362C"/>
    <w:rsid w:val="00FD09F1"/>
    <w:rsid w:val="00FD155A"/>
    <w:rsid w:val="00FD2DE4"/>
    <w:rsid w:val="00FD4822"/>
    <w:rsid w:val="00FD4991"/>
    <w:rsid w:val="00FD5CE7"/>
    <w:rsid w:val="00FD769D"/>
    <w:rsid w:val="00FD7EC8"/>
    <w:rsid w:val="00FE0942"/>
    <w:rsid w:val="00FE117E"/>
    <w:rsid w:val="00FE11D3"/>
    <w:rsid w:val="00FE1702"/>
    <w:rsid w:val="00FE1FA2"/>
    <w:rsid w:val="00FE206E"/>
    <w:rsid w:val="00FE26C2"/>
    <w:rsid w:val="00FE3B35"/>
    <w:rsid w:val="00FE50FC"/>
    <w:rsid w:val="00FE56BE"/>
    <w:rsid w:val="00FE621F"/>
    <w:rsid w:val="00FE62FB"/>
    <w:rsid w:val="00FE75D7"/>
    <w:rsid w:val="00FF140D"/>
    <w:rsid w:val="00FF1F79"/>
    <w:rsid w:val="00FF2D61"/>
    <w:rsid w:val="00FF3853"/>
    <w:rsid w:val="00FF4446"/>
    <w:rsid w:val="00FF4690"/>
    <w:rsid w:val="00FF4BD7"/>
    <w:rsid w:val="00FF5276"/>
    <w:rsid w:val="00FF6452"/>
    <w:rsid w:val="00FF6B1C"/>
    <w:rsid w:val="00FF75C1"/>
    <w:rsid w:val="00FF7C6C"/>
    <w:rsid w:val="0E6EF4C1"/>
    <w:rsid w:val="12A76568"/>
    <w:rsid w:val="18BD1B27"/>
    <w:rsid w:val="1A399783"/>
    <w:rsid w:val="2B16DEA7"/>
    <w:rsid w:val="2B2505ED"/>
    <w:rsid w:val="32EB1989"/>
    <w:rsid w:val="33063A24"/>
    <w:rsid w:val="3CF80CB9"/>
    <w:rsid w:val="3D81C8C1"/>
    <w:rsid w:val="3FB8C0DC"/>
    <w:rsid w:val="49A44249"/>
    <w:rsid w:val="4DAABF83"/>
    <w:rsid w:val="4F468FE4"/>
    <w:rsid w:val="503827C8"/>
    <w:rsid w:val="52B02DB0"/>
    <w:rsid w:val="5C34C03A"/>
    <w:rsid w:val="5FDDEAB8"/>
    <w:rsid w:val="72824110"/>
    <w:rsid w:val="73339CCA"/>
    <w:rsid w:val="73D7541A"/>
    <w:rsid w:val="741CAFB0"/>
    <w:rsid w:val="77CEFBB7"/>
    <w:rsid w:val="7FA1F6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8E1FC"/>
  <w15:docId w15:val="{1AA0C723-9D90-49AF-B76F-D37D2210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semiHidden="1"/>
    <w:lsdException w:name="footer" w:semiHidden="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qFormat="1"/>
    <w:lsdException w:name="Smart Link" w:semiHidden="1" w:unhideWhenUsed="1"/>
  </w:latentStyles>
  <w:style w:type="paragraph" w:default="1" w:styleId="Normal">
    <w:name w:val="Normal"/>
    <w:uiPriority w:val="1"/>
    <w:qFormat/>
    <w:rsid w:val="00AA15F2"/>
    <w:rPr>
      <w:rFonts w:ascii="Arial" w:eastAsiaTheme="minorEastAsia" w:hAnsi="Arial"/>
      <w:sz w:val="18"/>
      <w:szCs w:val="18"/>
      <w:lang w:val="en-GB" w:eastAsia="zh-CN"/>
    </w:rPr>
  </w:style>
  <w:style w:type="paragraph" w:styleId="Heading1">
    <w:name w:val="heading 1"/>
    <w:basedOn w:val="Normal"/>
    <w:next w:val="BodyText"/>
    <w:link w:val="Heading1Char"/>
    <w:uiPriority w:val="9"/>
    <w:qFormat/>
    <w:rsid w:val="00AA15F2"/>
    <w:pPr>
      <w:keepNext/>
      <w:pageBreakBefore/>
      <w:numPr>
        <w:numId w:val="1"/>
      </w:numPr>
      <w:outlineLvl w:val="0"/>
    </w:pPr>
    <w:rPr>
      <w:b/>
      <w:caps/>
      <w:color w:val="0F204B"/>
      <w:sz w:val="26"/>
    </w:rPr>
  </w:style>
  <w:style w:type="paragraph" w:styleId="Heading2">
    <w:name w:val="heading 2"/>
    <w:aliases w:val="H2,2m"/>
    <w:basedOn w:val="Normal"/>
    <w:next w:val="BodyText"/>
    <w:link w:val="Heading2Char"/>
    <w:uiPriority w:val="9"/>
    <w:qFormat/>
    <w:rsid w:val="00AA15F2"/>
    <w:pPr>
      <w:keepNext/>
      <w:numPr>
        <w:ilvl w:val="1"/>
        <w:numId w:val="18"/>
      </w:numPr>
      <w:spacing w:before="280"/>
      <w:outlineLvl w:val="1"/>
    </w:pPr>
    <w:rPr>
      <w:b/>
      <w:color w:val="0F204B"/>
      <w:sz w:val="26"/>
    </w:rPr>
  </w:style>
  <w:style w:type="paragraph" w:styleId="Heading3">
    <w:name w:val="heading 3"/>
    <w:aliases w:val="Heading 3 Char2 Char,Heading 3 Char1 Char Char,Heading 3 Char Char Char Char,Heading 3 Char1 Char Char Char Char,Heading 3 Char Char Char Char Char Char,Heading 3 Char2 Char Char Char Char Char Char,Heading 3 Char Char1 Char,l3"/>
    <w:basedOn w:val="Normal"/>
    <w:next w:val="BodyText"/>
    <w:link w:val="Heading3Char"/>
    <w:uiPriority w:val="9"/>
    <w:qFormat/>
    <w:rsid w:val="00AA15F2"/>
    <w:pPr>
      <w:keepNext/>
      <w:numPr>
        <w:ilvl w:val="2"/>
        <w:numId w:val="18"/>
      </w:numPr>
      <w:spacing w:before="120"/>
      <w:outlineLvl w:val="2"/>
    </w:pPr>
    <w:rPr>
      <w:color w:val="0F204B"/>
      <w:sz w:val="26"/>
    </w:rPr>
  </w:style>
  <w:style w:type="paragraph" w:styleId="Heading4">
    <w:name w:val="heading 4"/>
    <w:basedOn w:val="Normal"/>
    <w:next w:val="BodyText"/>
    <w:link w:val="Heading4Char"/>
    <w:uiPriority w:val="9"/>
    <w:qFormat/>
    <w:rsid w:val="00AA15F2"/>
    <w:pPr>
      <w:keepNext/>
      <w:numPr>
        <w:ilvl w:val="3"/>
        <w:numId w:val="18"/>
      </w:numPr>
      <w:spacing w:before="120"/>
      <w:outlineLvl w:val="3"/>
    </w:pPr>
    <w:rPr>
      <w:b/>
      <w:color w:val="0F204B"/>
      <w:sz w:val="22"/>
    </w:rPr>
  </w:style>
  <w:style w:type="paragraph" w:styleId="Heading5">
    <w:name w:val="heading 5"/>
    <w:basedOn w:val="Normal"/>
    <w:next w:val="BodyText"/>
    <w:link w:val="Heading5Char"/>
    <w:uiPriority w:val="99"/>
    <w:rsid w:val="00AA15F2"/>
    <w:pPr>
      <w:numPr>
        <w:ilvl w:val="4"/>
        <w:numId w:val="1"/>
      </w:numPr>
      <w:spacing w:before="60" w:after="60"/>
      <w:outlineLvl w:val="4"/>
    </w:pPr>
    <w:rPr>
      <w:color w:val="0F204B" w:themeColor="text2"/>
      <w:sz w:val="22"/>
    </w:rPr>
  </w:style>
  <w:style w:type="paragraph" w:styleId="Heading6">
    <w:name w:val="heading 6"/>
    <w:basedOn w:val="Heading1"/>
    <w:next w:val="BodyText"/>
    <w:link w:val="Heading6Char"/>
    <w:autoRedefine/>
    <w:uiPriority w:val="99"/>
    <w:rsid w:val="00AA15F2"/>
    <w:pPr>
      <w:numPr>
        <w:numId w:val="19"/>
      </w:numPr>
      <w:pBdr>
        <w:bottom w:val="single" w:sz="4" w:space="1" w:color="auto"/>
      </w:pBdr>
      <w:spacing w:before="320"/>
      <w:outlineLvl w:val="5"/>
    </w:pPr>
    <w:rPr>
      <w:rFonts w:cs="Verdana"/>
      <w:color w:val="0F204B" w:themeColor="text2"/>
      <w:lang w:val="en-US"/>
    </w:rPr>
  </w:style>
  <w:style w:type="paragraph" w:styleId="Heading7">
    <w:name w:val="heading 7"/>
    <w:basedOn w:val="Heading2"/>
    <w:next w:val="BodyText"/>
    <w:link w:val="Heading7Char"/>
    <w:uiPriority w:val="99"/>
    <w:qFormat/>
    <w:rsid w:val="00AA15F2"/>
    <w:pPr>
      <w:numPr>
        <w:ilvl w:val="0"/>
        <w:numId w:val="0"/>
      </w:numPr>
      <w:outlineLvl w:val="6"/>
    </w:pPr>
  </w:style>
  <w:style w:type="paragraph" w:styleId="Heading8">
    <w:name w:val="heading 8"/>
    <w:basedOn w:val="Heading3"/>
    <w:next w:val="BodyText"/>
    <w:link w:val="Heading8Char"/>
    <w:uiPriority w:val="99"/>
    <w:qFormat/>
    <w:rsid w:val="00AA15F2"/>
    <w:pPr>
      <w:numPr>
        <w:ilvl w:val="0"/>
        <w:numId w:val="0"/>
      </w:numPr>
      <w:outlineLvl w:val="7"/>
    </w:pPr>
  </w:style>
  <w:style w:type="paragraph" w:styleId="Heading9">
    <w:name w:val="heading 9"/>
    <w:basedOn w:val="Heading4"/>
    <w:next w:val="BodyText"/>
    <w:link w:val="Heading9Char"/>
    <w:uiPriority w:val="99"/>
    <w:rsid w:val="00AA15F2"/>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5F2"/>
    <w:rPr>
      <w:rFonts w:ascii="Arial" w:eastAsiaTheme="minorEastAsia" w:hAnsi="Arial"/>
      <w:b/>
      <w:caps/>
      <w:color w:val="0F204B"/>
      <w:sz w:val="26"/>
      <w:szCs w:val="18"/>
      <w:lang w:val="en-GB" w:eastAsia="zh-CN"/>
    </w:rPr>
  </w:style>
  <w:style w:type="character" w:customStyle="1" w:styleId="Heading2Char">
    <w:name w:val="Heading 2 Char"/>
    <w:aliases w:val="H2 Char,2m Char"/>
    <w:basedOn w:val="DefaultParagraphFont"/>
    <w:link w:val="Heading2"/>
    <w:uiPriority w:val="9"/>
    <w:rsid w:val="00AA15F2"/>
    <w:rPr>
      <w:rFonts w:ascii="Arial" w:eastAsiaTheme="minorEastAsia" w:hAnsi="Arial"/>
      <w:b/>
      <w:color w:val="0F204B"/>
      <w:sz w:val="26"/>
      <w:szCs w:val="18"/>
      <w:lang w:val="en-GB" w:eastAsia="zh-CN"/>
    </w:rPr>
  </w:style>
  <w:style w:type="character" w:customStyle="1" w:styleId="Heading3Char">
    <w:name w:val="Heading 3 Char"/>
    <w:aliases w:val="Heading 3 Char2 Char Char,Heading 3 Char1 Char Char Char,Heading 3 Char Char Char Char Char,Heading 3 Char1 Char Char Char Char Char,Heading 3 Char Char Char Char Char Char Char,Heading 3 Char2 Char Char Char Char Char Char Char,l3 Char"/>
    <w:basedOn w:val="DefaultParagraphFont"/>
    <w:link w:val="Heading3"/>
    <w:uiPriority w:val="9"/>
    <w:rsid w:val="00AA15F2"/>
    <w:rPr>
      <w:rFonts w:ascii="Arial" w:eastAsiaTheme="minorEastAsia" w:hAnsi="Arial"/>
      <w:color w:val="0F204B"/>
      <w:sz w:val="26"/>
      <w:szCs w:val="18"/>
      <w:lang w:val="en-GB" w:eastAsia="zh-CN"/>
    </w:rPr>
  </w:style>
  <w:style w:type="character" w:customStyle="1" w:styleId="Heading4Char">
    <w:name w:val="Heading 4 Char"/>
    <w:basedOn w:val="DefaultParagraphFont"/>
    <w:link w:val="Heading4"/>
    <w:uiPriority w:val="9"/>
    <w:rsid w:val="00AA15F2"/>
    <w:rPr>
      <w:rFonts w:ascii="Arial" w:eastAsiaTheme="minorEastAsia" w:hAnsi="Arial"/>
      <w:b/>
      <w:color w:val="0F204B"/>
      <w:sz w:val="22"/>
      <w:szCs w:val="18"/>
      <w:lang w:val="en-GB" w:eastAsia="zh-CN"/>
    </w:rPr>
  </w:style>
  <w:style w:type="paragraph" w:styleId="BodyText">
    <w:name w:val="Body Text"/>
    <w:basedOn w:val="Normal"/>
    <w:link w:val="BodyTextChar"/>
    <w:qFormat/>
    <w:rsid w:val="00AA15F2"/>
    <w:pPr>
      <w:spacing w:before="40" w:after="140" w:line="280" w:lineRule="atLeast"/>
    </w:pPr>
  </w:style>
  <w:style w:type="character" w:customStyle="1" w:styleId="BodyTextChar">
    <w:name w:val="Body Text Char"/>
    <w:basedOn w:val="DefaultParagraphFont"/>
    <w:link w:val="BodyText"/>
    <w:rsid w:val="00AA15F2"/>
    <w:rPr>
      <w:rFonts w:ascii="Arial" w:eastAsiaTheme="minorEastAsia" w:hAnsi="Arial"/>
      <w:sz w:val="18"/>
      <w:szCs w:val="18"/>
      <w:lang w:val="en-GB" w:eastAsia="zh-CN"/>
    </w:rPr>
  </w:style>
  <w:style w:type="character" w:styleId="PlaceholderText">
    <w:name w:val="Placeholder Text"/>
    <w:basedOn w:val="DefaultParagraphFont"/>
    <w:uiPriority w:val="99"/>
    <w:rsid w:val="00AA15F2"/>
    <w:rPr>
      <w:noProof/>
      <w:vanish/>
      <w:color w:val="808080"/>
      <w:lang w:val="en-GB"/>
    </w:rPr>
  </w:style>
  <w:style w:type="character" w:customStyle="1" w:styleId="Heading5Char">
    <w:name w:val="Heading 5 Char"/>
    <w:basedOn w:val="DefaultParagraphFont"/>
    <w:link w:val="Heading5"/>
    <w:uiPriority w:val="99"/>
    <w:rsid w:val="00AA15F2"/>
    <w:rPr>
      <w:rFonts w:ascii="Arial" w:eastAsiaTheme="minorEastAsia" w:hAnsi="Arial"/>
      <w:color w:val="0F204B" w:themeColor="text2"/>
      <w:sz w:val="22"/>
      <w:szCs w:val="18"/>
      <w:lang w:val="en-GB" w:eastAsia="zh-CN"/>
    </w:rPr>
  </w:style>
  <w:style w:type="character" w:customStyle="1" w:styleId="Heading6Char">
    <w:name w:val="Heading 6 Char"/>
    <w:basedOn w:val="DefaultParagraphFont"/>
    <w:link w:val="Heading6"/>
    <w:uiPriority w:val="99"/>
    <w:rsid w:val="00AA15F2"/>
    <w:rPr>
      <w:rFonts w:ascii="Arial" w:eastAsiaTheme="minorEastAsia" w:hAnsi="Arial" w:cs="Verdana"/>
      <w:b/>
      <w:caps/>
      <w:color w:val="0F204B" w:themeColor="text2"/>
      <w:sz w:val="26"/>
      <w:szCs w:val="18"/>
      <w:lang w:eastAsia="zh-CN"/>
    </w:rPr>
  </w:style>
  <w:style w:type="character" w:customStyle="1" w:styleId="Heading7Char">
    <w:name w:val="Heading 7 Char"/>
    <w:basedOn w:val="DefaultParagraphFont"/>
    <w:link w:val="Heading7"/>
    <w:uiPriority w:val="99"/>
    <w:rsid w:val="00AA15F2"/>
    <w:rPr>
      <w:rFonts w:ascii="Arial" w:eastAsiaTheme="minorEastAsia" w:hAnsi="Arial"/>
      <w:b/>
      <w:color w:val="0F204B"/>
      <w:sz w:val="26"/>
      <w:szCs w:val="18"/>
      <w:lang w:val="en-GB" w:eastAsia="zh-CN"/>
    </w:rPr>
  </w:style>
  <w:style w:type="character" w:customStyle="1" w:styleId="Heading8Char">
    <w:name w:val="Heading 8 Char"/>
    <w:basedOn w:val="DefaultParagraphFont"/>
    <w:link w:val="Heading8"/>
    <w:uiPriority w:val="99"/>
    <w:rsid w:val="00AA15F2"/>
    <w:rPr>
      <w:rFonts w:ascii="Arial" w:eastAsiaTheme="minorEastAsia" w:hAnsi="Arial"/>
      <w:color w:val="0F204B"/>
      <w:sz w:val="26"/>
      <w:szCs w:val="18"/>
      <w:lang w:val="en-GB" w:eastAsia="zh-CN"/>
    </w:rPr>
  </w:style>
  <w:style w:type="character" w:customStyle="1" w:styleId="Heading9Char">
    <w:name w:val="Heading 9 Char"/>
    <w:basedOn w:val="DefaultParagraphFont"/>
    <w:link w:val="Heading9"/>
    <w:uiPriority w:val="99"/>
    <w:rsid w:val="00AA15F2"/>
    <w:rPr>
      <w:rFonts w:ascii="Arial" w:eastAsiaTheme="minorEastAsia" w:hAnsi="Arial"/>
      <w:b/>
      <w:color w:val="0F204B"/>
      <w:sz w:val="22"/>
      <w:szCs w:val="18"/>
      <w:lang w:val="en-GB" w:eastAsia="zh-CN"/>
    </w:rPr>
  </w:style>
  <w:style w:type="paragraph" w:styleId="TOC1">
    <w:name w:val="toc 1"/>
    <w:basedOn w:val="Normal"/>
    <w:uiPriority w:val="39"/>
    <w:unhideWhenUsed/>
    <w:rsid w:val="00AA15F2"/>
    <w:pPr>
      <w:tabs>
        <w:tab w:val="right" w:leader="dot" w:pos="9581"/>
      </w:tabs>
      <w:spacing w:before="240"/>
      <w:ind w:left="850" w:right="850" w:hanging="850"/>
    </w:pPr>
    <w:rPr>
      <w:caps/>
      <w:noProof/>
    </w:rPr>
  </w:style>
  <w:style w:type="paragraph" w:styleId="TOC2">
    <w:name w:val="toc 2"/>
    <w:basedOn w:val="Normal"/>
    <w:uiPriority w:val="39"/>
    <w:unhideWhenUsed/>
    <w:rsid w:val="00AA15F2"/>
    <w:pPr>
      <w:tabs>
        <w:tab w:val="right" w:pos="9581"/>
      </w:tabs>
      <w:spacing w:before="60"/>
      <w:ind w:left="850" w:right="850" w:hanging="850"/>
    </w:pPr>
    <w:rPr>
      <w:noProof/>
    </w:rPr>
  </w:style>
  <w:style w:type="paragraph" w:styleId="TOC3">
    <w:name w:val="toc 3"/>
    <w:basedOn w:val="Normal"/>
    <w:uiPriority w:val="39"/>
    <w:unhideWhenUsed/>
    <w:rsid w:val="00AA15F2"/>
    <w:pPr>
      <w:tabs>
        <w:tab w:val="right" w:pos="9581"/>
      </w:tabs>
      <w:spacing w:before="60"/>
      <w:ind w:left="1138" w:right="850" w:hanging="1138"/>
    </w:pPr>
    <w:rPr>
      <w:noProof/>
    </w:rPr>
  </w:style>
  <w:style w:type="paragraph" w:styleId="TOC4">
    <w:name w:val="toc 4"/>
    <w:basedOn w:val="Normal"/>
    <w:uiPriority w:val="39"/>
    <w:unhideWhenUsed/>
    <w:rsid w:val="00AA15F2"/>
    <w:pPr>
      <w:tabs>
        <w:tab w:val="right" w:pos="9581"/>
      </w:tabs>
      <w:ind w:left="1417" w:right="850" w:hanging="1417"/>
    </w:pPr>
    <w:rPr>
      <w:noProof/>
    </w:rPr>
  </w:style>
  <w:style w:type="paragraph" w:styleId="TOC5">
    <w:name w:val="toc 5"/>
    <w:basedOn w:val="Normal"/>
    <w:uiPriority w:val="39"/>
    <w:unhideWhenUsed/>
    <w:rsid w:val="00AA15F2"/>
    <w:pPr>
      <w:tabs>
        <w:tab w:val="right" w:pos="9581"/>
      </w:tabs>
      <w:ind w:left="1417" w:right="850" w:hanging="1417"/>
    </w:pPr>
    <w:rPr>
      <w:noProof/>
    </w:rPr>
  </w:style>
  <w:style w:type="paragraph" w:styleId="TOC6">
    <w:name w:val="toc 6"/>
    <w:basedOn w:val="TOC1"/>
    <w:uiPriority w:val="39"/>
    <w:unhideWhenUsed/>
    <w:rsid w:val="00AA15F2"/>
  </w:style>
  <w:style w:type="paragraph" w:styleId="TOC7">
    <w:name w:val="toc 7"/>
    <w:basedOn w:val="TOC2"/>
    <w:uiPriority w:val="99"/>
    <w:semiHidden/>
    <w:unhideWhenUsed/>
    <w:rsid w:val="00AA15F2"/>
  </w:style>
  <w:style w:type="paragraph" w:styleId="TOC8">
    <w:name w:val="toc 8"/>
    <w:basedOn w:val="TOC4"/>
    <w:uiPriority w:val="39"/>
    <w:unhideWhenUsed/>
    <w:rsid w:val="00AA15F2"/>
  </w:style>
  <w:style w:type="paragraph" w:styleId="Header">
    <w:name w:val="header"/>
    <w:basedOn w:val="Normal"/>
    <w:link w:val="HeaderChar"/>
    <w:uiPriority w:val="99"/>
    <w:rsid w:val="00AA15F2"/>
    <w:rPr>
      <w:noProof/>
    </w:rPr>
  </w:style>
  <w:style w:type="character" w:customStyle="1" w:styleId="HeaderChar">
    <w:name w:val="Header Char"/>
    <w:basedOn w:val="DefaultParagraphFont"/>
    <w:link w:val="Header"/>
    <w:uiPriority w:val="99"/>
    <w:rsid w:val="00AA15F2"/>
    <w:rPr>
      <w:rFonts w:ascii="Arial" w:eastAsiaTheme="minorEastAsia" w:hAnsi="Arial"/>
      <w:noProof/>
      <w:sz w:val="18"/>
      <w:szCs w:val="18"/>
      <w:lang w:val="en-GB" w:eastAsia="zh-CN"/>
    </w:rPr>
  </w:style>
  <w:style w:type="paragraph" w:styleId="Footer">
    <w:name w:val="footer"/>
    <w:basedOn w:val="Normal"/>
    <w:link w:val="FooterChar"/>
    <w:uiPriority w:val="99"/>
    <w:rsid w:val="00AA15F2"/>
    <w:pPr>
      <w:spacing w:line="160" w:lineRule="atLeast"/>
    </w:pPr>
    <w:rPr>
      <w:noProof/>
      <w:sz w:val="13"/>
    </w:rPr>
  </w:style>
  <w:style w:type="character" w:customStyle="1" w:styleId="FooterChar">
    <w:name w:val="Footer Char"/>
    <w:basedOn w:val="DefaultParagraphFont"/>
    <w:link w:val="Footer"/>
    <w:uiPriority w:val="99"/>
    <w:rsid w:val="00AA15F2"/>
    <w:rPr>
      <w:rFonts w:ascii="Arial" w:eastAsiaTheme="minorEastAsia" w:hAnsi="Arial"/>
      <w:noProof/>
      <w:sz w:val="13"/>
      <w:szCs w:val="18"/>
      <w:lang w:val="en-GB" w:eastAsia="zh-CN"/>
    </w:rPr>
  </w:style>
  <w:style w:type="paragraph" w:styleId="Caption">
    <w:name w:val="caption"/>
    <w:basedOn w:val="Normal"/>
    <w:next w:val="BodyText"/>
    <w:link w:val="CaptionChar"/>
    <w:uiPriority w:val="99"/>
    <w:qFormat/>
    <w:rsid w:val="00AA15F2"/>
    <w:pPr>
      <w:keepNext/>
      <w:spacing w:before="120" w:after="40"/>
    </w:pPr>
    <w:rPr>
      <w:b/>
    </w:rPr>
  </w:style>
  <w:style w:type="paragraph" w:styleId="ListBullet">
    <w:name w:val="List Bullet"/>
    <w:basedOn w:val="Normal"/>
    <w:uiPriority w:val="99"/>
    <w:qFormat/>
    <w:rsid w:val="00AA15F2"/>
    <w:pPr>
      <w:numPr>
        <w:numId w:val="2"/>
      </w:numPr>
      <w:spacing w:after="140" w:line="280" w:lineRule="atLeast"/>
      <w:contextualSpacing/>
    </w:pPr>
  </w:style>
  <w:style w:type="paragraph" w:styleId="ListNumber">
    <w:name w:val="List Number"/>
    <w:basedOn w:val="Normal"/>
    <w:uiPriority w:val="99"/>
    <w:rsid w:val="00AA15F2"/>
    <w:pPr>
      <w:numPr>
        <w:numId w:val="3"/>
      </w:numPr>
      <w:spacing w:after="140" w:line="280" w:lineRule="atLeast"/>
      <w:contextualSpacing/>
    </w:pPr>
  </w:style>
  <w:style w:type="paragraph" w:styleId="FootnoteText">
    <w:name w:val="footnote text"/>
    <w:aliases w:val="DFSListFootnote"/>
    <w:basedOn w:val="Normal"/>
    <w:link w:val="FootnoteTextChar"/>
    <w:uiPriority w:val="99"/>
    <w:rsid w:val="00AA15F2"/>
    <w:pPr>
      <w:ind w:left="397" w:hanging="397"/>
    </w:pPr>
    <w:rPr>
      <w:sz w:val="13"/>
    </w:rPr>
  </w:style>
  <w:style w:type="character" w:customStyle="1" w:styleId="FootnoteTextChar">
    <w:name w:val="Footnote Text Char"/>
    <w:aliases w:val="DFSListFootnote Char"/>
    <w:basedOn w:val="DefaultParagraphFont"/>
    <w:link w:val="FootnoteText"/>
    <w:uiPriority w:val="99"/>
    <w:rsid w:val="00AA15F2"/>
    <w:rPr>
      <w:rFonts w:ascii="Arial" w:eastAsiaTheme="minorEastAsia" w:hAnsi="Arial"/>
      <w:sz w:val="13"/>
      <w:szCs w:val="18"/>
      <w:lang w:val="en-GB" w:eastAsia="zh-CN"/>
    </w:rPr>
  </w:style>
  <w:style w:type="character" w:styleId="FootnoteReference">
    <w:name w:val="footnote reference"/>
    <w:basedOn w:val="DefaultParagraphFont"/>
    <w:uiPriority w:val="99"/>
    <w:unhideWhenUsed/>
    <w:rsid w:val="00AA15F2"/>
    <w:rPr>
      <w:sz w:val="18"/>
      <w:vertAlign w:val="superscript"/>
    </w:rPr>
  </w:style>
  <w:style w:type="paragraph" w:customStyle="1" w:styleId="DNVGL-Hidden">
    <w:name w:val="DNVGL-Hidden"/>
    <w:basedOn w:val="Normal"/>
    <w:next w:val="BodyText"/>
    <w:link w:val="DNVGL-HiddenChar"/>
    <w:uiPriority w:val="99"/>
    <w:rsid w:val="00AA15F2"/>
    <w:rPr>
      <w:noProof/>
      <w:vanish/>
      <w:color w:val="FF0000"/>
    </w:rPr>
  </w:style>
  <w:style w:type="character" w:customStyle="1" w:styleId="DNVGL-HiddenChar">
    <w:name w:val="DNVGL-Hidden Char"/>
    <w:basedOn w:val="DefaultParagraphFont"/>
    <w:link w:val="DNVGL-Hidden"/>
    <w:uiPriority w:val="99"/>
    <w:rsid w:val="00AA15F2"/>
    <w:rPr>
      <w:rFonts w:ascii="Arial" w:eastAsiaTheme="minorEastAsia" w:hAnsi="Arial"/>
      <w:noProof/>
      <w:vanish/>
      <w:color w:val="FF0000"/>
      <w:sz w:val="18"/>
      <w:szCs w:val="18"/>
      <w:lang w:val="en-GB" w:eastAsia="zh-CN"/>
    </w:rPr>
  </w:style>
  <w:style w:type="paragraph" w:customStyle="1" w:styleId="DNVGL-HQDetails">
    <w:name w:val="DNVGL-HQ Details"/>
    <w:basedOn w:val="Normal"/>
    <w:link w:val="DNVGL-HQDetailsChar"/>
    <w:uiPriority w:val="99"/>
    <w:rsid w:val="00AA15F2"/>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AA15F2"/>
    <w:rPr>
      <w:rFonts w:ascii="Arial" w:eastAsiaTheme="minorEastAsia" w:hAnsi="Arial"/>
      <w:noProof/>
      <w:color w:val="0F204B"/>
      <w:sz w:val="16"/>
      <w:szCs w:val="18"/>
      <w:lang w:val="en-GB" w:eastAsia="zh-CN"/>
    </w:rPr>
  </w:style>
  <w:style w:type="paragraph" w:customStyle="1" w:styleId="DNVGL-Address-receiver">
    <w:name w:val="DNVGL-Address - receiver"/>
    <w:basedOn w:val="Normal"/>
    <w:link w:val="DNVGL-Address-receiverChar"/>
    <w:uiPriority w:val="99"/>
    <w:rsid w:val="00AA15F2"/>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AA15F2"/>
    <w:rPr>
      <w:rFonts w:ascii="Arial" w:eastAsiaTheme="minorEastAsia" w:hAnsi="Arial"/>
      <w:noProof/>
      <w:sz w:val="18"/>
      <w:szCs w:val="18"/>
      <w:lang w:val="en-GB" w:eastAsia="zh-CN"/>
    </w:rPr>
  </w:style>
  <w:style w:type="paragraph" w:customStyle="1" w:styleId="DNVGL-Address-sender">
    <w:name w:val="DNVGL-Address - sender"/>
    <w:basedOn w:val="Normal"/>
    <w:link w:val="DNVGL-Address-senderChar"/>
    <w:uiPriority w:val="99"/>
    <w:rsid w:val="00AA15F2"/>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AA15F2"/>
    <w:rPr>
      <w:rFonts w:ascii="Arial" w:eastAsiaTheme="minorEastAsia" w:hAnsi="Arial"/>
      <w:noProof/>
      <w:sz w:val="18"/>
      <w:szCs w:val="18"/>
      <w:lang w:val="en-GB" w:eastAsia="zh-CN"/>
    </w:rPr>
  </w:style>
  <w:style w:type="paragraph" w:customStyle="1" w:styleId="DNVGL-Details">
    <w:name w:val="DNVGL-Details"/>
    <w:basedOn w:val="Normal"/>
    <w:link w:val="DNVGL-DetailsChar"/>
    <w:uiPriority w:val="99"/>
    <w:rsid w:val="00AA15F2"/>
    <w:pPr>
      <w:keepLines/>
      <w:spacing w:line="280" w:lineRule="atLeast"/>
    </w:pPr>
  </w:style>
  <w:style w:type="character" w:customStyle="1" w:styleId="DNVGL-DetailsChar">
    <w:name w:val="DNVGL-Details Char"/>
    <w:basedOn w:val="DefaultParagraphFont"/>
    <w:link w:val="DNVGL-Details"/>
    <w:uiPriority w:val="99"/>
    <w:rsid w:val="00AA15F2"/>
    <w:rPr>
      <w:rFonts w:ascii="Arial" w:eastAsiaTheme="minorEastAsia" w:hAnsi="Arial"/>
      <w:sz w:val="18"/>
      <w:szCs w:val="18"/>
      <w:lang w:val="en-GB" w:eastAsia="zh-CN"/>
    </w:rPr>
  </w:style>
  <w:style w:type="paragraph" w:customStyle="1" w:styleId="DNVGL-Revisionrow">
    <w:name w:val="DNVGL-Revision row"/>
    <w:basedOn w:val="Normal"/>
    <w:link w:val="DNVGL-RevisionrowChar"/>
    <w:uiPriority w:val="99"/>
    <w:rsid w:val="00AA15F2"/>
    <w:pPr>
      <w:keepLines/>
      <w:spacing w:line="280" w:lineRule="atLeast"/>
    </w:pPr>
    <w:rPr>
      <w:sz w:val="14"/>
    </w:rPr>
  </w:style>
  <w:style w:type="character" w:customStyle="1" w:styleId="DNVGL-RevisionrowChar">
    <w:name w:val="DNVGL-Revision row Char"/>
    <w:basedOn w:val="DefaultParagraphFont"/>
    <w:link w:val="DNVGL-Revisionrow"/>
    <w:uiPriority w:val="99"/>
    <w:rsid w:val="00AA15F2"/>
    <w:rPr>
      <w:rFonts w:ascii="Arial" w:eastAsiaTheme="minorEastAsia" w:hAnsi="Arial"/>
      <w:sz w:val="14"/>
      <w:szCs w:val="18"/>
      <w:lang w:val="en-GB" w:eastAsia="zh-CN"/>
    </w:rPr>
  </w:style>
  <w:style w:type="paragraph" w:customStyle="1" w:styleId="DNVGL-Revisionheadingrow">
    <w:name w:val="DNVGL-Revision heading row"/>
    <w:basedOn w:val="Normal"/>
    <w:link w:val="DNVGL-RevisionheadingrowChar"/>
    <w:uiPriority w:val="99"/>
    <w:rsid w:val="00AA15F2"/>
    <w:pPr>
      <w:keepLines/>
    </w:pPr>
    <w:rPr>
      <w:sz w:val="14"/>
    </w:rPr>
  </w:style>
  <w:style w:type="character" w:customStyle="1" w:styleId="DNVGL-RevisionheadingrowChar">
    <w:name w:val="DNVGL-Revision heading row Char"/>
    <w:basedOn w:val="DefaultParagraphFont"/>
    <w:link w:val="DNVGL-Revisionheadingrow"/>
    <w:uiPriority w:val="99"/>
    <w:rsid w:val="00AA15F2"/>
    <w:rPr>
      <w:rFonts w:ascii="Arial" w:eastAsiaTheme="minorEastAsia" w:hAnsi="Arial"/>
      <w:sz w:val="14"/>
      <w:szCs w:val="18"/>
      <w:lang w:val="en-GB" w:eastAsia="zh-CN"/>
    </w:rPr>
  </w:style>
  <w:style w:type="paragraph" w:customStyle="1" w:styleId="DNVGL-Signature">
    <w:name w:val="DNVGL-Signature"/>
    <w:basedOn w:val="Normal"/>
    <w:link w:val="DNVGL-SignatureChar"/>
    <w:uiPriority w:val="99"/>
    <w:rsid w:val="00AA15F2"/>
    <w:pPr>
      <w:keepLines/>
      <w:contextualSpacing/>
    </w:pPr>
    <w:rPr>
      <w:noProof/>
    </w:rPr>
  </w:style>
  <w:style w:type="character" w:customStyle="1" w:styleId="DNVGL-SignatureChar">
    <w:name w:val="DNVGL-Signature Char"/>
    <w:basedOn w:val="DefaultParagraphFont"/>
    <w:link w:val="DNVGL-Signature"/>
    <w:uiPriority w:val="99"/>
    <w:rsid w:val="00AA15F2"/>
    <w:rPr>
      <w:rFonts w:ascii="Arial" w:eastAsiaTheme="minorEastAsia" w:hAnsi="Arial"/>
      <w:noProof/>
      <w:sz w:val="18"/>
      <w:szCs w:val="18"/>
      <w:lang w:val="en-GB" w:eastAsia="zh-CN"/>
    </w:rPr>
  </w:style>
  <w:style w:type="paragraph" w:customStyle="1" w:styleId="DNVGL-Signaturesmall">
    <w:name w:val="DNVGL-Signature (small)"/>
    <w:basedOn w:val="DNVGL-Signature"/>
    <w:link w:val="DNVGL-SignaturesmallChar"/>
    <w:uiPriority w:val="99"/>
    <w:rsid w:val="00AA15F2"/>
    <w:rPr>
      <w:sz w:val="14"/>
    </w:rPr>
  </w:style>
  <w:style w:type="character" w:customStyle="1" w:styleId="DNVGL-SignaturesmallChar">
    <w:name w:val="DNVGL-Signature (small) Char"/>
    <w:basedOn w:val="DefaultParagraphFont"/>
    <w:link w:val="DNVGL-Signaturesmall"/>
    <w:uiPriority w:val="99"/>
    <w:rsid w:val="00AA15F2"/>
    <w:rPr>
      <w:rFonts w:ascii="Arial" w:eastAsiaTheme="minorEastAsia" w:hAnsi="Arial"/>
      <w:noProof/>
      <w:sz w:val="14"/>
      <w:szCs w:val="18"/>
      <w:lang w:val="en-GB" w:eastAsia="zh-CN"/>
    </w:rPr>
  </w:style>
  <w:style w:type="paragraph" w:customStyle="1" w:styleId="DNVGL-Closing">
    <w:name w:val="DNVGL-Closing"/>
    <w:basedOn w:val="Normal"/>
    <w:next w:val="DNVGL-Signature"/>
    <w:link w:val="DNVGL-ClosingChar"/>
    <w:uiPriority w:val="99"/>
    <w:rsid w:val="00AA15F2"/>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AA15F2"/>
    <w:rPr>
      <w:rFonts w:ascii="Arial" w:eastAsiaTheme="minorEastAsia" w:hAnsi="Arial"/>
      <w:noProof/>
      <w:sz w:val="18"/>
      <w:szCs w:val="18"/>
      <w:lang w:val="en-GB" w:eastAsia="zh-CN"/>
    </w:rPr>
  </w:style>
  <w:style w:type="paragraph" w:customStyle="1" w:styleId="CMCHeading">
    <w:name w:val="CMCHeading"/>
    <w:basedOn w:val="Normal"/>
    <w:next w:val="Normal"/>
    <w:link w:val="CMCHeadingChar"/>
    <w:uiPriority w:val="99"/>
    <w:rsid w:val="00AA15F2"/>
    <w:rPr>
      <w:b/>
      <w:sz w:val="22"/>
    </w:rPr>
  </w:style>
  <w:style w:type="character" w:customStyle="1" w:styleId="CMCHeadingChar">
    <w:name w:val="CMCHeading Char"/>
    <w:basedOn w:val="DefaultParagraphFont"/>
    <w:link w:val="CMCHeading"/>
    <w:uiPriority w:val="99"/>
    <w:rsid w:val="00AA15F2"/>
    <w:rPr>
      <w:rFonts w:ascii="Arial" w:eastAsiaTheme="minorEastAsia" w:hAnsi="Arial"/>
      <w:b/>
      <w:sz w:val="22"/>
      <w:szCs w:val="18"/>
      <w:lang w:val="en-GB" w:eastAsia="zh-CN"/>
    </w:rPr>
  </w:style>
  <w:style w:type="paragraph" w:customStyle="1" w:styleId="CMCConfidential">
    <w:name w:val="CMCConfidential"/>
    <w:basedOn w:val="Normal"/>
    <w:link w:val="CMCConfidentialChar"/>
    <w:uiPriority w:val="99"/>
    <w:rsid w:val="00AA15F2"/>
    <w:rPr>
      <w:color w:val="FF0000"/>
    </w:rPr>
  </w:style>
  <w:style w:type="character" w:customStyle="1" w:styleId="CMCConfidentialChar">
    <w:name w:val="CMCConfidential Char"/>
    <w:basedOn w:val="DefaultParagraphFont"/>
    <w:link w:val="CMCConfidential"/>
    <w:uiPriority w:val="99"/>
    <w:rsid w:val="00AA15F2"/>
    <w:rPr>
      <w:rFonts w:ascii="Arial" w:eastAsiaTheme="minorEastAsia" w:hAnsi="Arial"/>
      <w:color w:val="FF0000"/>
      <w:sz w:val="18"/>
      <w:szCs w:val="18"/>
      <w:lang w:val="en-GB" w:eastAsia="zh-CN"/>
    </w:rPr>
  </w:style>
  <w:style w:type="paragraph" w:customStyle="1" w:styleId="CMCConfidentialText">
    <w:name w:val="CMCConfidentialText"/>
    <w:basedOn w:val="CMCConfidential"/>
    <w:link w:val="CMCConfidentialTextChar"/>
    <w:uiPriority w:val="99"/>
    <w:rsid w:val="00AA15F2"/>
  </w:style>
  <w:style w:type="character" w:customStyle="1" w:styleId="CMCConfidentialTextChar">
    <w:name w:val="CMCConfidentialText Char"/>
    <w:basedOn w:val="DefaultParagraphFont"/>
    <w:link w:val="CMCConfidentialText"/>
    <w:uiPriority w:val="99"/>
    <w:rsid w:val="00AA15F2"/>
    <w:rPr>
      <w:rFonts w:ascii="Arial" w:eastAsiaTheme="minorEastAsia" w:hAnsi="Arial"/>
      <w:color w:val="FF0000"/>
      <w:sz w:val="18"/>
      <w:szCs w:val="18"/>
      <w:lang w:val="en-GB" w:eastAsia="zh-CN"/>
    </w:rPr>
  </w:style>
  <w:style w:type="paragraph" w:customStyle="1" w:styleId="DNVGL-AppListing">
    <w:name w:val="DNVGL-App Listing"/>
    <w:basedOn w:val="Normal"/>
    <w:link w:val="DNVGL-AppListingChar"/>
    <w:uiPriority w:val="99"/>
    <w:rsid w:val="00AA15F2"/>
    <w:pPr>
      <w:keepLines/>
      <w:numPr>
        <w:numId w:val="4"/>
      </w:numPr>
    </w:pPr>
    <w:rPr>
      <w:color w:val="0F204B"/>
    </w:rPr>
  </w:style>
  <w:style w:type="character" w:customStyle="1" w:styleId="DNVGL-AppListingChar">
    <w:name w:val="DNVGL-App Listing Char"/>
    <w:basedOn w:val="DefaultParagraphFont"/>
    <w:link w:val="DNVGL-AppListing"/>
    <w:uiPriority w:val="99"/>
    <w:rsid w:val="00AA15F2"/>
    <w:rPr>
      <w:rFonts w:ascii="Arial" w:eastAsiaTheme="minorEastAsia" w:hAnsi="Arial"/>
      <w:color w:val="0F204B"/>
      <w:sz w:val="18"/>
      <w:szCs w:val="18"/>
      <w:lang w:val="en-GB" w:eastAsia="zh-CN"/>
    </w:rPr>
  </w:style>
  <w:style w:type="paragraph" w:customStyle="1" w:styleId="DNVGL-AppText">
    <w:name w:val="DNVGL-App Text"/>
    <w:basedOn w:val="Normal"/>
    <w:next w:val="BodyText"/>
    <w:link w:val="DNVGL-AppTextChar"/>
    <w:uiPriority w:val="99"/>
    <w:rsid w:val="00AA15F2"/>
    <w:pPr>
      <w:spacing w:after="120"/>
    </w:pPr>
    <w:rPr>
      <w:b/>
      <w:color w:val="0F204B"/>
      <w:sz w:val="26"/>
    </w:rPr>
  </w:style>
  <w:style w:type="character" w:customStyle="1" w:styleId="DNVGL-AppTextChar">
    <w:name w:val="DNVGL-App Text Char"/>
    <w:basedOn w:val="DefaultParagraphFont"/>
    <w:link w:val="DNVGL-AppText"/>
    <w:uiPriority w:val="99"/>
    <w:rsid w:val="00AA15F2"/>
    <w:rPr>
      <w:rFonts w:ascii="Arial" w:eastAsiaTheme="minorEastAsia" w:hAnsi="Arial"/>
      <w:b/>
      <w:color w:val="0F204B"/>
      <w:sz w:val="26"/>
      <w:szCs w:val="18"/>
      <w:lang w:val="en-GB" w:eastAsia="zh-CN"/>
    </w:rPr>
  </w:style>
  <w:style w:type="paragraph" w:customStyle="1" w:styleId="DNVGL-Appendix">
    <w:name w:val="DNVGL-Appendix"/>
    <w:basedOn w:val="Normal"/>
    <w:next w:val="BodyText"/>
    <w:link w:val="DNVGL-AppendixChar"/>
    <w:uiPriority w:val="99"/>
    <w:rsid w:val="00AA15F2"/>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AA15F2"/>
    <w:rPr>
      <w:rFonts w:ascii="Arial" w:eastAsiaTheme="minorEastAsia" w:hAnsi="Arial"/>
      <w:b/>
      <w:caps/>
      <w:noProof/>
      <w:color w:val="0F204B"/>
      <w:sz w:val="26"/>
      <w:szCs w:val="18"/>
      <w:lang w:val="en-GB" w:eastAsia="zh-CN"/>
    </w:rPr>
  </w:style>
  <w:style w:type="paragraph" w:customStyle="1" w:styleId="DNVGL-BackcoverTitle">
    <w:name w:val="DNVGL-Backcover Title"/>
    <w:basedOn w:val="Normal"/>
    <w:next w:val="BodyText"/>
    <w:link w:val="DNVGL-BackcoverTitleChar"/>
    <w:uiPriority w:val="99"/>
    <w:rsid w:val="00AA15F2"/>
    <w:rPr>
      <w:b/>
      <w:noProof/>
      <w:color w:val="0F204B"/>
      <w:sz w:val="26"/>
    </w:rPr>
  </w:style>
  <w:style w:type="character" w:customStyle="1" w:styleId="DNVGL-BackcoverTitleChar">
    <w:name w:val="DNVGL-Backcover Title Char"/>
    <w:basedOn w:val="DefaultParagraphFont"/>
    <w:link w:val="DNVGL-BackcoverTitle"/>
    <w:uiPriority w:val="99"/>
    <w:rsid w:val="00AA15F2"/>
    <w:rPr>
      <w:rFonts w:ascii="Arial" w:eastAsiaTheme="minorEastAsia" w:hAnsi="Arial"/>
      <w:b/>
      <w:noProof/>
      <w:color w:val="0F204B"/>
      <w:sz w:val="26"/>
      <w:szCs w:val="18"/>
      <w:lang w:val="en-GB" w:eastAsia="zh-CN"/>
    </w:rPr>
  </w:style>
  <w:style w:type="paragraph" w:customStyle="1" w:styleId="Bodytexthighlight">
    <w:name w:val="Body text highlight"/>
    <w:basedOn w:val="BodyText"/>
    <w:link w:val="BodytexthighlightChar"/>
    <w:uiPriority w:val="99"/>
    <w:rsid w:val="00AA15F2"/>
    <w:pPr>
      <w:shd w:val="clear" w:color="auto" w:fill="FFFF99"/>
    </w:pPr>
    <w:rPr>
      <w:color w:val="0F204B"/>
    </w:rPr>
  </w:style>
  <w:style w:type="character" w:customStyle="1" w:styleId="BodytexthighlightChar">
    <w:name w:val="Body text highlight Char"/>
    <w:basedOn w:val="DefaultParagraphFont"/>
    <w:link w:val="Bodytexthighlight"/>
    <w:uiPriority w:val="99"/>
    <w:rsid w:val="00AA15F2"/>
    <w:rPr>
      <w:rFonts w:ascii="Arial" w:eastAsiaTheme="minorEastAsia" w:hAnsi="Arial"/>
      <w:color w:val="0F204B"/>
      <w:sz w:val="18"/>
      <w:szCs w:val="18"/>
      <w:shd w:val="clear" w:color="auto" w:fill="FFFF99"/>
      <w:lang w:val="en-GB" w:eastAsia="zh-CN"/>
    </w:rPr>
  </w:style>
  <w:style w:type="paragraph" w:customStyle="1" w:styleId="DNVGL-capEquation">
    <w:name w:val="DNVGL-capEquation"/>
    <w:basedOn w:val="Normal"/>
    <w:next w:val="BodyText"/>
    <w:link w:val="DNVGL-capEquationChar"/>
    <w:uiPriority w:val="99"/>
    <w:rsid w:val="00AA15F2"/>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AA15F2"/>
    <w:rPr>
      <w:rFonts w:ascii="Arial" w:eastAsiaTheme="minorEastAsia" w:hAnsi="Arial"/>
      <w:b/>
      <w:sz w:val="18"/>
      <w:szCs w:val="18"/>
      <w:lang w:val="en-GB" w:eastAsia="zh-CN"/>
    </w:rPr>
  </w:style>
  <w:style w:type="paragraph" w:customStyle="1" w:styleId="DNVGL-capFigure">
    <w:name w:val="DNVGL-capFigure"/>
    <w:basedOn w:val="Normal"/>
    <w:next w:val="BodyText"/>
    <w:link w:val="DNVGL-capFigureChar"/>
    <w:uiPriority w:val="99"/>
    <w:rsid w:val="00AA15F2"/>
    <w:pPr>
      <w:keepNext/>
    </w:pPr>
    <w:rPr>
      <w:b/>
    </w:rPr>
  </w:style>
  <w:style w:type="character" w:customStyle="1" w:styleId="DNVGL-capFigureChar">
    <w:name w:val="DNVGL-capFigure Char"/>
    <w:basedOn w:val="DefaultParagraphFont"/>
    <w:link w:val="DNVGL-capFigure"/>
    <w:uiPriority w:val="99"/>
    <w:rsid w:val="00AA15F2"/>
    <w:rPr>
      <w:rFonts w:ascii="Arial" w:eastAsiaTheme="minorEastAsia" w:hAnsi="Arial"/>
      <w:b/>
      <w:sz w:val="18"/>
      <w:szCs w:val="18"/>
      <w:lang w:val="en-GB" w:eastAsia="zh-CN"/>
    </w:rPr>
  </w:style>
  <w:style w:type="paragraph" w:customStyle="1" w:styleId="DNVGL-capTable">
    <w:name w:val="DNVGL-capTable"/>
    <w:basedOn w:val="Normal"/>
    <w:next w:val="BodyText"/>
    <w:link w:val="DNVGL-capTableChar"/>
    <w:uiPriority w:val="99"/>
    <w:rsid w:val="00AA15F2"/>
    <w:pPr>
      <w:keepNext/>
      <w:spacing w:before="100" w:after="60" w:line="280" w:lineRule="atLeast"/>
    </w:pPr>
    <w:rPr>
      <w:b/>
    </w:rPr>
  </w:style>
  <w:style w:type="character" w:customStyle="1" w:styleId="DNVGL-capTableChar">
    <w:name w:val="DNVGL-capTable Char"/>
    <w:basedOn w:val="DefaultParagraphFont"/>
    <w:link w:val="DNVGL-capTable"/>
    <w:uiPriority w:val="99"/>
    <w:rsid w:val="00AA15F2"/>
    <w:rPr>
      <w:rFonts w:ascii="Arial" w:eastAsiaTheme="minorEastAsia" w:hAnsi="Arial"/>
      <w:b/>
      <w:sz w:val="18"/>
      <w:szCs w:val="18"/>
      <w:lang w:val="en-GB" w:eastAsia="zh-CN"/>
    </w:rPr>
  </w:style>
  <w:style w:type="paragraph" w:customStyle="1" w:styleId="DNVGL-FigureComment">
    <w:name w:val="DNVGL-FigureComment"/>
    <w:basedOn w:val="Normal"/>
    <w:link w:val="DNVGL-FigureCommentChar"/>
    <w:uiPriority w:val="99"/>
    <w:rsid w:val="00AA15F2"/>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AA15F2"/>
    <w:rPr>
      <w:rFonts w:ascii="Arial" w:eastAsiaTheme="minorEastAsia" w:hAnsi="Arial"/>
      <w:sz w:val="13"/>
      <w:szCs w:val="18"/>
      <w:lang w:val="en-GB" w:eastAsia="zh-CN"/>
    </w:rPr>
  </w:style>
  <w:style w:type="paragraph" w:customStyle="1" w:styleId="DNVGL-TableComment">
    <w:name w:val="DNVGL-TableComment"/>
    <w:basedOn w:val="Normal"/>
    <w:link w:val="DNVGL-TableCommentChar"/>
    <w:uiPriority w:val="99"/>
    <w:rsid w:val="00AA15F2"/>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AA15F2"/>
    <w:rPr>
      <w:rFonts w:ascii="Arial" w:eastAsiaTheme="minorEastAsia" w:hAnsi="Arial"/>
      <w:sz w:val="13"/>
      <w:szCs w:val="18"/>
      <w:lang w:val="en-GB" w:eastAsia="zh-CN"/>
    </w:rPr>
  </w:style>
  <w:style w:type="paragraph" w:customStyle="1" w:styleId="DNVGL-TableText">
    <w:name w:val="DNVGL-TableText"/>
    <w:basedOn w:val="Normal"/>
    <w:link w:val="DNVGL-TableTextChar"/>
    <w:uiPriority w:val="99"/>
    <w:rsid w:val="00AA15F2"/>
    <w:pPr>
      <w:keepNext/>
      <w:keepLines/>
      <w:spacing w:before="20" w:after="20"/>
    </w:pPr>
    <w:rPr>
      <w:sz w:val="16"/>
    </w:rPr>
  </w:style>
  <w:style w:type="character" w:customStyle="1" w:styleId="DNVGL-TableTextChar">
    <w:name w:val="DNVGL-TableText Char"/>
    <w:basedOn w:val="DefaultParagraphFont"/>
    <w:link w:val="DNVGL-TableText"/>
    <w:uiPriority w:val="99"/>
    <w:rsid w:val="00AA15F2"/>
    <w:rPr>
      <w:rFonts w:ascii="Arial" w:eastAsiaTheme="minorEastAsia" w:hAnsi="Arial"/>
      <w:sz w:val="16"/>
      <w:szCs w:val="18"/>
      <w:lang w:val="en-GB" w:eastAsia="zh-CN"/>
    </w:rPr>
  </w:style>
  <w:style w:type="paragraph" w:customStyle="1" w:styleId="DNVGL-TableHeadingText">
    <w:name w:val="DNVGL-TableHeadingText"/>
    <w:basedOn w:val="DNVGL-TableText"/>
    <w:link w:val="DNVGL-TableHeadingTextChar"/>
    <w:uiPriority w:val="99"/>
    <w:rsid w:val="00AA15F2"/>
    <w:rPr>
      <w:b/>
    </w:rPr>
  </w:style>
  <w:style w:type="character" w:customStyle="1" w:styleId="DNVGL-TableHeadingTextChar">
    <w:name w:val="DNVGL-TableHeadingText Char"/>
    <w:basedOn w:val="DefaultParagraphFont"/>
    <w:link w:val="DNVGL-TableHeadingText"/>
    <w:uiPriority w:val="99"/>
    <w:rsid w:val="00AA15F2"/>
    <w:rPr>
      <w:rFonts w:ascii="Arial" w:eastAsiaTheme="minorEastAsia" w:hAnsi="Arial"/>
      <w:b/>
      <w:sz w:val="16"/>
      <w:szCs w:val="18"/>
      <w:lang w:val="en-GB" w:eastAsia="zh-CN"/>
    </w:rPr>
  </w:style>
  <w:style w:type="paragraph" w:customStyle="1" w:styleId="DNVGL-TOCHeading">
    <w:name w:val="DNVGL-TOC Heading"/>
    <w:basedOn w:val="Normal"/>
    <w:next w:val="Normal"/>
    <w:link w:val="DNVGL-TOCHeadingChar"/>
    <w:uiPriority w:val="99"/>
    <w:rsid w:val="00AA15F2"/>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AA15F2"/>
    <w:rPr>
      <w:rFonts w:ascii="Arial" w:eastAsiaTheme="minorEastAsia" w:hAnsi="Arial"/>
      <w:sz w:val="26"/>
      <w:szCs w:val="18"/>
      <w:lang w:val="en-GB" w:eastAsia="zh-CN"/>
    </w:rPr>
  </w:style>
  <w:style w:type="paragraph" w:customStyle="1" w:styleId="DNVGL-Cover-ProjectName">
    <w:name w:val="DNVGL-Cover-ProjectName"/>
    <w:basedOn w:val="Normal"/>
    <w:link w:val="DNVGL-Cover-ProjectNameChar"/>
    <w:uiPriority w:val="99"/>
    <w:rsid w:val="00AA15F2"/>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AA15F2"/>
    <w:rPr>
      <w:rFonts w:ascii="Arial" w:eastAsiaTheme="minorEastAsia" w:hAnsi="Arial"/>
      <w:b/>
      <w:caps/>
      <w:color w:val="565655"/>
      <w:sz w:val="26"/>
      <w:szCs w:val="18"/>
      <w:lang w:val="en-GB" w:eastAsia="zh-CN"/>
    </w:rPr>
  </w:style>
  <w:style w:type="paragraph" w:customStyle="1" w:styleId="DNVGL-Cover-ReportTitle">
    <w:name w:val="DNVGL-Cover-ReportTitle"/>
    <w:basedOn w:val="Normal"/>
    <w:link w:val="DNVGL-Cover-ReportTitleChar"/>
    <w:uiPriority w:val="99"/>
    <w:rsid w:val="00AA15F2"/>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AA15F2"/>
    <w:rPr>
      <w:rFonts w:ascii="Arial" w:eastAsiaTheme="minorEastAsia" w:hAnsi="Arial"/>
      <w:b/>
      <w:color w:val="0F204B"/>
      <w:sz w:val="56"/>
      <w:szCs w:val="18"/>
      <w:lang w:val="en-GB" w:eastAsia="zh-CN"/>
    </w:rPr>
  </w:style>
  <w:style w:type="paragraph" w:customStyle="1" w:styleId="DNVGL-Cover-Company">
    <w:name w:val="DNVGL-Cover-Company"/>
    <w:basedOn w:val="Normal"/>
    <w:link w:val="DNVGL-Cover-CompanyChar"/>
    <w:uiPriority w:val="99"/>
    <w:rsid w:val="00AA15F2"/>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AA15F2"/>
    <w:rPr>
      <w:rFonts w:ascii="Arial" w:eastAsiaTheme="minorEastAsia" w:hAnsi="Arial"/>
      <w:b/>
      <w:color w:val="565655"/>
      <w:sz w:val="28"/>
      <w:szCs w:val="18"/>
      <w:lang w:val="en-GB" w:eastAsia="zh-CN"/>
    </w:rPr>
  </w:style>
  <w:style w:type="paragraph" w:styleId="BalloonText">
    <w:name w:val="Balloon Text"/>
    <w:basedOn w:val="Normal"/>
    <w:link w:val="BalloonTextChar"/>
    <w:uiPriority w:val="99"/>
    <w:semiHidden/>
    <w:unhideWhenUsed/>
    <w:rsid w:val="00AA15F2"/>
    <w:rPr>
      <w:rFonts w:ascii="Tahoma" w:hAnsi="Tahoma" w:cs="Tahoma"/>
      <w:sz w:val="16"/>
      <w:szCs w:val="16"/>
    </w:rPr>
  </w:style>
  <w:style w:type="character" w:customStyle="1" w:styleId="BalloonTextChar">
    <w:name w:val="Balloon Text Char"/>
    <w:basedOn w:val="DefaultParagraphFont"/>
    <w:link w:val="BalloonText"/>
    <w:uiPriority w:val="99"/>
    <w:semiHidden/>
    <w:rsid w:val="00AA15F2"/>
    <w:rPr>
      <w:rFonts w:ascii="Tahoma" w:eastAsiaTheme="minorEastAsia" w:hAnsi="Tahoma" w:cs="Tahoma"/>
      <w:sz w:val="16"/>
      <w:szCs w:val="16"/>
      <w:lang w:val="en-GB" w:eastAsia="zh-CN"/>
    </w:rPr>
  </w:style>
  <w:style w:type="paragraph" w:styleId="Bibliography">
    <w:name w:val="Bibliography"/>
    <w:basedOn w:val="Normal"/>
    <w:next w:val="Normal"/>
    <w:uiPriority w:val="99"/>
    <w:semiHidden/>
    <w:unhideWhenUsed/>
    <w:rsid w:val="00AA15F2"/>
  </w:style>
  <w:style w:type="paragraph" w:styleId="BlockText">
    <w:name w:val="Block Text"/>
    <w:basedOn w:val="Normal"/>
    <w:uiPriority w:val="99"/>
    <w:semiHidden/>
    <w:unhideWhenUsed/>
    <w:rsid w:val="00AA15F2"/>
    <w:pPr>
      <w:pBdr>
        <w:top w:val="single" w:sz="2" w:space="10" w:color="0F204B" w:themeColor="accent1" w:frame="1"/>
        <w:left w:val="single" w:sz="2" w:space="10" w:color="0F204B" w:themeColor="accent1" w:frame="1"/>
        <w:bottom w:val="single" w:sz="2" w:space="10" w:color="0F204B" w:themeColor="accent1" w:frame="1"/>
        <w:right w:val="single" w:sz="2" w:space="10" w:color="0F204B" w:themeColor="accent1" w:frame="1"/>
      </w:pBdr>
      <w:ind w:left="1152" w:right="1152"/>
    </w:pPr>
    <w:rPr>
      <w:rFonts w:asciiTheme="minorHAnsi" w:hAnsiTheme="minorHAnsi" w:cstheme="minorBidi"/>
      <w:i/>
      <w:iCs/>
      <w:color w:val="0F204B" w:themeColor="accent1"/>
    </w:rPr>
  </w:style>
  <w:style w:type="paragraph" w:styleId="BodyText2">
    <w:name w:val="Body Text 2"/>
    <w:basedOn w:val="Normal"/>
    <w:link w:val="BodyText2Char"/>
    <w:uiPriority w:val="99"/>
    <w:unhideWhenUsed/>
    <w:rsid w:val="00AA15F2"/>
    <w:pPr>
      <w:spacing w:after="120" w:line="480" w:lineRule="auto"/>
    </w:pPr>
  </w:style>
  <w:style w:type="character" w:customStyle="1" w:styleId="BodyText2Char">
    <w:name w:val="Body Text 2 Char"/>
    <w:basedOn w:val="DefaultParagraphFont"/>
    <w:link w:val="BodyText2"/>
    <w:uiPriority w:val="99"/>
    <w:rsid w:val="00AA15F2"/>
    <w:rPr>
      <w:rFonts w:ascii="Arial" w:eastAsiaTheme="minorEastAsia" w:hAnsi="Arial"/>
      <w:sz w:val="18"/>
      <w:szCs w:val="18"/>
      <w:lang w:val="en-GB" w:eastAsia="zh-CN"/>
    </w:rPr>
  </w:style>
  <w:style w:type="paragraph" w:styleId="BodyText3">
    <w:name w:val="Body Text 3"/>
    <w:basedOn w:val="Normal"/>
    <w:link w:val="BodyText3Char"/>
    <w:uiPriority w:val="99"/>
    <w:semiHidden/>
    <w:unhideWhenUsed/>
    <w:rsid w:val="00AA15F2"/>
    <w:pPr>
      <w:spacing w:after="120"/>
    </w:pPr>
    <w:rPr>
      <w:sz w:val="16"/>
      <w:szCs w:val="16"/>
    </w:rPr>
  </w:style>
  <w:style w:type="character" w:customStyle="1" w:styleId="BodyText3Char">
    <w:name w:val="Body Text 3 Char"/>
    <w:basedOn w:val="DefaultParagraphFont"/>
    <w:link w:val="BodyText3"/>
    <w:uiPriority w:val="99"/>
    <w:semiHidden/>
    <w:rsid w:val="00AA15F2"/>
    <w:rPr>
      <w:rFonts w:ascii="Arial" w:eastAsiaTheme="minorEastAsia" w:hAnsi="Arial"/>
      <w:sz w:val="16"/>
      <w:szCs w:val="16"/>
      <w:lang w:val="en-GB" w:eastAsia="zh-CN"/>
    </w:rPr>
  </w:style>
  <w:style w:type="paragraph" w:styleId="BodyTextFirstIndent">
    <w:name w:val="Body Text First Indent"/>
    <w:basedOn w:val="BodyText"/>
    <w:link w:val="BodyTextFirstIndentChar"/>
    <w:uiPriority w:val="99"/>
    <w:semiHidden/>
    <w:unhideWhenUsed/>
    <w:rsid w:val="00AA15F2"/>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AA15F2"/>
    <w:rPr>
      <w:rFonts w:ascii="Arial" w:eastAsiaTheme="minorEastAsia" w:hAnsi="Arial"/>
      <w:sz w:val="18"/>
      <w:szCs w:val="18"/>
      <w:lang w:val="en-GB" w:eastAsia="zh-CN"/>
    </w:rPr>
  </w:style>
  <w:style w:type="paragraph" w:styleId="BodyTextIndent">
    <w:name w:val="Body Text Indent"/>
    <w:basedOn w:val="Normal"/>
    <w:link w:val="BodyTextIndentChar"/>
    <w:uiPriority w:val="99"/>
    <w:unhideWhenUsed/>
    <w:rsid w:val="00AA15F2"/>
    <w:pPr>
      <w:spacing w:after="120"/>
      <w:ind w:left="283"/>
    </w:pPr>
  </w:style>
  <w:style w:type="character" w:customStyle="1" w:styleId="BodyTextIndentChar">
    <w:name w:val="Body Text Indent Char"/>
    <w:basedOn w:val="DefaultParagraphFont"/>
    <w:link w:val="BodyTextIndent"/>
    <w:uiPriority w:val="99"/>
    <w:rsid w:val="00AA15F2"/>
    <w:rPr>
      <w:rFonts w:ascii="Arial" w:eastAsiaTheme="minorEastAsia" w:hAnsi="Arial"/>
      <w:sz w:val="18"/>
      <w:szCs w:val="18"/>
      <w:lang w:val="en-GB" w:eastAsia="zh-CN"/>
    </w:rPr>
  </w:style>
  <w:style w:type="paragraph" w:styleId="BodyTextFirstIndent2">
    <w:name w:val="Body Text First Indent 2"/>
    <w:basedOn w:val="BodyTextIndent"/>
    <w:link w:val="BodyTextFirstIndent2Char"/>
    <w:uiPriority w:val="99"/>
    <w:semiHidden/>
    <w:unhideWhenUsed/>
    <w:rsid w:val="00AA15F2"/>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15F2"/>
    <w:rPr>
      <w:rFonts w:ascii="Arial" w:eastAsiaTheme="minorEastAsia" w:hAnsi="Arial"/>
      <w:sz w:val="18"/>
      <w:szCs w:val="18"/>
      <w:lang w:val="en-GB" w:eastAsia="zh-CN"/>
    </w:rPr>
  </w:style>
  <w:style w:type="paragraph" w:styleId="BodyTextIndent2">
    <w:name w:val="Body Text Indent 2"/>
    <w:basedOn w:val="Normal"/>
    <w:link w:val="BodyTextIndent2Char"/>
    <w:uiPriority w:val="99"/>
    <w:semiHidden/>
    <w:unhideWhenUsed/>
    <w:rsid w:val="00AA15F2"/>
    <w:pPr>
      <w:spacing w:after="120" w:line="480" w:lineRule="auto"/>
      <w:ind w:left="283"/>
    </w:pPr>
  </w:style>
  <w:style w:type="character" w:customStyle="1" w:styleId="BodyTextIndent2Char">
    <w:name w:val="Body Text Indent 2 Char"/>
    <w:basedOn w:val="DefaultParagraphFont"/>
    <w:link w:val="BodyTextIndent2"/>
    <w:uiPriority w:val="99"/>
    <w:semiHidden/>
    <w:rsid w:val="00AA15F2"/>
    <w:rPr>
      <w:rFonts w:ascii="Arial" w:eastAsiaTheme="minorEastAsia" w:hAnsi="Arial"/>
      <w:sz w:val="18"/>
      <w:szCs w:val="18"/>
      <w:lang w:val="en-GB" w:eastAsia="zh-CN"/>
    </w:rPr>
  </w:style>
  <w:style w:type="paragraph" w:styleId="BodyTextIndent3">
    <w:name w:val="Body Text Indent 3"/>
    <w:basedOn w:val="Normal"/>
    <w:link w:val="BodyTextIndent3Char"/>
    <w:uiPriority w:val="99"/>
    <w:semiHidden/>
    <w:unhideWhenUsed/>
    <w:rsid w:val="00AA15F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15F2"/>
    <w:rPr>
      <w:rFonts w:ascii="Arial" w:eastAsiaTheme="minorEastAsia" w:hAnsi="Arial"/>
      <w:sz w:val="16"/>
      <w:szCs w:val="16"/>
      <w:lang w:val="en-GB" w:eastAsia="zh-CN"/>
    </w:rPr>
  </w:style>
  <w:style w:type="character" w:styleId="BookTitle">
    <w:name w:val="Book Title"/>
    <w:basedOn w:val="DefaultParagraphFont"/>
    <w:uiPriority w:val="99"/>
    <w:semiHidden/>
    <w:unhideWhenUsed/>
    <w:rsid w:val="00AA15F2"/>
    <w:rPr>
      <w:b/>
      <w:bCs/>
      <w:smallCaps/>
      <w:spacing w:val="5"/>
    </w:rPr>
  </w:style>
  <w:style w:type="paragraph" w:styleId="Closing">
    <w:name w:val="Closing"/>
    <w:basedOn w:val="Normal"/>
    <w:link w:val="ClosingChar"/>
    <w:uiPriority w:val="99"/>
    <w:semiHidden/>
    <w:unhideWhenUsed/>
    <w:rsid w:val="00AA15F2"/>
    <w:pPr>
      <w:ind w:left="4252"/>
    </w:pPr>
  </w:style>
  <w:style w:type="character" w:customStyle="1" w:styleId="ClosingChar">
    <w:name w:val="Closing Char"/>
    <w:basedOn w:val="DefaultParagraphFont"/>
    <w:link w:val="Closing"/>
    <w:uiPriority w:val="99"/>
    <w:semiHidden/>
    <w:rsid w:val="00AA15F2"/>
    <w:rPr>
      <w:rFonts w:ascii="Arial" w:eastAsiaTheme="minorEastAsia" w:hAnsi="Arial"/>
      <w:sz w:val="18"/>
      <w:szCs w:val="18"/>
      <w:lang w:val="en-GB" w:eastAsia="zh-CN"/>
    </w:rPr>
  </w:style>
  <w:style w:type="character" w:styleId="CommentReference">
    <w:name w:val="annotation reference"/>
    <w:basedOn w:val="DefaultParagraphFont"/>
    <w:uiPriority w:val="99"/>
    <w:semiHidden/>
    <w:unhideWhenUsed/>
    <w:rsid w:val="00AA15F2"/>
    <w:rPr>
      <w:sz w:val="16"/>
      <w:szCs w:val="16"/>
    </w:rPr>
  </w:style>
  <w:style w:type="paragraph" w:styleId="CommentText">
    <w:name w:val="annotation text"/>
    <w:basedOn w:val="Normal"/>
    <w:link w:val="CommentTextChar"/>
    <w:uiPriority w:val="99"/>
    <w:unhideWhenUsed/>
    <w:rsid w:val="00AA15F2"/>
    <w:rPr>
      <w:sz w:val="20"/>
      <w:szCs w:val="20"/>
    </w:rPr>
  </w:style>
  <w:style w:type="character" w:customStyle="1" w:styleId="CommentTextChar">
    <w:name w:val="Comment Text Char"/>
    <w:basedOn w:val="DefaultParagraphFont"/>
    <w:link w:val="CommentText"/>
    <w:uiPriority w:val="99"/>
    <w:rsid w:val="00AA15F2"/>
    <w:rPr>
      <w:rFonts w:ascii="Arial" w:eastAsiaTheme="minorEastAsia" w:hAnsi="Arial"/>
      <w:lang w:val="en-GB" w:eastAsia="zh-CN"/>
    </w:rPr>
  </w:style>
  <w:style w:type="paragraph" w:styleId="CommentSubject">
    <w:name w:val="annotation subject"/>
    <w:basedOn w:val="CommentText"/>
    <w:next w:val="CommentText"/>
    <w:link w:val="CommentSubjectChar"/>
    <w:uiPriority w:val="99"/>
    <w:unhideWhenUsed/>
    <w:rsid w:val="00AA15F2"/>
    <w:rPr>
      <w:b/>
      <w:bCs/>
    </w:rPr>
  </w:style>
  <w:style w:type="character" w:customStyle="1" w:styleId="CommentSubjectChar">
    <w:name w:val="Comment Subject Char"/>
    <w:basedOn w:val="CommentTextChar"/>
    <w:link w:val="CommentSubject"/>
    <w:uiPriority w:val="99"/>
    <w:rsid w:val="00AA15F2"/>
    <w:rPr>
      <w:rFonts w:ascii="Arial" w:eastAsiaTheme="minorEastAsia" w:hAnsi="Arial"/>
      <w:b/>
      <w:bCs/>
      <w:lang w:val="en-GB" w:eastAsia="zh-CN"/>
    </w:rPr>
  </w:style>
  <w:style w:type="paragraph" w:styleId="Date">
    <w:name w:val="Date"/>
    <w:basedOn w:val="Normal"/>
    <w:next w:val="Normal"/>
    <w:link w:val="DateChar"/>
    <w:uiPriority w:val="99"/>
    <w:semiHidden/>
    <w:unhideWhenUsed/>
    <w:rsid w:val="00AA15F2"/>
  </w:style>
  <w:style w:type="character" w:customStyle="1" w:styleId="DateChar">
    <w:name w:val="Date Char"/>
    <w:basedOn w:val="DefaultParagraphFont"/>
    <w:link w:val="Date"/>
    <w:uiPriority w:val="99"/>
    <w:semiHidden/>
    <w:rsid w:val="00AA15F2"/>
    <w:rPr>
      <w:rFonts w:ascii="Arial" w:eastAsiaTheme="minorEastAsia" w:hAnsi="Arial"/>
      <w:sz w:val="18"/>
      <w:szCs w:val="18"/>
      <w:lang w:val="en-GB" w:eastAsia="zh-CN"/>
    </w:rPr>
  </w:style>
  <w:style w:type="paragraph" w:styleId="DocumentMap">
    <w:name w:val="Document Map"/>
    <w:basedOn w:val="Normal"/>
    <w:link w:val="DocumentMapChar"/>
    <w:uiPriority w:val="99"/>
    <w:semiHidden/>
    <w:unhideWhenUsed/>
    <w:rsid w:val="00AA15F2"/>
    <w:rPr>
      <w:rFonts w:ascii="Tahoma" w:hAnsi="Tahoma" w:cs="Tahoma"/>
      <w:sz w:val="16"/>
      <w:szCs w:val="16"/>
    </w:rPr>
  </w:style>
  <w:style w:type="character" w:customStyle="1" w:styleId="DocumentMapChar">
    <w:name w:val="Document Map Char"/>
    <w:basedOn w:val="DefaultParagraphFont"/>
    <w:link w:val="DocumentMap"/>
    <w:uiPriority w:val="99"/>
    <w:semiHidden/>
    <w:rsid w:val="00AA15F2"/>
    <w:rPr>
      <w:rFonts w:ascii="Tahoma" w:eastAsiaTheme="minorEastAsia" w:hAnsi="Tahoma" w:cs="Tahoma"/>
      <w:sz w:val="16"/>
      <w:szCs w:val="16"/>
      <w:lang w:val="en-GB" w:eastAsia="zh-CN"/>
    </w:rPr>
  </w:style>
  <w:style w:type="paragraph" w:styleId="E-mailSignature">
    <w:name w:val="E-mail Signature"/>
    <w:basedOn w:val="Normal"/>
    <w:link w:val="E-mailSignatureChar"/>
    <w:uiPriority w:val="99"/>
    <w:semiHidden/>
    <w:unhideWhenUsed/>
    <w:rsid w:val="00AA15F2"/>
  </w:style>
  <w:style w:type="character" w:customStyle="1" w:styleId="E-mailSignatureChar">
    <w:name w:val="E-mail Signature Char"/>
    <w:basedOn w:val="DefaultParagraphFont"/>
    <w:link w:val="E-mailSignature"/>
    <w:uiPriority w:val="99"/>
    <w:semiHidden/>
    <w:rsid w:val="00AA15F2"/>
    <w:rPr>
      <w:rFonts w:ascii="Arial" w:eastAsiaTheme="minorEastAsia" w:hAnsi="Arial"/>
      <w:sz w:val="18"/>
      <w:szCs w:val="18"/>
      <w:lang w:val="en-GB" w:eastAsia="zh-CN"/>
    </w:rPr>
  </w:style>
  <w:style w:type="character" w:styleId="Emphasis">
    <w:name w:val="Emphasis"/>
    <w:basedOn w:val="DefaultParagraphFont"/>
    <w:uiPriority w:val="99"/>
    <w:semiHidden/>
    <w:unhideWhenUsed/>
    <w:rsid w:val="00AA15F2"/>
    <w:rPr>
      <w:i/>
      <w:iCs/>
    </w:rPr>
  </w:style>
  <w:style w:type="character" w:styleId="EndnoteReference">
    <w:name w:val="endnote reference"/>
    <w:basedOn w:val="DefaultParagraphFont"/>
    <w:uiPriority w:val="99"/>
    <w:semiHidden/>
    <w:unhideWhenUsed/>
    <w:rsid w:val="00AA15F2"/>
    <w:rPr>
      <w:vertAlign w:val="superscript"/>
    </w:rPr>
  </w:style>
  <w:style w:type="paragraph" w:styleId="EndnoteText">
    <w:name w:val="endnote text"/>
    <w:basedOn w:val="Normal"/>
    <w:link w:val="EndnoteTextChar"/>
    <w:uiPriority w:val="99"/>
    <w:unhideWhenUsed/>
    <w:rsid w:val="00AA15F2"/>
    <w:rPr>
      <w:sz w:val="20"/>
      <w:szCs w:val="20"/>
    </w:rPr>
  </w:style>
  <w:style w:type="character" w:customStyle="1" w:styleId="EndnoteTextChar">
    <w:name w:val="Endnote Text Char"/>
    <w:basedOn w:val="DefaultParagraphFont"/>
    <w:link w:val="EndnoteText"/>
    <w:uiPriority w:val="99"/>
    <w:rsid w:val="00AA15F2"/>
    <w:rPr>
      <w:rFonts w:ascii="Arial" w:eastAsiaTheme="minorEastAsia" w:hAnsi="Arial"/>
      <w:lang w:val="en-GB" w:eastAsia="zh-CN"/>
    </w:rPr>
  </w:style>
  <w:style w:type="paragraph" w:styleId="EnvelopeAddress">
    <w:name w:val="envelope address"/>
    <w:basedOn w:val="Normal"/>
    <w:uiPriority w:val="99"/>
    <w:semiHidden/>
    <w:unhideWhenUsed/>
    <w:rsid w:val="00AA15F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15F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A15F2"/>
    <w:rPr>
      <w:color w:val="3F9C35" w:themeColor="followedHyperlink"/>
      <w:u w:val="single"/>
    </w:rPr>
  </w:style>
  <w:style w:type="character" w:styleId="HTMLAcronym">
    <w:name w:val="HTML Acronym"/>
    <w:basedOn w:val="DefaultParagraphFont"/>
    <w:uiPriority w:val="99"/>
    <w:semiHidden/>
    <w:unhideWhenUsed/>
    <w:rsid w:val="00AA15F2"/>
  </w:style>
  <w:style w:type="paragraph" w:styleId="HTMLAddress">
    <w:name w:val="HTML Address"/>
    <w:basedOn w:val="Normal"/>
    <w:link w:val="HTMLAddressChar"/>
    <w:uiPriority w:val="99"/>
    <w:semiHidden/>
    <w:unhideWhenUsed/>
    <w:rsid w:val="00AA15F2"/>
    <w:rPr>
      <w:i/>
      <w:iCs/>
    </w:rPr>
  </w:style>
  <w:style w:type="character" w:customStyle="1" w:styleId="HTMLAddressChar">
    <w:name w:val="HTML Address Char"/>
    <w:basedOn w:val="DefaultParagraphFont"/>
    <w:link w:val="HTMLAddress"/>
    <w:uiPriority w:val="99"/>
    <w:semiHidden/>
    <w:rsid w:val="00AA15F2"/>
    <w:rPr>
      <w:rFonts w:ascii="Arial" w:eastAsiaTheme="minorEastAsia" w:hAnsi="Arial"/>
      <w:i/>
      <w:iCs/>
      <w:sz w:val="18"/>
      <w:szCs w:val="18"/>
      <w:lang w:val="en-GB" w:eastAsia="zh-CN"/>
    </w:rPr>
  </w:style>
  <w:style w:type="character" w:styleId="HTMLCite">
    <w:name w:val="HTML Cite"/>
    <w:basedOn w:val="DefaultParagraphFont"/>
    <w:uiPriority w:val="99"/>
    <w:semiHidden/>
    <w:unhideWhenUsed/>
    <w:rsid w:val="00AA15F2"/>
    <w:rPr>
      <w:i/>
      <w:iCs/>
    </w:rPr>
  </w:style>
  <w:style w:type="character" w:styleId="HTMLCode">
    <w:name w:val="HTML Code"/>
    <w:basedOn w:val="DefaultParagraphFont"/>
    <w:uiPriority w:val="99"/>
    <w:semiHidden/>
    <w:unhideWhenUsed/>
    <w:rsid w:val="00AA15F2"/>
    <w:rPr>
      <w:rFonts w:ascii="Consolas" w:hAnsi="Consolas"/>
      <w:sz w:val="20"/>
      <w:szCs w:val="20"/>
    </w:rPr>
  </w:style>
  <w:style w:type="character" w:styleId="HTMLDefinition">
    <w:name w:val="HTML Definition"/>
    <w:basedOn w:val="DefaultParagraphFont"/>
    <w:uiPriority w:val="99"/>
    <w:semiHidden/>
    <w:unhideWhenUsed/>
    <w:rsid w:val="00AA15F2"/>
    <w:rPr>
      <w:i/>
      <w:iCs/>
    </w:rPr>
  </w:style>
  <w:style w:type="character" w:styleId="HTMLKeyboard">
    <w:name w:val="HTML Keyboard"/>
    <w:basedOn w:val="DefaultParagraphFont"/>
    <w:uiPriority w:val="99"/>
    <w:semiHidden/>
    <w:unhideWhenUsed/>
    <w:rsid w:val="00AA15F2"/>
    <w:rPr>
      <w:rFonts w:ascii="Consolas" w:hAnsi="Consolas"/>
      <w:sz w:val="20"/>
      <w:szCs w:val="20"/>
    </w:rPr>
  </w:style>
  <w:style w:type="paragraph" w:styleId="HTMLPreformatted">
    <w:name w:val="HTML Preformatted"/>
    <w:basedOn w:val="Normal"/>
    <w:link w:val="HTMLPreformattedChar"/>
    <w:uiPriority w:val="99"/>
    <w:semiHidden/>
    <w:unhideWhenUsed/>
    <w:rsid w:val="00AA15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15F2"/>
    <w:rPr>
      <w:rFonts w:ascii="Consolas" w:eastAsiaTheme="minorEastAsia" w:hAnsi="Consolas"/>
      <w:lang w:val="en-GB" w:eastAsia="zh-CN"/>
    </w:rPr>
  </w:style>
  <w:style w:type="character" w:styleId="HTMLSample">
    <w:name w:val="HTML Sample"/>
    <w:basedOn w:val="DefaultParagraphFont"/>
    <w:uiPriority w:val="99"/>
    <w:semiHidden/>
    <w:unhideWhenUsed/>
    <w:rsid w:val="00AA15F2"/>
    <w:rPr>
      <w:rFonts w:ascii="Consolas" w:hAnsi="Consolas"/>
      <w:sz w:val="24"/>
      <w:szCs w:val="24"/>
    </w:rPr>
  </w:style>
  <w:style w:type="character" w:styleId="HTMLTypewriter">
    <w:name w:val="HTML Typewriter"/>
    <w:basedOn w:val="DefaultParagraphFont"/>
    <w:uiPriority w:val="99"/>
    <w:semiHidden/>
    <w:unhideWhenUsed/>
    <w:rsid w:val="00AA15F2"/>
    <w:rPr>
      <w:rFonts w:ascii="Consolas" w:hAnsi="Consolas"/>
      <w:sz w:val="20"/>
      <w:szCs w:val="20"/>
    </w:rPr>
  </w:style>
  <w:style w:type="character" w:styleId="HTMLVariable">
    <w:name w:val="HTML Variable"/>
    <w:basedOn w:val="DefaultParagraphFont"/>
    <w:uiPriority w:val="99"/>
    <w:semiHidden/>
    <w:unhideWhenUsed/>
    <w:rsid w:val="00AA15F2"/>
    <w:rPr>
      <w:i/>
      <w:iCs/>
    </w:rPr>
  </w:style>
  <w:style w:type="character" w:styleId="Hyperlink">
    <w:name w:val="Hyperlink"/>
    <w:basedOn w:val="DefaultParagraphFont"/>
    <w:uiPriority w:val="99"/>
    <w:unhideWhenUsed/>
    <w:rsid w:val="00AA15F2"/>
    <w:rPr>
      <w:color w:val="009FDA" w:themeColor="hyperlink"/>
      <w:u w:val="single"/>
    </w:rPr>
  </w:style>
  <w:style w:type="paragraph" w:styleId="Index1">
    <w:name w:val="index 1"/>
    <w:basedOn w:val="Normal"/>
    <w:next w:val="Normal"/>
    <w:autoRedefine/>
    <w:uiPriority w:val="99"/>
    <w:semiHidden/>
    <w:unhideWhenUsed/>
    <w:rsid w:val="00AA15F2"/>
    <w:pPr>
      <w:ind w:left="180" w:hanging="180"/>
    </w:pPr>
  </w:style>
  <w:style w:type="paragraph" w:styleId="Index2">
    <w:name w:val="index 2"/>
    <w:basedOn w:val="Normal"/>
    <w:next w:val="Normal"/>
    <w:autoRedefine/>
    <w:uiPriority w:val="99"/>
    <w:semiHidden/>
    <w:unhideWhenUsed/>
    <w:rsid w:val="00AA15F2"/>
    <w:pPr>
      <w:ind w:left="360" w:hanging="180"/>
    </w:pPr>
  </w:style>
  <w:style w:type="paragraph" w:styleId="Index3">
    <w:name w:val="index 3"/>
    <w:basedOn w:val="Normal"/>
    <w:next w:val="Normal"/>
    <w:autoRedefine/>
    <w:uiPriority w:val="99"/>
    <w:semiHidden/>
    <w:unhideWhenUsed/>
    <w:rsid w:val="00AA15F2"/>
    <w:pPr>
      <w:ind w:left="540" w:hanging="180"/>
    </w:pPr>
  </w:style>
  <w:style w:type="paragraph" w:styleId="Index4">
    <w:name w:val="index 4"/>
    <w:basedOn w:val="Normal"/>
    <w:next w:val="Normal"/>
    <w:autoRedefine/>
    <w:uiPriority w:val="99"/>
    <w:semiHidden/>
    <w:unhideWhenUsed/>
    <w:rsid w:val="00AA15F2"/>
    <w:pPr>
      <w:ind w:left="720" w:hanging="180"/>
    </w:pPr>
  </w:style>
  <w:style w:type="paragraph" w:styleId="Index5">
    <w:name w:val="index 5"/>
    <w:basedOn w:val="Normal"/>
    <w:next w:val="Normal"/>
    <w:autoRedefine/>
    <w:uiPriority w:val="99"/>
    <w:semiHidden/>
    <w:unhideWhenUsed/>
    <w:rsid w:val="00AA15F2"/>
    <w:pPr>
      <w:ind w:left="900" w:hanging="180"/>
    </w:pPr>
  </w:style>
  <w:style w:type="paragraph" w:styleId="Index6">
    <w:name w:val="index 6"/>
    <w:basedOn w:val="Normal"/>
    <w:next w:val="Normal"/>
    <w:autoRedefine/>
    <w:uiPriority w:val="99"/>
    <w:semiHidden/>
    <w:unhideWhenUsed/>
    <w:rsid w:val="00AA15F2"/>
    <w:pPr>
      <w:ind w:left="1080" w:hanging="180"/>
    </w:pPr>
  </w:style>
  <w:style w:type="paragraph" w:styleId="Index7">
    <w:name w:val="index 7"/>
    <w:basedOn w:val="Normal"/>
    <w:next w:val="Normal"/>
    <w:autoRedefine/>
    <w:uiPriority w:val="99"/>
    <w:semiHidden/>
    <w:unhideWhenUsed/>
    <w:rsid w:val="00AA15F2"/>
    <w:pPr>
      <w:ind w:left="1260" w:hanging="180"/>
    </w:pPr>
  </w:style>
  <w:style w:type="paragraph" w:styleId="Index8">
    <w:name w:val="index 8"/>
    <w:basedOn w:val="Normal"/>
    <w:next w:val="Normal"/>
    <w:autoRedefine/>
    <w:uiPriority w:val="99"/>
    <w:semiHidden/>
    <w:unhideWhenUsed/>
    <w:rsid w:val="00AA15F2"/>
    <w:pPr>
      <w:ind w:left="1440" w:hanging="180"/>
    </w:pPr>
  </w:style>
  <w:style w:type="paragraph" w:styleId="Index9">
    <w:name w:val="index 9"/>
    <w:basedOn w:val="Normal"/>
    <w:next w:val="Normal"/>
    <w:autoRedefine/>
    <w:uiPriority w:val="99"/>
    <w:semiHidden/>
    <w:unhideWhenUsed/>
    <w:rsid w:val="00AA15F2"/>
    <w:pPr>
      <w:ind w:left="1620" w:hanging="180"/>
    </w:pPr>
  </w:style>
  <w:style w:type="paragraph" w:styleId="IndexHeading">
    <w:name w:val="index heading"/>
    <w:basedOn w:val="Normal"/>
    <w:next w:val="Index1"/>
    <w:uiPriority w:val="99"/>
    <w:semiHidden/>
    <w:unhideWhenUsed/>
    <w:rsid w:val="00AA15F2"/>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AA15F2"/>
    <w:rPr>
      <w:b/>
      <w:bCs/>
      <w:i/>
      <w:iCs/>
      <w:color w:val="0F204B" w:themeColor="accent1"/>
    </w:rPr>
  </w:style>
  <w:style w:type="paragraph" w:styleId="IntenseQuote">
    <w:name w:val="Intense Quote"/>
    <w:basedOn w:val="Normal"/>
    <w:next w:val="Normal"/>
    <w:link w:val="IntenseQuoteChar"/>
    <w:uiPriority w:val="99"/>
    <w:semiHidden/>
    <w:unhideWhenUsed/>
    <w:rsid w:val="00AA15F2"/>
    <w:pPr>
      <w:pBdr>
        <w:bottom w:val="single" w:sz="4" w:space="4" w:color="0F204B" w:themeColor="accent1"/>
      </w:pBdr>
      <w:spacing w:before="200" w:after="280"/>
      <w:ind w:left="936" w:right="936"/>
    </w:pPr>
    <w:rPr>
      <w:b/>
      <w:bCs/>
      <w:i/>
      <w:iCs/>
      <w:color w:val="0F204B" w:themeColor="accent1"/>
    </w:rPr>
  </w:style>
  <w:style w:type="character" w:customStyle="1" w:styleId="IntenseQuoteChar">
    <w:name w:val="Intense Quote Char"/>
    <w:basedOn w:val="DefaultParagraphFont"/>
    <w:link w:val="IntenseQuote"/>
    <w:uiPriority w:val="99"/>
    <w:semiHidden/>
    <w:rsid w:val="00AA15F2"/>
    <w:rPr>
      <w:rFonts w:ascii="Arial" w:eastAsiaTheme="minorEastAsia" w:hAnsi="Arial"/>
      <w:b/>
      <w:bCs/>
      <w:i/>
      <w:iCs/>
      <w:color w:val="0F204B" w:themeColor="accent1"/>
      <w:sz w:val="18"/>
      <w:szCs w:val="18"/>
      <w:lang w:val="en-GB" w:eastAsia="zh-CN"/>
    </w:rPr>
  </w:style>
  <w:style w:type="character" w:styleId="IntenseReference">
    <w:name w:val="Intense Reference"/>
    <w:basedOn w:val="DefaultParagraphFont"/>
    <w:uiPriority w:val="99"/>
    <w:semiHidden/>
    <w:unhideWhenUsed/>
    <w:rsid w:val="00AA15F2"/>
    <w:rPr>
      <w:b/>
      <w:bCs/>
      <w:smallCaps/>
      <w:color w:val="99D9F0" w:themeColor="accent2"/>
      <w:spacing w:val="5"/>
      <w:u w:val="single"/>
    </w:rPr>
  </w:style>
  <w:style w:type="character" w:styleId="LineNumber">
    <w:name w:val="line number"/>
    <w:basedOn w:val="DefaultParagraphFont"/>
    <w:uiPriority w:val="99"/>
    <w:semiHidden/>
    <w:unhideWhenUsed/>
    <w:rsid w:val="00AA15F2"/>
  </w:style>
  <w:style w:type="paragraph" w:styleId="List">
    <w:name w:val="List"/>
    <w:basedOn w:val="Normal"/>
    <w:uiPriority w:val="99"/>
    <w:semiHidden/>
    <w:unhideWhenUsed/>
    <w:rsid w:val="00AA15F2"/>
    <w:pPr>
      <w:ind w:left="283" w:hanging="283"/>
      <w:contextualSpacing/>
    </w:pPr>
  </w:style>
  <w:style w:type="paragraph" w:styleId="List2">
    <w:name w:val="List 2"/>
    <w:basedOn w:val="Normal"/>
    <w:uiPriority w:val="99"/>
    <w:semiHidden/>
    <w:unhideWhenUsed/>
    <w:rsid w:val="00AA15F2"/>
    <w:pPr>
      <w:ind w:left="566" w:hanging="283"/>
      <w:contextualSpacing/>
    </w:pPr>
  </w:style>
  <w:style w:type="paragraph" w:styleId="List3">
    <w:name w:val="List 3"/>
    <w:basedOn w:val="Normal"/>
    <w:uiPriority w:val="99"/>
    <w:semiHidden/>
    <w:unhideWhenUsed/>
    <w:rsid w:val="00AA15F2"/>
    <w:pPr>
      <w:ind w:left="849" w:hanging="283"/>
      <w:contextualSpacing/>
    </w:pPr>
  </w:style>
  <w:style w:type="paragraph" w:styleId="List4">
    <w:name w:val="List 4"/>
    <w:basedOn w:val="Normal"/>
    <w:uiPriority w:val="99"/>
    <w:semiHidden/>
    <w:unhideWhenUsed/>
    <w:rsid w:val="00AA15F2"/>
    <w:pPr>
      <w:ind w:left="1132" w:hanging="283"/>
      <w:contextualSpacing/>
    </w:pPr>
  </w:style>
  <w:style w:type="paragraph" w:styleId="List5">
    <w:name w:val="List 5"/>
    <w:basedOn w:val="Normal"/>
    <w:uiPriority w:val="99"/>
    <w:semiHidden/>
    <w:unhideWhenUsed/>
    <w:rsid w:val="00AA15F2"/>
    <w:pPr>
      <w:ind w:left="1415" w:hanging="283"/>
      <w:contextualSpacing/>
    </w:pPr>
  </w:style>
  <w:style w:type="paragraph" w:styleId="ListBullet2">
    <w:name w:val="List Bullet 2"/>
    <w:aliases w:val="Bullet"/>
    <w:basedOn w:val="Normal"/>
    <w:uiPriority w:val="99"/>
    <w:unhideWhenUsed/>
    <w:rsid w:val="00AA15F2"/>
    <w:pPr>
      <w:numPr>
        <w:numId w:val="20"/>
      </w:numPr>
      <w:spacing w:after="140" w:line="280" w:lineRule="atLeast"/>
      <w:contextualSpacing/>
    </w:pPr>
  </w:style>
  <w:style w:type="paragraph" w:styleId="ListBullet3">
    <w:name w:val="List Bullet 3"/>
    <w:basedOn w:val="Normal"/>
    <w:uiPriority w:val="99"/>
    <w:unhideWhenUsed/>
    <w:rsid w:val="00AA15F2"/>
    <w:pPr>
      <w:numPr>
        <w:numId w:val="21"/>
      </w:numPr>
      <w:spacing w:after="140" w:line="280" w:lineRule="atLeast"/>
      <w:contextualSpacing/>
    </w:pPr>
  </w:style>
  <w:style w:type="paragraph" w:styleId="ListBullet4">
    <w:name w:val="List Bullet 4"/>
    <w:basedOn w:val="Normal"/>
    <w:uiPriority w:val="99"/>
    <w:unhideWhenUsed/>
    <w:rsid w:val="00AA15F2"/>
    <w:pPr>
      <w:numPr>
        <w:numId w:val="22"/>
      </w:numPr>
      <w:spacing w:after="140" w:line="280" w:lineRule="atLeast"/>
      <w:contextualSpacing/>
    </w:pPr>
  </w:style>
  <w:style w:type="paragraph" w:styleId="ListBullet5">
    <w:name w:val="List Bullet 5"/>
    <w:basedOn w:val="Normal"/>
    <w:uiPriority w:val="99"/>
    <w:unhideWhenUsed/>
    <w:rsid w:val="00AA15F2"/>
    <w:pPr>
      <w:numPr>
        <w:numId w:val="5"/>
      </w:numPr>
      <w:spacing w:after="140" w:line="280" w:lineRule="atLeast"/>
      <w:contextualSpacing/>
    </w:pPr>
  </w:style>
  <w:style w:type="paragraph" w:styleId="ListContinue">
    <w:name w:val="List Continue"/>
    <w:basedOn w:val="Normal"/>
    <w:uiPriority w:val="99"/>
    <w:semiHidden/>
    <w:unhideWhenUsed/>
    <w:rsid w:val="00AA15F2"/>
    <w:pPr>
      <w:spacing w:after="120"/>
      <w:ind w:left="283"/>
      <w:contextualSpacing/>
    </w:pPr>
  </w:style>
  <w:style w:type="paragraph" w:styleId="ListContinue2">
    <w:name w:val="List Continue 2"/>
    <w:basedOn w:val="Normal"/>
    <w:uiPriority w:val="99"/>
    <w:semiHidden/>
    <w:unhideWhenUsed/>
    <w:rsid w:val="00AA15F2"/>
    <w:pPr>
      <w:spacing w:after="120"/>
      <w:ind w:left="566"/>
      <w:contextualSpacing/>
    </w:pPr>
  </w:style>
  <w:style w:type="paragraph" w:styleId="ListContinue3">
    <w:name w:val="List Continue 3"/>
    <w:basedOn w:val="Normal"/>
    <w:uiPriority w:val="99"/>
    <w:semiHidden/>
    <w:unhideWhenUsed/>
    <w:rsid w:val="00AA15F2"/>
    <w:pPr>
      <w:spacing w:after="120"/>
      <w:ind w:left="849"/>
      <w:contextualSpacing/>
    </w:pPr>
  </w:style>
  <w:style w:type="paragraph" w:styleId="ListContinue4">
    <w:name w:val="List Continue 4"/>
    <w:basedOn w:val="Normal"/>
    <w:uiPriority w:val="99"/>
    <w:unhideWhenUsed/>
    <w:rsid w:val="00AA15F2"/>
    <w:pPr>
      <w:spacing w:after="120"/>
      <w:ind w:left="1132"/>
      <w:contextualSpacing/>
    </w:pPr>
  </w:style>
  <w:style w:type="paragraph" w:styleId="ListContinue5">
    <w:name w:val="List Continue 5"/>
    <w:basedOn w:val="Normal"/>
    <w:uiPriority w:val="99"/>
    <w:semiHidden/>
    <w:unhideWhenUsed/>
    <w:rsid w:val="00AA15F2"/>
    <w:pPr>
      <w:spacing w:after="120"/>
      <w:ind w:left="1415"/>
      <w:contextualSpacing/>
    </w:pPr>
  </w:style>
  <w:style w:type="paragraph" w:styleId="ListNumber2">
    <w:name w:val="List Number 2"/>
    <w:basedOn w:val="Normal"/>
    <w:uiPriority w:val="99"/>
    <w:unhideWhenUsed/>
    <w:rsid w:val="00AA15F2"/>
    <w:pPr>
      <w:numPr>
        <w:numId w:val="23"/>
      </w:numPr>
      <w:spacing w:after="140" w:line="280" w:lineRule="atLeast"/>
      <w:contextualSpacing/>
    </w:pPr>
  </w:style>
  <w:style w:type="paragraph" w:styleId="ListNumber3">
    <w:name w:val="List Number 3"/>
    <w:basedOn w:val="Normal"/>
    <w:uiPriority w:val="99"/>
    <w:unhideWhenUsed/>
    <w:rsid w:val="00AA15F2"/>
    <w:pPr>
      <w:numPr>
        <w:numId w:val="24"/>
      </w:numPr>
      <w:spacing w:after="140" w:line="280" w:lineRule="atLeast"/>
      <w:contextualSpacing/>
    </w:pPr>
  </w:style>
  <w:style w:type="paragraph" w:styleId="ListNumber4">
    <w:name w:val="List Number 4"/>
    <w:basedOn w:val="Normal"/>
    <w:uiPriority w:val="99"/>
    <w:unhideWhenUsed/>
    <w:rsid w:val="00AA15F2"/>
    <w:pPr>
      <w:numPr>
        <w:numId w:val="25"/>
      </w:numPr>
      <w:spacing w:after="140" w:line="280" w:lineRule="atLeast"/>
      <w:contextualSpacing/>
    </w:pPr>
  </w:style>
  <w:style w:type="paragraph" w:styleId="ListNumber5">
    <w:name w:val="List Number 5"/>
    <w:basedOn w:val="Normal"/>
    <w:uiPriority w:val="99"/>
    <w:semiHidden/>
    <w:unhideWhenUsed/>
    <w:rsid w:val="00AA15F2"/>
    <w:pPr>
      <w:numPr>
        <w:numId w:val="6"/>
      </w:numPr>
      <w:spacing w:after="140" w:line="280" w:lineRule="atLeast"/>
      <w:contextualSpacing/>
    </w:pPr>
  </w:style>
  <w:style w:type="paragraph" w:styleId="ListParagraph">
    <w:name w:val="List Paragraph"/>
    <w:basedOn w:val="Normal"/>
    <w:link w:val="ListParagraphChar"/>
    <w:uiPriority w:val="99"/>
    <w:unhideWhenUsed/>
    <w:rsid w:val="00AA15F2"/>
    <w:pPr>
      <w:ind w:left="720"/>
      <w:contextualSpacing/>
    </w:pPr>
  </w:style>
  <w:style w:type="paragraph" w:styleId="MacroText">
    <w:name w:val="macro"/>
    <w:link w:val="MacroTextChar"/>
    <w:uiPriority w:val="99"/>
    <w:semiHidden/>
    <w:unhideWhenUsed/>
    <w:rsid w:val="00AA15F2"/>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zh-CN"/>
    </w:rPr>
  </w:style>
  <w:style w:type="character" w:customStyle="1" w:styleId="MacroTextChar">
    <w:name w:val="Macro Text Char"/>
    <w:basedOn w:val="DefaultParagraphFont"/>
    <w:link w:val="MacroText"/>
    <w:uiPriority w:val="99"/>
    <w:semiHidden/>
    <w:rsid w:val="00AA15F2"/>
    <w:rPr>
      <w:rFonts w:ascii="Consolas" w:eastAsiaTheme="minorEastAsia" w:hAnsi="Consolas"/>
      <w:lang w:val="en-GB" w:eastAsia="zh-CN"/>
    </w:rPr>
  </w:style>
  <w:style w:type="paragraph" w:styleId="MessageHeader">
    <w:name w:val="Message Header"/>
    <w:basedOn w:val="Normal"/>
    <w:link w:val="MessageHeaderChar"/>
    <w:uiPriority w:val="99"/>
    <w:semiHidden/>
    <w:unhideWhenUsed/>
    <w:rsid w:val="00AA15F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15F2"/>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semiHidden/>
    <w:unhideWhenUsed/>
    <w:rsid w:val="00AA15F2"/>
    <w:rPr>
      <w:rFonts w:ascii="Arial" w:eastAsiaTheme="minorEastAsia" w:hAnsi="Arial"/>
      <w:sz w:val="18"/>
      <w:szCs w:val="18"/>
      <w:lang w:val="en-GB" w:eastAsia="zh-CN"/>
    </w:rPr>
  </w:style>
  <w:style w:type="paragraph" w:styleId="NormalWeb">
    <w:name w:val="Normal (Web)"/>
    <w:basedOn w:val="Normal"/>
    <w:uiPriority w:val="99"/>
    <w:unhideWhenUsed/>
    <w:rsid w:val="00AA15F2"/>
    <w:rPr>
      <w:rFonts w:ascii="Times New Roman" w:hAnsi="Times New Roman" w:cs="Times New Roman"/>
      <w:sz w:val="24"/>
      <w:szCs w:val="24"/>
    </w:rPr>
  </w:style>
  <w:style w:type="paragraph" w:styleId="NormalIndent">
    <w:name w:val="Normal Indent"/>
    <w:basedOn w:val="Normal"/>
    <w:uiPriority w:val="99"/>
    <w:semiHidden/>
    <w:unhideWhenUsed/>
    <w:rsid w:val="00AA15F2"/>
    <w:pPr>
      <w:ind w:left="720"/>
    </w:pPr>
  </w:style>
  <w:style w:type="paragraph" w:styleId="NoteHeading">
    <w:name w:val="Note Heading"/>
    <w:basedOn w:val="Normal"/>
    <w:next w:val="Normal"/>
    <w:link w:val="NoteHeadingChar"/>
    <w:uiPriority w:val="99"/>
    <w:semiHidden/>
    <w:unhideWhenUsed/>
    <w:rsid w:val="00AA15F2"/>
  </w:style>
  <w:style w:type="character" w:customStyle="1" w:styleId="NoteHeadingChar">
    <w:name w:val="Note Heading Char"/>
    <w:basedOn w:val="DefaultParagraphFont"/>
    <w:link w:val="NoteHeading"/>
    <w:uiPriority w:val="99"/>
    <w:semiHidden/>
    <w:rsid w:val="00AA15F2"/>
    <w:rPr>
      <w:rFonts w:ascii="Arial" w:eastAsiaTheme="minorEastAsia" w:hAnsi="Arial"/>
      <w:sz w:val="18"/>
      <w:szCs w:val="18"/>
      <w:lang w:val="en-GB" w:eastAsia="zh-CN"/>
    </w:rPr>
  </w:style>
  <w:style w:type="character" w:styleId="PageNumber">
    <w:name w:val="page number"/>
    <w:basedOn w:val="DefaultParagraphFont"/>
    <w:uiPriority w:val="99"/>
    <w:semiHidden/>
    <w:unhideWhenUsed/>
    <w:rsid w:val="00AA15F2"/>
  </w:style>
  <w:style w:type="paragraph" w:styleId="PlainText">
    <w:name w:val="Plain Text"/>
    <w:basedOn w:val="Normal"/>
    <w:link w:val="PlainTextChar"/>
    <w:uiPriority w:val="99"/>
    <w:semiHidden/>
    <w:unhideWhenUsed/>
    <w:rsid w:val="00AA15F2"/>
    <w:rPr>
      <w:rFonts w:ascii="Consolas" w:hAnsi="Consolas"/>
      <w:sz w:val="21"/>
      <w:szCs w:val="21"/>
    </w:rPr>
  </w:style>
  <w:style w:type="character" w:customStyle="1" w:styleId="PlainTextChar">
    <w:name w:val="Plain Text Char"/>
    <w:basedOn w:val="DefaultParagraphFont"/>
    <w:link w:val="PlainText"/>
    <w:uiPriority w:val="99"/>
    <w:semiHidden/>
    <w:rsid w:val="00AA15F2"/>
    <w:rPr>
      <w:rFonts w:ascii="Consolas" w:eastAsiaTheme="minorEastAsia" w:hAnsi="Consolas"/>
      <w:sz w:val="21"/>
      <w:szCs w:val="21"/>
      <w:lang w:val="en-GB" w:eastAsia="zh-CN"/>
    </w:rPr>
  </w:style>
  <w:style w:type="paragraph" w:styleId="Quote">
    <w:name w:val="Quote"/>
    <w:basedOn w:val="Normal"/>
    <w:next w:val="Normal"/>
    <w:link w:val="QuoteChar"/>
    <w:uiPriority w:val="99"/>
    <w:semiHidden/>
    <w:unhideWhenUsed/>
    <w:rsid w:val="00AA15F2"/>
    <w:rPr>
      <w:i/>
      <w:iCs/>
      <w:color w:val="000000" w:themeColor="text1"/>
    </w:rPr>
  </w:style>
  <w:style w:type="character" w:customStyle="1" w:styleId="QuoteChar">
    <w:name w:val="Quote Char"/>
    <w:basedOn w:val="DefaultParagraphFont"/>
    <w:link w:val="Quote"/>
    <w:uiPriority w:val="99"/>
    <w:semiHidden/>
    <w:rsid w:val="00AA15F2"/>
    <w:rPr>
      <w:rFonts w:ascii="Arial" w:eastAsiaTheme="minorEastAsia" w:hAnsi="Arial"/>
      <w:i/>
      <w:iCs/>
      <w:color w:val="000000" w:themeColor="text1"/>
      <w:sz w:val="18"/>
      <w:szCs w:val="18"/>
      <w:lang w:val="en-GB" w:eastAsia="zh-CN"/>
    </w:rPr>
  </w:style>
  <w:style w:type="paragraph" w:styleId="Salutation">
    <w:name w:val="Salutation"/>
    <w:basedOn w:val="Normal"/>
    <w:next w:val="Normal"/>
    <w:link w:val="SalutationChar"/>
    <w:uiPriority w:val="99"/>
    <w:semiHidden/>
    <w:unhideWhenUsed/>
    <w:rsid w:val="00AA15F2"/>
  </w:style>
  <w:style w:type="character" w:customStyle="1" w:styleId="SalutationChar">
    <w:name w:val="Salutation Char"/>
    <w:basedOn w:val="DefaultParagraphFont"/>
    <w:link w:val="Salutation"/>
    <w:uiPriority w:val="99"/>
    <w:semiHidden/>
    <w:rsid w:val="00AA15F2"/>
    <w:rPr>
      <w:rFonts w:ascii="Arial" w:eastAsiaTheme="minorEastAsia" w:hAnsi="Arial"/>
      <w:sz w:val="18"/>
      <w:szCs w:val="18"/>
      <w:lang w:val="en-GB" w:eastAsia="zh-CN"/>
    </w:rPr>
  </w:style>
  <w:style w:type="paragraph" w:styleId="Signature">
    <w:name w:val="Signature"/>
    <w:basedOn w:val="Normal"/>
    <w:link w:val="SignatureChar"/>
    <w:uiPriority w:val="99"/>
    <w:semiHidden/>
    <w:unhideWhenUsed/>
    <w:rsid w:val="00AA15F2"/>
    <w:pPr>
      <w:ind w:left="4252"/>
    </w:pPr>
  </w:style>
  <w:style w:type="character" w:customStyle="1" w:styleId="SignatureChar">
    <w:name w:val="Signature Char"/>
    <w:basedOn w:val="DefaultParagraphFont"/>
    <w:link w:val="Signature"/>
    <w:uiPriority w:val="99"/>
    <w:semiHidden/>
    <w:rsid w:val="00AA15F2"/>
    <w:rPr>
      <w:rFonts w:ascii="Arial" w:eastAsiaTheme="minorEastAsia" w:hAnsi="Arial"/>
      <w:sz w:val="18"/>
      <w:szCs w:val="18"/>
      <w:lang w:val="en-GB" w:eastAsia="zh-CN"/>
    </w:rPr>
  </w:style>
  <w:style w:type="character" w:styleId="Strong">
    <w:name w:val="Strong"/>
    <w:basedOn w:val="DefaultParagraphFont"/>
    <w:uiPriority w:val="99"/>
    <w:semiHidden/>
    <w:unhideWhenUsed/>
    <w:rsid w:val="00AA15F2"/>
    <w:rPr>
      <w:b/>
      <w:bCs/>
    </w:rPr>
  </w:style>
  <w:style w:type="paragraph" w:styleId="Subtitle">
    <w:name w:val="Subtitle"/>
    <w:basedOn w:val="Normal"/>
    <w:next w:val="Normal"/>
    <w:link w:val="SubtitleChar"/>
    <w:uiPriority w:val="99"/>
    <w:unhideWhenUsed/>
    <w:rsid w:val="00AA15F2"/>
    <w:pPr>
      <w:numPr>
        <w:ilvl w:val="1"/>
      </w:numPr>
    </w:pPr>
    <w:rPr>
      <w:rFonts w:asciiTheme="majorHAnsi" w:eastAsiaTheme="majorEastAsia" w:hAnsiTheme="majorHAnsi" w:cstheme="majorBidi"/>
      <w:i/>
      <w:iCs/>
      <w:color w:val="0F204B" w:themeColor="accent1"/>
      <w:spacing w:val="15"/>
      <w:sz w:val="24"/>
      <w:szCs w:val="24"/>
    </w:rPr>
  </w:style>
  <w:style w:type="character" w:customStyle="1" w:styleId="SubtitleChar">
    <w:name w:val="Subtitle Char"/>
    <w:basedOn w:val="DefaultParagraphFont"/>
    <w:link w:val="Subtitle"/>
    <w:uiPriority w:val="99"/>
    <w:rsid w:val="00AA15F2"/>
    <w:rPr>
      <w:rFonts w:asciiTheme="majorHAnsi" w:eastAsiaTheme="majorEastAsia" w:hAnsiTheme="majorHAnsi" w:cstheme="majorBidi"/>
      <w:i/>
      <w:iCs/>
      <w:color w:val="0F204B" w:themeColor="accent1"/>
      <w:spacing w:val="15"/>
      <w:sz w:val="24"/>
      <w:szCs w:val="24"/>
      <w:lang w:val="en-GB" w:eastAsia="zh-CN"/>
    </w:rPr>
  </w:style>
  <w:style w:type="character" w:styleId="SubtleEmphasis">
    <w:name w:val="Subtle Emphasis"/>
    <w:basedOn w:val="DefaultParagraphFont"/>
    <w:uiPriority w:val="99"/>
    <w:semiHidden/>
    <w:unhideWhenUsed/>
    <w:rsid w:val="00AA15F2"/>
    <w:rPr>
      <w:i/>
      <w:iCs/>
      <w:color w:val="808080" w:themeColor="text1" w:themeTint="7F"/>
    </w:rPr>
  </w:style>
  <w:style w:type="character" w:styleId="SubtleReference">
    <w:name w:val="Subtle Reference"/>
    <w:basedOn w:val="DefaultParagraphFont"/>
    <w:uiPriority w:val="99"/>
    <w:semiHidden/>
    <w:unhideWhenUsed/>
    <w:rsid w:val="00AA15F2"/>
    <w:rPr>
      <w:smallCaps/>
      <w:color w:val="99D9F0" w:themeColor="accent2"/>
      <w:u w:val="single"/>
    </w:rPr>
  </w:style>
  <w:style w:type="paragraph" w:styleId="TableofAuthorities">
    <w:name w:val="table of authorities"/>
    <w:basedOn w:val="Normal"/>
    <w:next w:val="Normal"/>
    <w:uiPriority w:val="99"/>
    <w:semiHidden/>
    <w:unhideWhenUsed/>
    <w:rsid w:val="00AA15F2"/>
    <w:pPr>
      <w:ind w:left="180" w:hanging="180"/>
    </w:pPr>
  </w:style>
  <w:style w:type="paragraph" w:styleId="TableofFigures">
    <w:name w:val="table of figures"/>
    <w:basedOn w:val="Normal"/>
    <w:next w:val="Normal"/>
    <w:uiPriority w:val="99"/>
    <w:unhideWhenUsed/>
    <w:rsid w:val="00AA15F2"/>
  </w:style>
  <w:style w:type="paragraph" w:styleId="Title">
    <w:name w:val="Title"/>
    <w:basedOn w:val="Normal"/>
    <w:next w:val="Normal"/>
    <w:link w:val="TitleChar"/>
    <w:uiPriority w:val="99"/>
    <w:unhideWhenUsed/>
    <w:rsid w:val="00AA15F2"/>
    <w:pPr>
      <w:pBdr>
        <w:bottom w:val="single" w:sz="8" w:space="4" w:color="0F204B" w:themeColor="accent1"/>
      </w:pBdr>
      <w:spacing w:after="300"/>
      <w:contextualSpacing/>
    </w:pPr>
    <w:rPr>
      <w:rFonts w:asciiTheme="majorHAnsi" w:eastAsiaTheme="majorEastAsia" w:hAnsiTheme="majorHAnsi" w:cstheme="majorBidi"/>
      <w:color w:val="0B1738" w:themeColor="text2" w:themeShade="BF"/>
      <w:spacing w:val="5"/>
      <w:kern w:val="28"/>
      <w:sz w:val="52"/>
      <w:szCs w:val="52"/>
    </w:rPr>
  </w:style>
  <w:style w:type="character" w:customStyle="1" w:styleId="TitleChar">
    <w:name w:val="Title Char"/>
    <w:basedOn w:val="DefaultParagraphFont"/>
    <w:link w:val="Title"/>
    <w:uiPriority w:val="99"/>
    <w:rsid w:val="00AA15F2"/>
    <w:rPr>
      <w:rFonts w:asciiTheme="majorHAnsi" w:eastAsiaTheme="majorEastAsia" w:hAnsiTheme="majorHAnsi" w:cstheme="majorBidi"/>
      <w:color w:val="0B1738" w:themeColor="text2" w:themeShade="BF"/>
      <w:spacing w:val="5"/>
      <w:kern w:val="28"/>
      <w:sz w:val="52"/>
      <w:szCs w:val="52"/>
      <w:lang w:val="en-GB" w:eastAsia="zh-CN"/>
    </w:rPr>
  </w:style>
  <w:style w:type="paragraph" w:styleId="TOAHeading">
    <w:name w:val="toa heading"/>
    <w:basedOn w:val="Normal"/>
    <w:next w:val="Normal"/>
    <w:uiPriority w:val="99"/>
    <w:semiHidden/>
    <w:unhideWhenUsed/>
    <w:rsid w:val="00AA15F2"/>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AA15F2"/>
    <w:pPr>
      <w:spacing w:after="100"/>
      <w:ind w:left="1440"/>
    </w:pPr>
  </w:style>
  <w:style w:type="paragraph" w:styleId="TOCHeading">
    <w:name w:val="TOC Heading"/>
    <w:basedOn w:val="Heading1"/>
    <w:next w:val="Normal"/>
    <w:uiPriority w:val="99"/>
    <w:unhideWhenUsed/>
    <w:rsid w:val="00AA15F2"/>
    <w:pPr>
      <w:keepLines/>
      <w:numPr>
        <w:numId w:val="0"/>
      </w:numPr>
      <w:spacing w:before="480"/>
      <w:outlineLvl w:val="9"/>
    </w:pPr>
    <w:rPr>
      <w:rFonts w:asciiTheme="majorHAnsi" w:eastAsiaTheme="majorEastAsia" w:hAnsiTheme="majorHAnsi" w:cstheme="majorBidi"/>
      <w:bCs/>
      <w:caps w:val="0"/>
      <w:color w:val="0B1738" w:themeColor="accent1" w:themeShade="BF"/>
      <w:sz w:val="28"/>
      <w:szCs w:val="28"/>
    </w:rPr>
  </w:style>
  <w:style w:type="numbering" w:styleId="111111">
    <w:name w:val="Outline List 2"/>
    <w:basedOn w:val="NoList"/>
    <w:uiPriority w:val="99"/>
    <w:semiHidden/>
    <w:unhideWhenUsed/>
    <w:rsid w:val="00AA15F2"/>
    <w:pPr>
      <w:numPr>
        <w:numId w:val="7"/>
      </w:numPr>
    </w:pPr>
  </w:style>
  <w:style w:type="numbering" w:styleId="1ai">
    <w:name w:val="Outline List 1"/>
    <w:basedOn w:val="NoList"/>
    <w:uiPriority w:val="99"/>
    <w:semiHidden/>
    <w:unhideWhenUsed/>
    <w:rsid w:val="00AA15F2"/>
    <w:pPr>
      <w:numPr>
        <w:numId w:val="8"/>
      </w:numPr>
    </w:pPr>
  </w:style>
  <w:style w:type="numbering" w:styleId="ArticleSection">
    <w:name w:val="Outline List 3"/>
    <w:basedOn w:val="NoList"/>
    <w:uiPriority w:val="99"/>
    <w:semiHidden/>
    <w:unhideWhenUsed/>
    <w:rsid w:val="00AA15F2"/>
    <w:pPr>
      <w:numPr>
        <w:numId w:val="9"/>
      </w:numPr>
    </w:pPr>
  </w:style>
  <w:style w:type="table" w:styleId="ColorfulGrid">
    <w:name w:val="Colorful Grid"/>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9C8F1" w:themeFill="accent1" w:themeFillTint="33"/>
    </w:tcPr>
    <w:tblStylePr w:type="firstRow">
      <w:rPr>
        <w:b/>
        <w:bCs/>
      </w:rPr>
      <w:tblPr/>
      <w:tcPr>
        <w:shd w:val="clear" w:color="auto" w:fill="7392E3" w:themeFill="accent1" w:themeFillTint="66"/>
      </w:tcPr>
    </w:tblStylePr>
    <w:tblStylePr w:type="lastRow">
      <w:rPr>
        <w:b/>
        <w:bCs/>
        <w:color w:val="000000" w:themeColor="text1"/>
      </w:rPr>
      <w:tblPr/>
      <w:tcPr>
        <w:shd w:val="clear" w:color="auto" w:fill="7392E3" w:themeFill="accent1" w:themeFillTint="66"/>
      </w:tcPr>
    </w:tblStylePr>
    <w:tblStylePr w:type="firstCol">
      <w:rPr>
        <w:color w:val="FFFFFF" w:themeColor="background1"/>
      </w:rPr>
      <w:tblPr/>
      <w:tcPr>
        <w:shd w:val="clear" w:color="auto" w:fill="0B1738" w:themeFill="accent1" w:themeFillShade="BF"/>
      </w:tcPr>
    </w:tblStylePr>
    <w:tblStylePr w:type="lastCol">
      <w:rPr>
        <w:color w:val="FFFFFF" w:themeColor="background1"/>
      </w:rPr>
      <w:tblPr/>
      <w:tcPr>
        <w:shd w:val="clear" w:color="auto" w:fill="0B1738" w:themeFill="accent1" w:themeFillShade="BF"/>
      </w:tc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ColorfulGrid-Accent2">
    <w:name w:val="Colorful Grid Accent 2"/>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AF7FC" w:themeFill="accent2" w:themeFillTint="33"/>
    </w:tcPr>
    <w:tblStylePr w:type="firstRow">
      <w:rPr>
        <w:b/>
        <w:bCs/>
      </w:rPr>
      <w:tblPr/>
      <w:tcPr>
        <w:shd w:val="clear" w:color="auto" w:fill="D6EFF9" w:themeFill="accent2" w:themeFillTint="66"/>
      </w:tcPr>
    </w:tblStylePr>
    <w:tblStylePr w:type="lastRow">
      <w:rPr>
        <w:b/>
        <w:bCs/>
        <w:color w:val="000000" w:themeColor="text1"/>
      </w:rPr>
      <w:tblPr/>
      <w:tcPr>
        <w:shd w:val="clear" w:color="auto" w:fill="D6EFF9" w:themeFill="accent2" w:themeFillTint="66"/>
      </w:tcPr>
    </w:tblStylePr>
    <w:tblStylePr w:type="firstCol">
      <w:rPr>
        <w:color w:val="FFFFFF" w:themeColor="background1"/>
      </w:rPr>
      <w:tblPr/>
      <w:tcPr>
        <w:shd w:val="clear" w:color="auto" w:fill="43B8E3" w:themeFill="accent2" w:themeFillShade="BF"/>
      </w:tcPr>
    </w:tblStylePr>
    <w:tblStylePr w:type="lastCol">
      <w:rPr>
        <w:color w:val="FFFFFF" w:themeColor="background1"/>
      </w:rPr>
      <w:tblPr/>
      <w:tcPr>
        <w:shd w:val="clear" w:color="auto" w:fill="43B8E3" w:themeFill="accent2" w:themeFillShade="BF"/>
      </w:tc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ColorfulGrid-Accent3">
    <w:name w:val="Colorful Grid Accent 3"/>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B6D0FF" w:themeFill="accent3" w:themeFillTint="33"/>
    </w:tcPr>
    <w:tblStylePr w:type="firstRow">
      <w:rPr>
        <w:b/>
        <w:bCs/>
      </w:rPr>
      <w:tblPr/>
      <w:tcPr>
        <w:shd w:val="clear" w:color="auto" w:fill="6DA2FF" w:themeFill="accent3" w:themeFillTint="66"/>
      </w:tcPr>
    </w:tblStylePr>
    <w:tblStylePr w:type="lastRow">
      <w:rPr>
        <w:b/>
        <w:bCs/>
        <w:color w:val="000000" w:themeColor="text1"/>
      </w:rPr>
      <w:tblPr/>
      <w:tcPr>
        <w:shd w:val="clear" w:color="auto" w:fill="6DA2FF" w:themeFill="accent3" w:themeFillTint="66"/>
      </w:tcPr>
    </w:tblStylePr>
    <w:tblStylePr w:type="firstCol">
      <w:rPr>
        <w:color w:val="FFFFFF" w:themeColor="background1"/>
      </w:rPr>
      <w:tblPr/>
      <w:tcPr>
        <w:shd w:val="clear" w:color="auto" w:fill="00276C" w:themeFill="accent3" w:themeFillShade="BF"/>
      </w:tcPr>
    </w:tblStylePr>
    <w:tblStylePr w:type="lastCol">
      <w:rPr>
        <w:color w:val="FFFFFF" w:themeColor="background1"/>
      </w:rPr>
      <w:tblPr/>
      <w:tcPr>
        <w:shd w:val="clear" w:color="auto" w:fill="00276C" w:themeFill="accent3" w:themeFillShade="BF"/>
      </w:tc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ColorfulGrid-Accent4">
    <w:name w:val="Colorful Grid Accent 4"/>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C4EEFF" w:themeFill="accent4" w:themeFillTint="33"/>
    </w:tcPr>
    <w:tblStylePr w:type="firstRow">
      <w:rPr>
        <w:b/>
        <w:bCs/>
      </w:rPr>
      <w:tblPr/>
      <w:tcPr>
        <w:shd w:val="clear" w:color="auto" w:fill="8ADEFF" w:themeFill="accent4" w:themeFillTint="66"/>
      </w:tcPr>
    </w:tblStylePr>
    <w:tblStylePr w:type="lastRow">
      <w:rPr>
        <w:b/>
        <w:bCs/>
        <w:color w:val="000000" w:themeColor="text1"/>
      </w:rPr>
      <w:tblPr/>
      <w:tcPr>
        <w:shd w:val="clear" w:color="auto" w:fill="8ADEFF" w:themeFill="accent4" w:themeFillTint="66"/>
      </w:tcPr>
    </w:tblStylePr>
    <w:tblStylePr w:type="firstCol">
      <w:rPr>
        <w:color w:val="FFFFFF" w:themeColor="background1"/>
      </w:rPr>
      <w:tblPr/>
      <w:tcPr>
        <w:shd w:val="clear" w:color="auto" w:fill="0076A3" w:themeFill="accent4" w:themeFillShade="BF"/>
      </w:tcPr>
    </w:tblStylePr>
    <w:tblStylePr w:type="lastCol">
      <w:rPr>
        <w:color w:val="FFFFFF" w:themeColor="background1"/>
      </w:rPr>
      <w:tblPr/>
      <w:tcPr>
        <w:shd w:val="clear" w:color="auto" w:fill="0076A3" w:themeFill="accent4" w:themeFillShade="BF"/>
      </w:tc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ColorfulGrid-Accent5">
    <w:name w:val="Colorful Grid Accent 5"/>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E9FFEF" w:themeFill="accent5" w:themeFillTint="33"/>
    </w:tcPr>
    <w:tblStylePr w:type="firstRow">
      <w:rPr>
        <w:b/>
        <w:bCs/>
      </w:rPr>
      <w:tblPr/>
      <w:tcPr>
        <w:shd w:val="clear" w:color="auto" w:fill="D3FFE0" w:themeFill="accent5" w:themeFillTint="66"/>
      </w:tcPr>
    </w:tblStylePr>
    <w:tblStylePr w:type="lastRow">
      <w:rPr>
        <w:b/>
        <w:bCs/>
        <w:color w:val="000000" w:themeColor="text1"/>
      </w:rPr>
      <w:tblPr/>
      <w:tcPr>
        <w:shd w:val="clear" w:color="auto" w:fill="D3FFE0" w:themeFill="accent5" w:themeFillTint="66"/>
      </w:tcPr>
    </w:tblStylePr>
    <w:tblStylePr w:type="firstCol">
      <w:rPr>
        <w:color w:val="FFFFFF" w:themeColor="background1"/>
      </w:rPr>
      <w:tblPr/>
      <w:tcPr>
        <w:shd w:val="clear" w:color="auto" w:fill="2CFF6F" w:themeFill="accent5" w:themeFillShade="BF"/>
      </w:tcPr>
    </w:tblStylePr>
    <w:tblStylePr w:type="lastCol">
      <w:rPr>
        <w:color w:val="FFFFFF" w:themeColor="background1"/>
      </w:rPr>
      <w:tblPr/>
      <w:tcPr>
        <w:shd w:val="clear" w:color="auto" w:fill="2CFF6F" w:themeFill="accent5" w:themeFillShade="BF"/>
      </w:tc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ColorfulGrid-Accent6">
    <w:name w:val="Colorful Grid Accent 6"/>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insideH w:val="single" w:sz="4" w:space="0" w:color="FFFFFF" w:themeColor="background1"/>
      </w:tblBorders>
    </w:tblPr>
    <w:tcPr>
      <w:shd w:val="clear" w:color="auto" w:fill="D4EFD1" w:themeFill="accent6" w:themeFillTint="33"/>
    </w:tcPr>
    <w:tblStylePr w:type="firstRow">
      <w:rPr>
        <w:b/>
        <w:bCs/>
      </w:rPr>
      <w:tblPr/>
      <w:tcPr>
        <w:shd w:val="clear" w:color="auto" w:fill="AAE0A4" w:themeFill="accent6" w:themeFillTint="66"/>
      </w:tcPr>
    </w:tblStylePr>
    <w:tblStylePr w:type="lastRow">
      <w:rPr>
        <w:b/>
        <w:bCs/>
        <w:color w:val="000000" w:themeColor="text1"/>
      </w:rPr>
      <w:tblPr/>
      <w:tcPr>
        <w:shd w:val="clear" w:color="auto" w:fill="AAE0A4" w:themeFill="accent6" w:themeFillTint="66"/>
      </w:tcPr>
    </w:tblStylePr>
    <w:tblStylePr w:type="firstCol">
      <w:rPr>
        <w:color w:val="FFFFFF" w:themeColor="background1"/>
      </w:rPr>
      <w:tblPr/>
      <w:tcPr>
        <w:shd w:val="clear" w:color="auto" w:fill="2E7427" w:themeFill="accent6" w:themeFillShade="BF"/>
      </w:tcPr>
    </w:tblStylePr>
    <w:tblStylePr w:type="lastCol">
      <w:rPr>
        <w:color w:val="FFFFFF" w:themeColor="background1"/>
      </w:rPr>
      <w:tblPr/>
      <w:tcPr>
        <w:shd w:val="clear" w:color="auto" w:fill="2E7427" w:themeFill="accent6" w:themeFillShade="BF"/>
      </w:tc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ColorfulList">
    <w:name w:val="Colorful List"/>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CE4F8" w:themeFill="accen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BED" w:themeFill="accent1" w:themeFillTint="3F"/>
      </w:tcPr>
    </w:tblStylePr>
    <w:tblStylePr w:type="band1Horz">
      <w:tblPr/>
      <w:tcPr>
        <w:shd w:val="clear" w:color="auto" w:fill="B9C8F1" w:themeFill="accent1" w:themeFillTint="33"/>
      </w:tcPr>
    </w:tblStylePr>
  </w:style>
  <w:style w:type="table" w:styleId="ColorfulList-Accent2">
    <w:name w:val="Colorful List Accent 2"/>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BFD" w:themeFill="accent2"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5FB" w:themeFill="accent2" w:themeFillTint="3F"/>
      </w:tcPr>
    </w:tblStylePr>
    <w:tblStylePr w:type="band1Horz">
      <w:tblPr/>
      <w:tcPr>
        <w:shd w:val="clear" w:color="auto" w:fill="EAF7FC" w:themeFill="accent2" w:themeFillTint="33"/>
      </w:tcPr>
    </w:tblStylePr>
  </w:style>
  <w:style w:type="table" w:styleId="ColorfulList-Accent3">
    <w:name w:val="Colorful List Accent 3"/>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DBE8FF" w:themeFill="accent3" w:themeFillTint="19"/>
    </w:tcPr>
    <w:tblStylePr w:type="firstRow">
      <w:rPr>
        <w:b/>
        <w:bCs/>
        <w:color w:val="FFFFFF" w:themeColor="background1"/>
      </w:rPr>
      <w:tblPr/>
      <w:tcPr>
        <w:tcBorders>
          <w:bottom w:val="single" w:sz="12" w:space="0" w:color="FFFFFF" w:themeColor="background1"/>
        </w:tcBorders>
        <w:shd w:val="clear" w:color="auto" w:fill="007EAE" w:themeFill="accent4" w:themeFillShade="CC"/>
      </w:tcPr>
    </w:tblStylePr>
    <w:tblStylePr w:type="lastRow">
      <w:rPr>
        <w:b/>
        <w:bCs/>
        <w:color w:val="007E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5FF" w:themeFill="accent3" w:themeFillTint="3F"/>
      </w:tcPr>
    </w:tblStylePr>
    <w:tblStylePr w:type="band1Horz">
      <w:tblPr/>
      <w:tcPr>
        <w:shd w:val="clear" w:color="auto" w:fill="B6D0FF" w:themeFill="accent3" w:themeFillTint="33"/>
      </w:tcPr>
    </w:tblStylePr>
  </w:style>
  <w:style w:type="table" w:styleId="ColorfulList-Accent4">
    <w:name w:val="Colorful List Accent 4"/>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2F7FF" w:themeFill="accent4" w:themeFillTint="19"/>
    </w:tcPr>
    <w:tblStylePr w:type="firstRow">
      <w:rPr>
        <w:b/>
        <w:bCs/>
        <w:color w:val="FFFFFF" w:themeColor="background1"/>
      </w:rPr>
      <w:tblPr/>
      <w:tcPr>
        <w:tcBorders>
          <w:bottom w:val="single" w:sz="12" w:space="0" w:color="FFFFFF" w:themeColor="background1"/>
        </w:tcBorders>
        <w:shd w:val="clear" w:color="auto" w:fill="002A74" w:themeFill="accent3" w:themeFillShade="CC"/>
      </w:tcPr>
    </w:tblStylePr>
    <w:tblStylePr w:type="lastRow">
      <w:rPr>
        <w:b/>
        <w:bCs/>
        <w:color w:val="002A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4" w:themeFillTint="3F"/>
      </w:tcPr>
    </w:tblStylePr>
    <w:tblStylePr w:type="band1Horz">
      <w:tblPr/>
      <w:tcPr>
        <w:shd w:val="clear" w:color="auto" w:fill="C4EEFF" w:themeFill="accent4" w:themeFillTint="33"/>
      </w:tcPr>
    </w:tblStylePr>
  </w:style>
  <w:style w:type="table" w:styleId="ColorfulList-Accent5">
    <w:name w:val="Colorful List Accent 5"/>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F4FFF7" w:themeFill="accent5" w:themeFillTint="19"/>
    </w:tcPr>
    <w:tblStylePr w:type="firstRow">
      <w:rPr>
        <w:b/>
        <w:bCs/>
        <w:color w:val="FFFFFF" w:themeColor="background1"/>
      </w:rPr>
      <w:tblPr/>
      <w:tcPr>
        <w:tcBorders>
          <w:bottom w:val="single" w:sz="12" w:space="0" w:color="FFFFFF" w:themeColor="background1"/>
        </w:tcBorders>
        <w:shd w:val="clear" w:color="auto" w:fill="327C2A" w:themeFill="accent6" w:themeFillShade="CC"/>
      </w:tcPr>
    </w:tblStylePr>
    <w:tblStylePr w:type="lastRow">
      <w:rPr>
        <w:b/>
        <w:bCs/>
        <w:color w:val="327C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EC" w:themeFill="accent5" w:themeFillTint="3F"/>
      </w:tcPr>
    </w:tblStylePr>
    <w:tblStylePr w:type="band1Horz">
      <w:tblPr/>
      <w:tcPr>
        <w:shd w:val="clear" w:color="auto" w:fill="E9FFEF" w:themeFill="accent5" w:themeFillTint="33"/>
      </w:tcPr>
    </w:tblStylePr>
  </w:style>
  <w:style w:type="table" w:styleId="ColorfulList-Accent6">
    <w:name w:val="Colorful List Accent 6"/>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Pr>
    <w:tcPr>
      <w:shd w:val="clear" w:color="auto" w:fill="EAF7E8" w:themeFill="accent6" w:themeFillTint="19"/>
    </w:tcPr>
    <w:tblStylePr w:type="firstRow">
      <w:rPr>
        <w:b/>
        <w:bCs/>
        <w:color w:val="FFFFFF" w:themeColor="background1"/>
      </w:rPr>
      <w:tblPr/>
      <w:tcPr>
        <w:tcBorders>
          <w:bottom w:val="single" w:sz="12" w:space="0" w:color="FFFFFF" w:themeColor="background1"/>
        </w:tcBorders>
        <w:shd w:val="clear" w:color="auto" w:fill="41FF7D" w:themeFill="accent5" w:themeFillShade="CC"/>
      </w:tcPr>
    </w:tblStylePr>
    <w:tblStylePr w:type="lastRow">
      <w:rPr>
        <w:b/>
        <w:bCs/>
        <w:color w:val="41FF7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CC7" w:themeFill="accent6" w:themeFillTint="3F"/>
      </w:tcPr>
    </w:tblStylePr>
    <w:tblStylePr w:type="band1Horz">
      <w:tblPr/>
      <w:tcPr>
        <w:shd w:val="clear" w:color="auto" w:fill="D4EFD1" w:themeFill="accent6" w:themeFillTint="33"/>
      </w:tcPr>
    </w:tblStylePr>
  </w:style>
  <w:style w:type="table" w:styleId="ColorfulShading">
    <w:name w:val="Colorful Shading"/>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0F204B" w:themeColor="accent1"/>
        <w:bottom w:val="single" w:sz="4" w:space="0" w:color="0F204B" w:themeColor="accent1"/>
        <w:right w:val="single" w:sz="4" w:space="0" w:color="0F204B" w:themeColor="accent1"/>
        <w:insideH w:val="single" w:sz="4" w:space="0" w:color="FFFFFF" w:themeColor="background1"/>
        <w:insideV w:val="single" w:sz="4" w:space="0" w:color="FFFFFF" w:themeColor="background1"/>
      </w:tblBorders>
    </w:tblPr>
    <w:tcPr>
      <w:shd w:val="clear" w:color="auto" w:fill="DCE4F8" w:themeFill="accen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32D" w:themeFill="accent1" w:themeFillShade="99"/>
      </w:tcPr>
    </w:tblStylePr>
    <w:tblStylePr w:type="firstCol">
      <w:rPr>
        <w:color w:val="FFFFFF" w:themeColor="background1"/>
      </w:rPr>
      <w:tblPr/>
      <w:tcPr>
        <w:tcBorders>
          <w:top w:val="nil"/>
          <w:left w:val="nil"/>
          <w:bottom w:val="nil"/>
          <w:right w:val="nil"/>
          <w:insideH w:val="single" w:sz="4" w:space="0" w:color="09132D" w:themeColor="accent1" w:themeShade="99"/>
          <w:insideV w:val="nil"/>
        </w:tcBorders>
        <w:shd w:val="clear" w:color="auto" w:fill="0913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32D" w:themeFill="accent1" w:themeFillShade="99"/>
      </w:tcPr>
    </w:tblStylePr>
    <w:tblStylePr w:type="band1Vert">
      <w:tblPr/>
      <w:tcPr>
        <w:shd w:val="clear" w:color="auto" w:fill="7392E3" w:themeFill="accent1" w:themeFillTint="66"/>
      </w:tcPr>
    </w:tblStylePr>
    <w:tblStylePr w:type="band1Horz">
      <w:tblPr/>
      <w:tcPr>
        <w:shd w:val="clear" w:color="auto" w:fill="5077D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9D9F0" w:themeColor="accent2"/>
        <w:left w:val="single" w:sz="4" w:space="0" w:color="99D9F0" w:themeColor="accent2"/>
        <w:bottom w:val="single" w:sz="4" w:space="0" w:color="99D9F0" w:themeColor="accent2"/>
        <w:right w:val="single" w:sz="4" w:space="0" w:color="99D9F0" w:themeColor="accent2"/>
        <w:insideH w:val="single" w:sz="4" w:space="0" w:color="FFFFFF" w:themeColor="background1"/>
        <w:insideV w:val="single" w:sz="4" w:space="0" w:color="FFFFFF" w:themeColor="background1"/>
      </w:tblBorders>
    </w:tblPr>
    <w:tcPr>
      <w:shd w:val="clear" w:color="auto" w:fill="F4FBFD" w:themeFill="accent2"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9ECD" w:themeFill="accent2" w:themeFillShade="99"/>
      </w:tcPr>
    </w:tblStylePr>
    <w:tblStylePr w:type="firstCol">
      <w:rPr>
        <w:color w:val="FFFFFF" w:themeColor="background1"/>
      </w:rPr>
      <w:tblPr/>
      <w:tcPr>
        <w:tcBorders>
          <w:top w:val="nil"/>
          <w:left w:val="nil"/>
          <w:bottom w:val="nil"/>
          <w:right w:val="nil"/>
          <w:insideH w:val="single" w:sz="4" w:space="0" w:color="1E9ECD" w:themeColor="accent2" w:themeShade="99"/>
          <w:insideV w:val="nil"/>
        </w:tcBorders>
        <w:shd w:val="clear" w:color="auto" w:fill="1E9EC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9ECD" w:themeFill="accent2" w:themeFillShade="99"/>
      </w:tcPr>
    </w:tblStylePr>
    <w:tblStylePr w:type="band1Vert">
      <w:tblPr/>
      <w:tcPr>
        <w:shd w:val="clear" w:color="auto" w:fill="D6EFF9" w:themeFill="accent2" w:themeFillTint="66"/>
      </w:tcPr>
    </w:tblStylePr>
    <w:tblStylePr w:type="band1Horz">
      <w:tblPr/>
      <w:tcPr>
        <w:shd w:val="clear" w:color="auto" w:fill="CCEC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9FDA" w:themeColor="accent4"/>
        <w:left w:val="single" w:sz="4" w:space="0" w:color="003591" w:themeColor="accent3"/>
        <w:bottom w:val="single" w:sz="4" w:space="0" w:color="003591" w:themeColor="accent3"/>
        <w:right w:val="single" w:sz="4" w:space="0" w:color="003591" w:themeColor="accent3"/>
        <w:insideH w:val="single" w:sz="4" w:space="0" w:color="FFFFFF" w:themeColor="background1"/>
        <w:insideV w:val="single" w:sz="4" w:space="0" w:color="FFFFFF" w:themeColor="background1"/>
      </w:tblBorders>
    </w:tblPr>
    <w:tcPr>
      <w:shd w:val="clear" w:color="auto" w:fill="DBE8FF" w:themeFill="accent3" w:themeFillTint="19"/>
    </w:tcPr>
    <w:tblStylePr w:type="firstRow">
      <w:rPr>
        <w:b/>
        <w:bCs/>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57" w:themeFill="accent3" w:themeFillShade="99"/>
      </w:tcPr>
    </w:tblStylePr>
    <w:tblStylePr w:type="firstCol">
      <w:rPr>
        <w:color w:val="FFFFFF" w:themeColor="background1"/>
      </w:rPr>
      <w:tblPr/>
      <w:tcPr>
        <w:tcBorders>
          <w:top w:val="nil"/>
          <w:left w:val="nil"/>
          <w:bottom w:val="nil"/>
          <w:right w:val="nil"/>
          <w:insideH w:val="single" w:sz="4" w:space="0" w:color="001F57" w:themeColor="accent3" w:themeShade="99"/>
          <w:insideV w:val="nil"/>
        </w:tcBorders>
        <w:shd w:val="clear" w:color="auto" w:fill="001F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F57" w:themeFill="accent3" w:themeFillShade="99"/>
      </w:tcPr>
    </w:tblStylePr>
    <w:tblStylePr w:type="band1Vert">
      <w:tblPr/>
      <w:tcPr>
        <w:shd w:val="clear" w:color="auto" w:fill="6DA2FF" w:themeFill="accent3" w:themeFillTint="66"/>
      </w:tcPr>
    </w:tblStylePr>
    <w:tblStylePr w:type="band1Horz">
      <w:tblPr/>
      <w:tcPr>
        <w:shd w:val="clear" w:color="auto" w:fill="498BFF" w:themeFill="accent3" w:themeFillTint="7F"/>
      </w:tcPr>
    </w:tblStylePr>
  </w:style>
  <w:style w:type="table" w:styleId="ColorfulShading-Accent4">
    <w:name w:val="Colorful Shading Accent 4"/>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003591" w:themeColor="accent3"/>
        <w:left w:val="single" w:sz="4" w:space="0" w:color="009FDA" w:themeColor="accent4"/>
        <w:bottom w:val="single" w:sz="4" w:space="0" w:color="009FDA" w:themeColor="accent4"/>
        <w:right w:val="single" w:sz="4" w:space="0" w:color="009FDA" w:themeColor="accent4"/>
        <w:insideH w:val="single" w:sz="4" w:space="0" w:color="FFFFFF" w:themeColor="background1"/>
        <w:insideV w:val="single" w:sz="4" w:space="0" w:color="FFFFFF" w:themeColor="background1"/>
      </w:tblBorders>
    </w:tblPr>
    <w:tcPr>
      <w:shd w:val="clear" w:color="auto" w:fill="E2F7FF" w:themeFill="accent4" w:themeFillTint="19"/>
    </w:tcPr>
    <w:tblStylePr w:type="firstRow">
      <w:rPr>
        <w:b/>
        <w:bCs/>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4" w:themeFillShade="99"/>
      </w:tcPr>
    </w:tblStylePr>
    <w:tblStylePr w:type="firstCol">
      <w:rPr>
        <w:color w:val="FFFFFF" w:themeColor="background1"/>
      </w:rPr>
      <w:tblPr/>
      <w:tcPr>
        <w:tcBorders>
          <w:top w:val="nil"/>
          <w:left w:val="nil"/>
          <w:bottom w:val="nil"/>
          <w:right w:val="nil"/>
          <w:insideH w:val="single" w:sz="4" w:space="0" w:color="005E82" w:themeColor="accent4" w:themeShade="99"/>
          <w:insideV w:val="nil"/>
        </w:tcBorders>
        <w:shd w:val="clear" w:color="auto" w:fill="005E8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4" w:themeFillShade="99"/>
      </w:tcPr>
    </w:tblStylePr>
    <w:tblStylePr w:type="band1Vert">
      <w:tblPr/>
      <w:tcPr>
        <w:shd w:val="clear" w:color="auto" w:fill="8ADEFF" w:themeFill="accent4" w:themeFillTint="66"/>
      </w:tcPr>
    </w:tblStylePr>
    <w:tblStylePr w:type="band1Horz">
      <w:tblPr/>
      <w:tcPr>
        <w:shd w:val="clear" w:color="auto" w:fill="6DD7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3F9C35" w:themeColor="accent6"/>
        <w:left w:val="single" w:sz="4" w:space="0" w:color="91FFB4" w:themeColor="accent5"/>
        <w:bottom w:val="single" w:sz="4" w:space="0" w:color="91FFB4" w:themeColor="accent5"/>
        <w:right w:val="single" w:sz="4" w:space="0" w:color="91FFB4" w:themeColor="accent5"/>
        <w:insideH w:val="single" w:sz="4" w:space="0" w:color="FFFFFF" w:themeColor="background1"/>
        <w:insideV w:val="single" w:sz="4" w:space="0" w:color="FFFFFF" w:themeColor="background1"/>
      </w:tblBorders>
    </w:tblPr>
    <w:tcPr>
      <w:shd w:val="clear" w:color="auto" w:fill="F4FFF7" w:themeFill="accent5" w:themeFillTint="19"/>
    </w:tcPr>
    <w:tblStylePr w:type="firstRow">
      <w:rPr>
        <w:b/>
        <w:bCs/>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F04C" w:themeFill="accent5" w:themeFillShade="99"/>
      </w:tcPr>
    </w:tblStylePr>
    <w:tblStylePr w:type="firstCol">
      <w:rPr>
        <w:color w:val="FFFFFF" w:themeColor="background1"/>
      </w:rPr>
      <w:tblPr/>
      <w:tcPr>
        <w:tcBorders>
          <w:top w:val="nil"/>
          <w:left w:val="nil"/>
          <w:bottom w:val="nil"/>
          <w:right w:val="nil"/>
          <w:insideH w:val="single" w:sz="4" w:space="0" w:color="00F04C" w:themeColor="accent5" w:themeShade="99"/>
          <w:insideV w:val="nil"/>
        </w:tcBorders>
        <w:shd w:val="clear" w:color="auto" w:fill="00F0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F04C" w:themeFill="accent5" w:themeFillShade="99"/>
      </w:tcPr>
    </w:tblStylePr>
    <w:tblStylePr w:type="band1Vert">
      <w:tblPr/>
      <w:tcPr>
        <w:shd w:val="clear" w:color="auto" w:fill="D3FFE0" w:themeFill="accent5" w:themeFillTint="66"/>
      </w:tcPr>
    </w:tblStylePr>
    <w:tblStylePr w:type="band1Horz">
      <w:tblPr/>
      <w:tcPr>
        <w:shd w:val="clear" w:color="auto" w:fill="C8FF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24" w:space="0" w:color="91FFB4" w:themeColor="accent5"/>
        <w:left w:val="single" w:sz="4" w:space="0" w:color="3F9C35" w:themeColor="accent6"/>
        <w:bottom w:val="single" w:sz="4" w:space="0" w:color="3F9C35" w:themeColor="accent6"/>
        <w:right w:val="single" w:sz="4" w:space="0" w:color="3F9C35" w:themeColor="accent6"/>
        <w:insideH w:val="single" w:sz="4" w:space="0" w:color="FFFFFF" w:themeColor="background1"/>
        <w:insideV w:val="single" w:sz="4" w:space="0" w:color="FFFFFF" w:themeColor="background1"/>
      </w:tblBorders>
    </w:tblPr>
    <w:tcPr>
      <w:shd w:val="clear" w:color="auto" w:fill="EAF7E8" w:themeFill="accent6" w:themeFillTint="19"/>
    </w:tcPr>
    <w:tblStylePr w:type="firstRow">
      <w:rPr>
        <w:b/>
        <w:bCs/>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1F" w:themeFill="accent6" w:themeFillShade="99"/>
      </w:tcPr>
    </w:tblStylePr>
    <w:tblStylePr w:type="firstCol">
      <w:rPr>
        <w:color w:val="FFFFFF" w:themeColor="background1"/>
      </w:rPr>
      <w:tblPr/>
      <w:tcPr>
        <w:tcBorders>
          <w:top w:val="nil"/>
          <w:left w:val="nil"/>
          <w:bottom w:val="nil"/>
          <w:right w:val="nil"/>
          <w:insideH w:val="single" w:sz="4" w:space="0" w:color="255D1F" w:themeColor="accent6" w:themeShade="99"/>
          <w:insideV w:val="nil"/>
        </w:tcBorders>
        <w:shd w:val="clear" w:color="auto" w:fill="255D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5D1F" w:themeFill="accent6" w:themeFillShade="99"/>
      </w:tcPr>
    </w:tblStylePr>
    <w:tblStylePr w:type="band1Vert">
      <w:tblPr/>
      <w:tcPr>
        <w:shd w:val="clear" w:color="auto" w:fill="AAE0A4" w:themeFill="accent6" w:themeFillTint="66"/>
      </w:tcPr>
    </w:tblStylePr>
    <w:tblStylePr w:type="band1Horz">
      <w:tblPr/>
      <w:tcPr>
        <w:shd w:val="clear" w:color="auto" w:fill="95D98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AA15F2"/>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AA15F2"/>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F20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F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17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1738" w:themeFill="accent1" w:themeFillShade="BF"/>
      </w:tcPr>
    </w:tblStylePr>
    <w:tblStylePr w:type="band1Vert">
      <w:tblPr/>
      <w:tcPr>
        <w:tcBorders>
          <w:top w:val="nil"/>
          <w:left w:val="nil"/>
          <w:bottom w:val="nil"/>
          <w:right w:val="nil"/>
          <w:insideH w:val="nil"/>
          <w:insideV w:val="nil"/>
        </w:tcBorders>
        <w:shd w:val="clear" w:color="auto" w:fill="0B1738" w:themeFill="accent1" w:themeFillShade="BF"/>
      </w:tcPr>
    </w:tblStylePr>
    <w:tblStylePr w:type="band1Horz">
      <w:tblPr/>
      <w:tcPr>
        <w:tcBorders>
          <w:top w:val="nil"/>
          <w:left w:val="nil"/>
          <w:bottom w:val="nil"/>
          <w:right w:val="nil"/>
          <w:insideH w:val="nil"/>
          <w:insideV w:val="nil"/>
        </w:tcBorders>
        <w:shd w:val="clear" w:color="auto" w:fill="0B1738" w:themeFill="accent1" w:themeFillShade="BF"/>
      </w:tcPr>
    </w:tblStylePr>
  </w:style>
  <w:style w:type="table" w:styleId="DarkList-Accent2">
    <w:name w:val="Dark List Accent 2"/>
    <w:basedOn w:val="TableNormal"/>
    <w:uiPriority w:val="99"/>
    <w:semiHidden/>
    <w:unhideWhenUsed/>
    <w:rsid w:val="00AA15F2"/>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9D9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83A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B8E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B8E3" w:themeFill="accent2" w:themeFillShade="BF"/>
      </w:tcPr>
    </w:tblStylePr>
    <w:tblStylePr w:type="band1Vert">
      <w:tblPr/>
      <w:tcPr>
        <w:tcBorders>
          <w:top w:val="nil"/>
          <w:left w:val="nil"/>
          <w:bottom w:val="nil"/>
          <w:right w:val="nil"/>
          <w:insideH w:val="nil"/>
          <w:insideV w:val="nil"/>
        </w:tcBorders>
        <w:shd w:val="clear" w:color="auto" w:fill="43B8E3" w:themeFill="accent2" w:themeFillShade="BF"/>
      </w:tcPr>
    </w:tblStylePr>
    <w:tblStylePr w:type="band1Horz">
      <w:tblPr/>
      <w:tcPr>
        <w:tcBorders>
          <w:top w:val="nil"/>
          <w:left w:val="nil"/>
          <w:bottom w:val="nil"/>
          <w:right w:val="nil"/>
          <w:insideH w:val="nil"/>
          <w:insideV w:val="nil"/>
        </w:tcBorders>
        <w:shd w:val="clear" w:color="auto" w:fill="43B8E3" w:themeFill="accent2" w:themeFillShade="BF"/>
      </w:tcPr>
    </w:tblStylePr>
  </w:style>
  <w:style w:type="table" w:styleId="DarkList-Accent3">
    <w:name w:val="Dark List Accent 3"/>
    <w:basedOn w:val="TableNormal"/>
    <w:uiPriority w:val="99"/>
    <w:semiHidden/>
    <w:unhideWhenUsed/>
    <w:rsid w:val="00AA15F2"/>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35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7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76C" w:themeFill="accent3" w:themeFillShade="BF"/>
      </w:tcPr>
    </w:tblStylePr>
    <w:tblStylePr w:type="band1Vert">
      <w:tblPr/>
      <w:tcPr>
        <w:tcBorders>
          <w:top w:val="nil"/>
          <w:left w:val="nil"/>
          <w:bottom w:val="nil"/>
          <w:right w:val="nil"/>
          <w:insideH w:val="nil"/>
          <w:insideV w:val="nil"/>
        </w:tcBorders>
        <w:shd w:val="clear" w:color="auto" w:fill="00276C" w:themeFill="accent3" w:themeFillShade="BF"/>
      </w:tcPr>
    </w:tblStylePr>
    <w:tblStylePr w:type="band1Horz">
      <w:tblPr/>
      <w:tcPr>
        <w:tcBorders>
          <w:top w:val="nil"/>
          <w:left w:val="nil"/>
          <w:bottom w:val="nil"/>
          <w:right w:val="nil"/>
          <w:insideH w:val="nil"/>
          <w:insideV w:val="nil"/>
        </w:tcBorders>
        <w:shd w:val="clear" w:color="auto" w:fill="00276C" w:themeFill="accent3" w:themeFillShade="BF"/>
      </w:tcPr>
    </w:tblStylePr>
  </w:style>
  <w:style w:type="table" w:styleId="DarkList-Accent4">
    <w:name w:val="Dark List Accent 4"/>
    <w:basedOn w:val="TableNormal"/>
    <w:uiPriority w:val="99"/>
    <w:semiHidden/>
    <w:unhideWhenUsed/>
    <w:rsid w:val="00AA15F2"/>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009FD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4" w:themeFillShade="BF"/>
      </w:tcPr>
    </w:tblStylePr>
    <w:tblStylePr w:type="band1Vert">
      <w:tblPr/>
      <w:tcPr>
        <w:tcBorders>
          <w:top w:val="nil"/>
          <w:left w:val="nil"/>
          <w:bottom w:val="nil"/>
          <w:right w:val="nil"/>
          <w:insideH w:val="nil"/>
          <w:insideV w:val="nil"/>
        </w:tcBorders>
        <w:shd w:val="clear" w:color="auto" w:fill="0076A3" w:themeFill="accent4" w:themeFillShade="BF"/>
      </w:tcPr>
    </w:tblStylePr>
    <w:tblStylePr w:type="band1Horz">
      <w:tblPr/>
      <w:tcPr>
        <w:tcBorders>
          <w:top w:val="nil"/>
          <w:left w:val="nil"/>
          <w:bottom w:val="nil"/>
          <w:right w:val="nil"/>
          <w:insideH w:val="nil"/>
          <w:insideV w:val="nil"/>
        </w:tcBorders>
        <w:shd w:val="clear" w:color="auto" w:fill="0076A3" w:themeFill="accent4" w:themeFillShade="BF"/>
      </w:tcPr>
    </w:tblStylePr>
  </w:style>
  <w:style w:type="table" w:styleId="DarkList-Accent5">
    <w:name w:val="Dark List Accent 5"/>
    <w:basedOn w:val="TableNormal"/>
    <w:uiPriority w:val="99"/>
    <w:semiHidden/>
    <w:unhideWhenUsed/>
    <w:rsid w:val="00AA15F2"/>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91FF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C7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CFF6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CFF6F" w:themeFill="accent5" w:themeFillShade="BF"/>
      </w:tcPr>
    </w:tblStylePr>
    <w:tblStylePr w:type="band1Vert">
      <w:tblPr/>
      <w:tcPr>
        <w:tcBorders>
          <w:top w:val="nil"/>
          <w:left w:val="nil"/>
          <w:bottom w:val="nil"/>
          <w:right w:val="nil"/>
          <w:insideH w:val="nil"/>
          <w:insideV w:val="nil"/>
        </w:tcBorders>
        <w:shd w:val="clear" w:color="auto" w:fill="2CFF6F" w:themeFill="accent5" w:themeFillShade="BF"/>
      </w:tcPr>
    </w:tblStylePr>
    <w:tblStylePr w:type="band1Horz">
      <w:tblPr/>
      <w:tcPr>
        <w:tcBorders>
          <w:top w:val="nil"/>
          <w:left w:val="nil"/>
          <w:bottom w:val="nil"/>
          <w:right w:val="nil"/>
          <w:insideH w:val="nil"/>
          <w:insideV w:val="nil"/>
        </w:tcBorders>
        <w:shd w:val="clear" w:color="auto" w:fill="2CFF6F" w:themeFill="accent5" w:themeFillShade="BF"/>
      </w:tcPr>
    </w:tblStylePr>
  </w:style>
  <w:style w:type="table" w:styleId="DarkList-Accent6">
    <w:name w:val="Dark List Accent 6"/>
    <w:basedOn w:val="TableNormal"/>
    <w:uiPriority w:val="99"/>
    <w:semiHidden/>
    <w:unhideWhenUsed/>
    <w:rsid w:val="00AA15F2"/>
    <w:rPr>
      <w:rFonts w:asciiTheme="minorHAnsi" w:eastAsiaTheme="minorEastAsia" w:hAnsiTheme="minorHAnsi" w:cstheme="minorBidi"/>
      <w:color w:val="FFFFFF" w:themeColor="background1"/>
      <w:sz w:val="22"/>
      <w:szCs w:val="22"/>
      <w:lang w:eastAsia="zh-CN"/>
    </w:rPr>
    <w:tblPr>
      <w:tblStyleRowBandSize w:val="1"/>
      <w:tblStyleColBandSize w:val="1"/>
    </w:tblPr>
    <w:tcPr>
      <w:shd w:val="clear" w:color="auto" w:fill="3F9C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E74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E7427" w:themeFill="accent6" w:themeFillShade="BF"/>
      </w:tcPr>
    </w:tblStylePr>
    <w:tblStylePr w:type="band1Vert">
      <w:tblPr/>
      <w:tcPr>
        <w:tcBorders>
          <w:top w:val="nil"/>
          <w:left w:val="nil"/>
          <w:bottom w:val="nil"/>
          <w:right w:val="nil"/>
          <w:insideH w:val="nil"/>
          <w:insideV w:val="nil"/>
        </w:tcBorders>
        <w:shd w:val="clear" w:color="auto" w:fill="2E7427" w:themeFill="accent6" w:themeFillShade="BF"/>
      </w:tcPr>
    </w:tblStylePr>
    <w:tblStylePr w:type="band1Horz">
      <w:tblPr/>
      <w:tcPr>
        <w:tcBorders>
          <w:top w:val="nil"/>
          <w:left w:val="nil"/>
          <w:bottom w:val="nil"/>
          <w:right w:val="nil"/>
          <w:insideH w:val="nil"/>
          <w:insideV w:val="nil"/>
        </w:tcBorders>
        <w:shd w:val="clear" w:color="auto" w:fill="2E7427" w:themeFill="accent6" w:themeFillShade="BF"/>
      </w:tcPr>
    </w:tblStylePr>
  </w:style>
  <w:style w:type="table" w:styleId="GridTable1Light">
    <w:name w:val="Grid Table 1 Light"/>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7392E3" w:themeColor="accent1" w:themeTint="66"/>
        <w:left w:val="single" w:sz="4" w:space="0" w:color="7392E3" w:themeColor="accent1" w:themeTint="66"/>
        <w:bottom w:val="single" w:sz="4" w:space="0" w:color="7392E3" w:themeColor="accent1" w:themeTint="66"/>
        <w:right w:val="single" w:sz="4" w:space="0" w:color="7392E3" w:themeColor="accent1" w:themeTint="66"/>
        <w:insideH w:val="single" w:sz="4" w:space="0" w:color="7392E3" w:themeColor="accent1" w:themeTint="66"/>
        <w:insideV w:val="single" w:sz="4" w:space="0" w:color="7392E3" w:themeColor="accent1" w:themeTint="66"/>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2" w:space="0" w:color="2D5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D6EFF9" w:themeColor="accent2" w:themeTint="66"/>
        <w:left w:val="single" w:sz="4" w:space="0" w:color="D6EFF9" w:themeColor="accent2" w:themeTint="66"/>
        <w:bottom w:val="single" w:sz="4" w:space="0" w:color="D6EFF9" w:themeColor="accent2" w:themeTint="66"/>
        <w:right w:val="single" w:sz="4" w:space="0" w:color="D6EFF9" w:themeColor="accent2" w:themeTint="66"/>
        <w:insideH w:val="single" w:sz="4" w:space="0" w:color="D6EFF9" w:themeColor="accent2" w:themeTint="66"/>
        <w:insideV w:val="single" w:sz="4" w:space="0" w:color="D6EFF9" w:themeColor="accent2" w:themeTint="66"/>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2" w:space="0" w:color="C1E8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6DA2FF" w:themeColor="accent3" w:themeTint="66"/>
        <w:left w:val="single" w:sz="4" w:space="0" w:color="6DA2FF" w:themeColor="accent3" w:themeTint="66"/>
        <w:bottom w:val="single" w:sz="4" w:space="0" w:color="6DA2FF" w:themeColor="accent3" w:themeTint="66"/>
        <w:right w:val="single" w:sz="4" w:space="0" w:color="6DA2FF" w:themeColor="accent3" w:themeTint="66"/>
        <w:insideH w:val="single" w:sz="4" w:space="0" w:color="6DA2FF" w:themeColor="accent3" w:themeTint="66"/>
        <w:insideV w:val="single" w:sz="4" w:space="0" w:color="6DA2FF" w:themeColor="accent3" w:themeTint="66"/>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2" w:space="0" w:color="247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8ADEFF" w:themeColor="accent4" w:themeTint="66"/>
        <w:left w:val="single" w:sz="4" w:space="0" w:color="8ADEFF" w:themeColor="accent4" w:themeTint="66"/>
        <w:bottom w:val="single" w:sz="4" w:space="0" w:color="8ADEFF" w:themeColor="accent4" w:themeTint="66"/>
        <w:right w:val="single" w:sz="4" w:space="0" w:color="8ADEFF" w:themeColor="accent4" w:themeTint="66"/>
        <w:insideH w:val="single" w:sz="4" w:space="0" w:color="8ADEFF" w:themeColor="accent4" w:themeTint="66"/>
        <w:insideV w:val="single" w:sz="4" w:space="0" w:color="8ADEFF" w:themeColor="accent4" w:themeTint="66"/>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2" w:space="0" w:color="4FCE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D3FFE0" w:themeColor="accent5" w:themeTint="66"/>
        <w:left w:val="single" w:sz="4" w:space="0" w:color="D3FFE0" w:themeColor="accent5" w:themeTint="66"/>
        <w:bottom w:val="single" w:sz="4" w:space="0" w:color="D3FFE0" w:themeColor="accent5" w:themeTint="66"/>
        <w:right w:val="single" w:sz="4" w:space="0" w:color="D3FFE0" w:themeColor="accent5" w:themeTint="66"/>
        <w:insideH w:val="single" w:sz="4" w:space="0" w:color="D3FFE0" w:themeColor="accent5" w:themeTint="66"/>
        <w:insideV w:val="single" w:sz="4" w:space="0" w:color="D3FFE0" w:themeColor="accent5" w:themeTint="66"/>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2" w:space="0" w:color="BDFF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AAE0A4" w:themeColor="accent6" w:themeTint="66"/>
        <w:left w:val="single" w:sz="4" w:space="0" w:color="AAE0A4" w:themeColor="accent6" w:themeTint="66"/>
        <w:bottom w:val="single" w:sz="4" w:space="0" w:color="AAE0A4" w:themeColor="accent6" w:themeTint="66"/>
        <w:right w:val="single" w:sz="4" w:space="0" w:color="AAE0A4" w:themeColor="accent6" w:themeTint="66"/>
        <w:insideH w:val="single" w:sz="4" w:space="0" w:color="AAE0A4" w:themeColor="accent6" w:themeTint="66"/>
        <w:insideV w:val="single" w:sz="4" w:space="0" w:color="AAE0A4" w:themeColor="accent6" w:themeTint="66"/>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2" w:space="0" w:color="80D1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2" w:space="0" w:color="2D5CD5" w:themeColor="accent1" w:themeTint="99"/>
        <w:bottom w:val="single" w:sz="2" w:space="0" w:color="2D5CD5" w:themeColor="accent1" w:themeTint="99"/>
        <w:insideH w:val="single" w:sz="2" w:space="0" w:color="2D5CD5" w:themeColor="accent1" w:themeTint="99"/>
        <w:insideV w:val="single" w:sz="2" w:space="0" w:color="2D5CD5" w:themeColor="accent1" w:themeTint="99"/>
      </w:tblBorders>
    </w:tblPr>
    <w:tblStylePr w:type="firstRow">
      <w:rPr>
        <w:b/>
        <w:bCs/>
      </w:rPr>
      <w:tblPr/>
      <w:tcPr>
        <w:tcBorders>
          <w:top w:val="nil"/>
          <w:bottom w:val="single" w:sz="12" w:space="0" w:color="2D5CD5" w:themeColor="accent1" w:themeTint="99"/>
          <w:insideH w:val="nil"/>
          <w:insideV w:val="nil"/>
        </w:tcBorders>
        <w:shd w:val="clear" w:color="auto" w:fill="FFFFFF" w:themeFill="background1"/>
      </w:tcPr>
    </w:tblStylePr>
    <w:tblStylePr w:type="lastRow">
      <w:rPr>
        <w:b/>
        <w:bCs/>
      </w:rPr>
      <w:tblPr/>
      <w:tcPr>
        <w:tcBorders>
          <w:top w:val="double" w:sz="2" w:space="0" w:color="2D5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2-Accent2">
    <w:name w:val="Grid Table 2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2" w:space="0" w:color="C1E8F6" w:themeColor="accent2" w:themeTint="99"/>
        <w:bottom w:val="single" w:sz="2" w:space="0" w:color="C1E8F6" w:themeColor="accent2" w:themeTint="99"/>
        <w:insideH w:val="single" w:sz="2" w:space="0" w:color="C1E8F6" w:themeColor="accent2" w:themeTint="99"/>
        <w:insideV w:val="single" w:sz="2" w:space="0" w:color="C1E8F6" w:themeColor="accent2" w:themeTint="99"/>
      </w:tblBorders>
    </w:tblPr>
    <w:tblStylePr w:type="firstRow">
      <w:rPr>
        <w:b/>
        <w:bCs/>
      </w:rPr>
      <w:tblPr/>
      <w:tcPr>
        <w:tcBorders>
          <w:top w:val="nil"/>
          <w:bottom w:val="single" w:sz="12" w:space="0" w:color="C1E8F6" w:themeColor="accent2" w:themeTint="99"/>
          <w:insideH w:val="nil"/>
          <w:insideV w:val="nil"/>
        </w:tcBorders>
        <w:shd w:val="clear" w:color="auto" w:fill="FFFFFF" w:themeFill="background1"/>
      </w:tcPr>
    </w:tblStylePr>
    <w:tblStylePr w:type="lastRow">
      <w:rPr>
        <w:b/>
        <w:bCs/>
      </w:rPr>
      <w:tblPr/>
      <w:tcPr>
        <w:tcBorders>
          <w:top w:val="double" w:sz="2" w:space="0" w:color="C1E8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2-Accent3">
    <w:name w:val="Grid Table 2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2" w:space="0" w:color="2473FF" w:themeColor="accent3" w:themeTint="99"/>
        <w:bottom w:val="single" w:sz="2" w:space="0" w:color="2473FF" w:themeColor="accent3" w:themeTint="99"/>
        <w:insideH w:val="single" w:sz="2" w:space="0" w:color="2473FF" w:themeColor="accent3" w:themeTint="99"/>
        <w:insideV w:val="single" w:sz="2" w:space="0" w:color="2473FF" w:themeColor="accent3" w:themeTint="99"/>
      </w:tblBorders>
    </w:tblPr>
    <w:tblStylePr w:type="firstRow">
      <w:rPr>
        <w:b/>
        <w:bCs/>
      </w:rPr>
      <w:tblPr/>
      <w:tcPr>
        <w:tcBorders>
          <w:top w:val="nil"/>
          <w:bottom w:val="single" w:sz="12" w:space="0" w:color="2473FF" w:themeColor="accent3" w:themeTint="99"/>
          <w:insideH w:val="nil"/>
          <w:insideV w:val="nil"/>
        </w:tcBorders>
        <w:shd w:val="clear" w:color="auto" w:fill="FFFFFF" w:themeFill="background1"/>
      </w:tcPr>
    </w:tblStylePr>
    <w:tblStylePr w:type="lastRow">
      <w:rPr>
        <w:b/>
        <w:bCs/>
      </w:rPr>
      <w:tblPr/>
      <w:tcPr>
        <w:tcBorders>
          <w:top w:val="double" w:sz="2" w:space="0" w:color="247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2-Accent4">
    <w:name w:val="Grid Table 2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2" w:space="0" w:color="4FCEFF" w:themeColor="accent4" w:themeTint="99"/>
        <w:bottom w:val="single" w:sz="2" w:space="0" w:color="4FCEFF" w:themeColor="accent4" w:themeTint="99"/>
        <w:insideH w:val="single" w:sz="2" w:space="0" w:color="4FCEFF" w:themeColor="accent4" w:themeTint="99"/>
        <w:insideV w:val="single" w:sz="2" w:space="0" w:color="4FCEFF" w:themeColor="accent4" w:themeTint="99"/>
      </w:tblBorders>
    </w:tblPr>
    <w:tblStylePr w:type="firstRow">
      <w:rPr>
        <w:b/>
        <w:bCs/>
      </w:rPr>
      <w:tblPr/>
      <w:tcPr>
        <w:tcBorders>
          <w:top w:val="nil"/>
          <w:bottom w:val="single" w:sz="12" w:space="0" w:color="4FCEFF" w:themeColor="accent4" w:themeTint="99"/>
          <w:insideH w:val="nil"/>
          <w:insideV w:val="nil"/>
        </w:tcBorders>
        <w:shd w:val="clear" w:color="auto" w:fill="FFFFFF" w:themeFill="background1"/>
      </w:tcPr>
    </w:tblStylePr>
    <w:tblStylePr w:type="lastRow">
      <w:rPr>
        <w:b/>
        <w:bCs/>
      </w:rPr>
      <w:tblPr/>
      <w:tcPr>
        <w:tcBorders>
          <w:top w:val="double" w:sz="2" w:space="0" w:color="4FCE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2-Accent5">
    <w:name w:val="Grid Table 2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2" w:space="0" w:color="BDFFD1" w:themeColor="accent5" w:themeTint="99"/>
        <w:bottom w:val="single" w:sz="2" w:space="0" w:color="BDFFD1" w:themeColor="accent5" w:themeTint="99"/>
        <w:insideH w:val="single" w:sz="2" w:space="0" w:color="BDFFD1" w:themeColor="accent5" w:themeTint="99"/>
        <w:insideV w:val="single" w:sz="2" w:space="0" w:color="BDFFD1" w:themeColor="accent5" w:themeTint="99"/>
      </w:tblBorders>
    </w:tblPr>
    <w:tblStylePr w:type="firstRow">
      <w:rPr>
        <w:b/>
        <w:bCs/>
      </w:rPr>
      <w:tblPr/>
      <w:tcPr>
        <w:tcBorders>
          <w:top w:val="nil"/>
          <w:bottom w:val="single" w:sz="12" w:space="0" w:color="BDFFD1" w:themeColor="accent5" w:themeTint="99"/>
          <w:insideH w:val="nil"/>
          <w:insideV w:val="nil"/>
        </w:tcBorders>
        <w:shd w:val="clear" w:color="auto" w:fill="FFFFFF" w:themeFill="background1"/>
      </w:tcPr>
    </w:tblStylePr>
    <w:tblStylePr w:type="lastRow">
      <w:rPr>
        <w:b/>
        <w:bCs/>
      </w:rPr>
      <w:tblPr/>
      <w:tcPr>
        <w:tcBorders>
          <w:top w:val="double" w:sz="2" w:space="0" w:color="BDFF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2-Accent6">
    <w:name w:val="Grid Table 2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2" w:space="0" w:color="80D178" w:themeColor="accent6" w:themeTint="99"/>
        <w:bottom w:val="single" w:sz="2" w:space="0" w:color="80D178" w:themeColor="accent6" w:themeTint="99"/>
        <w:insideH w:val="single" w:sz="2" w:space="0" w:color="80D178" w:themeColor="accent6" w:themeTint="99"/>
        <w:insideV w:val="single" w:sz="2" w:space="0" w:color="80D178" w:themeColor="accent6" w:themeTint="99"/>
      </w:tblBorders>
    </w:tblPr>
    <w:tblStylePr w:type="firstRow">
      <w:rPr>
        <w:b/>
        <w:bCs/>
      </w:rPr>
      <w:tblPr/>
      <w:tcPr>
        <w:tcBorders>
          <w:top w:val="nil"/>
          <w:bottom w:val="single" w:sz="12" w:space="0" w:color="80D178" w:themeColor="accent6" w:themeTint="99"/>
          <w:insideH w:val="nil"/>
          <w:insideV w:val="nil"/>
        </w:tcBorders>
        <w:shd w:val="clear" w:color="auto" w:fill="FFFFFF" w:themeFill="background1"/>
      </w:tcPr>
    </w:tblStylePr>
    <w:tblStylePr w:type="lastRow">
      <w:rPr>
        <w:b/>
        <w:bCs/>
      </w:rPr>
      <w:tblPr/>
      <w:tcPr>
        <w:tcBorders>
          <w:top w:val="double" w:sz="2" w:space="0" w:color="80D1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3">
    <w:name w:val="Grid Table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3-Accent2">
    <w:name w:val="Grid Table 3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3-Accent3">
    <w:name w:val="Grid Table 3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3-Accent4">
    <w:name w:val="Grid Table 3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3-Accent5">
    <w:name w:val="Grid Table 3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3-Accent6">
    <w:name w:val="Grid Table 3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table" w:styleId="GridTable4">
    <w:name w:val="Grid Table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insideV w:val="nil"/>
        </w:tcBorders>
        <w:shd w:val="clear" w:color="auto" w:fill="0F204B" w:themeFill="accent1"/>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4-Accent2">
    <w:name w:val="Grid Table 4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insideV w:val="nil"/>
        </w:tcBorders>
        <w:shd w:val="clear" w:color="auto" w:fill="99D9F0" w:themeFill="accent2"/>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4-Accent3">
    <w:name w:val="Grid Table 4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insideV w:val="nil"/>
        </w:tcBorders>
        <w:shd w:val="clear" w:color="auto" w:fill="003591" w:themeFill="accent3"/>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4-Accent4">
    <w:name w:val="Grid Table 4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insideV w:val="nil"/>
        </w:tcBorders>
        <w:shd w:val="clear" w:color="auto" w:fill="009FDA" w:themeFill="accent4"/>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4-Accent5">
    <w:name w:val="Grid Table 4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insideV w:val="nil"/>
        </w:tcBorders>
        <w:shd w:val="clear" w:color="auto" w:fill="91FFB4" w:themeFill="accent5"/>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4-Accent6">
    <w:name w:val="Grid Table 4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insideV w:val="nil"/>
        </w:tcBorders>
        <w:shd w:val="clear" w:color="auto" w:fill="3F9C35" w:themeFill="accent6"/>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5Dark">
    <w:name w:val="Grid Table 5 Dark"/>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8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0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0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0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04B" w:themeFill="accent1"/>
      </w:tcPr>
    </w:tblStylePr>
    <w:tblStylePr w:type="band1Vert">
      <w:tblPr/>
      <w:tcPr>
        <w:shd w:val="clear" w:color="auto" w:fill="7392E3" w:themeFill="accent1" w:themeFillTint="66"/>
      </w:tcPr>
    </w:tblStylePr>
    <w:tblStylePr w:type="band1Horz">
      <w:tblPr/>
      <w:tcPr>
        <w:shd w:val="clear" w:color="auto" w:fill="7392E3" w:themeFill="accent1" w:themeFillTint="66"/>
      </w:tcPr>
    </w:tblStylePr>
  </w:style>
  <w:style w:type="table" w:styleId="GridTable5Dark-Accent2">
    <w:name w:val="Grid Table 5 Dark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D9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D9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D9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D9F0" w:themeFill="accent2"/>
      </w:tcPr>
    </w:tblStylePr>
    <w:tblStylePr w:type="band1Vert">
      <w:tblPr/>
      <w:tcPr>
        <w:shd w:val="clear" w:color="auto" w:fill="D6EFF9" w:themeFill="accent2" w:themeFillTint="66"/>
      </w:tcPr>
    </w:tblStylePr>
    <w:tblStylePr w:type="band1Horz">
      <w:tblPr/>
      <w:tcPr>
        <w:shd w:val="clear" w:color="auto" w:fill="D6EFF9" w:themeFill="accent2" w:themeFillTint="66"/>
      </w:tcPr>
    </w:tblStylePr>
  </w:style>
  <w:style w:type="table" w:styleId="GridTable5Dark-Accent3">
    <w:name w:val="Grid Table 5 Dark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91" w:themeFill="accent3"/>
      </w:tcPr>
    </w:tblStylePr>
    <w:tblStylePr w:type="band1Vert">
      <w:tblPr/>
      <w:tcPr>
        <w:shd w:val="clear" w:color="auto" w:fill="6DA2FF" w:themeFill="accent3" w:themeFillTint="66"/>
      </w:tcPr>
    </w:tblStylePr>
    <w:tblStylePr w:type="band1Horz">
      <w:tblPr/>
      <w:tcPr>
        <w:shd w:val="clear" w:color="auto" w:fill="6DA2FF" w:themeFill="accent3" w:themeFillTint="66"/>
      </w:tcPr>
    </w:tblStylePr>
  </w:style>
  <w:style w:type="table" w:styleId="GridTable5Dark-Accent4">
    <w:name w:val="Grid Table 5 Dark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4"/>
      </w:tcPr>
    </w:tblStylePr>
    <w:tblStylePr w:type="band1Vert">
      <w:tblPr/>
      <w:tcPr>
        <w:shd w:val="clear" w:color="auto" w:fill="8ADEFF" w:themeFill="accent4" w:themeFillTint="66"/>
      </w:tcPr>
    </w:tblStylePr>
    <w:tblStylePr w:type="band1Horz">
      <w:tblPr/>
      <w:tcPr>
        <w:shd w:val="clear" w:color="auto" w:fill="8ADEFF" w:themeFill="accent4" w:themeFillTint="66"/>
      </w:tcPr>
    </w:tblStylePr>
  </w:style>
  <w:style w:type="table" w:styleId="GridTable5Dark-Accent5">
    <w:name w:val="Grid Table 5 Dark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FF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FF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FF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FFB4" w:themeFill="accent5"/>
      </w:tcPr>
    </w:tblStylePr>
    <w:tblStylePr w:type="band1Vert">
      <w:tblPr/>
      <w:tcPr>
        <w:shd w:val="clear" w:color="auto" w:fill="D3FFE0" w:themeFill="accent5" w:themeFillTint="66"/>
      </w:tcPr>
    </w:tblStylePr>
    <w:tblStylePr w:type="band1Horz">
      <w:tblPr/>
      <w:tcPr>
        <w:shd w:val="clear" w:color="auto" w:fill="D3FFE0" w:themeFill="accent5" w:themeFillTint="66"/>
      </w:tcPr>
    </w:tblStylePr>
  </w:style>
  <w:style w:type="table" w:styleId="GridTable5Dark-Accent6">
    <w:name w:val="Grid Table 5 Dark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F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9C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9C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9C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9C35" w:themeFill="accent6"/>
      </w:tcPr>
    </w:tblStylePr>
    <w:tblStylePr w:type="band1Vert">
      <w:tblPr/>
      <w:tcPr>
        <w:shd w:val="clear" w:color="auto" w:fill="AAE0A4" w:themeFill="accent6" w:themeFillTint="66"/>
      </w:tcPr>
    </w:tblStylePr>
    <w:tblStylePr w:type="band1Horz">
      <w:tblPr/>
      <w:tcPr>
        <w:shd w:val="clear" w:color="auto" w:fill="AAE0A4" w:themeFill="accent6" w:themeFillTint="66"/>
      </w:tcPr>
    </w:tblStylePr>
  </w:style>
  <w:style w:type="table" w:styleId="GridTable6Colorful">
    <w:name w:val="Grid Table 6 Colorful"/>
    <w:basedOn w:val="TableNormal"/>
    <w:uiPriority w:val="99"/>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AA15F2"/>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6Colorful-Accent2">
    <w:name w:val="Grid Table 6 Colorful Accent 2"/>
    <w:basedOn w:val="TableNormal"/>
    <w:uiPriority w:val="99"/>
    <w:rsid w:val="00AA15F2"/>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6Colorful-Accent3">
    <w:name w:val="Grid Table 6 Colorful Accent 3"/>
    <w:basedOn w:val="TableNormal"/>
    <w:uiPriority w:val="99"/>
    <w:rsid w:val="00AA15F2"/>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6Colorful-Accent4">
    <w:name w:val="Grid Table 6 Colorful Accent 4"/>
    <w:basedOn w:val="TableNormal"/>
    <w:uiPriority w:val="99"/>
    <w:rsid w:val="00AA15F2"/>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6Colorful-Accent5">
    <w:name w:val="Grid Table 6 Colorful Accent 5"/>
    <w:basedOn w:val="TableNormal"/>
    <w:uiPriority w:val="99"/>
    <w:rsid w:val="00AA15F2"/>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6Colorful-Accent6">
    <w:name w:val="Grid Table 6 Colorful Accent 6"/>
    <w:basedOn w:val="TableNormal"/>
    <w:uiPriority w:val="99"/>
    <w:rsid w:val="00AA15F2"/>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7Colorful">
    <w:name w:val="Grid Table 7 Colorful"/>
    <w:basedOn w:val="TableNormal"/>
    <w:uiPriority w:val="99"/>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AA15F2"/>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7Colorful-Accent2">
    <w:name w:val="Grid Table 7 Colorful Accent 2"/>
    <w:basedOn w:val="TableNormal"/>
    <w:uiPriority w:val="99"/>
    <w:rsid w:val="00AA15F2"/>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7Colorful-Accent3">
    <w:name w:val="Grid Table 7 Colorful Accent 3"/>
    <w:basedOn w:val="TableNormal"/>
    <w:uiPriority w:val="99"/>
    <w:rsid w:val="00AA15F2"/>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7Colorful-Accent4">
    <w:name w:val="Grid Table 7 Colorful Accent 4"/>
    <w:basedOn w:val="TableNormal"/>
    <w:uiPriority w:val="99"/>
    <w:rsid w:val="00AA15F2"/>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7Colorful-Accent5">
    <w:name w:val="Grid Table 7 Colorful Accent 5"/>
    <w:basedOn w:val="TableNormal"/>
    <w:uiPriority w:val="99"/>
    <w:rsid w:val="00AA15F2"/>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7Colorful-Accent6">
    <w:name w:val="Grid Table 7 Colorful Accent 6"/>
    <w:basedOn w:val="TableNormal"/>
    <w:uiPriority w:val="99"/>
    <w:rsid w:val="00AA15F2"/>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character" w:customStyle="1" w:styleId="Hashtag1">
    <w:name w:val="Hashtag1"/>
    <w:uiPriority w:val="99"/>
    <w:semiHidden/>
    <w:unhideWhenUsed/>
    <w:rsid w:val="00AC04CF"/>
    <w:rPr>
      <w:color w:val="2B579A"/>
      <w:shd w:val="clear" w:color="auto" w:fill="E1DFDD"/>
    </w:rPr>
  </w:style>
  <w:style w:type="table" w:styleId="LightGrid">
    <w:name w:val="Light Grid"/>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18" w:space="0" w:color="0F204B" w:themeColor="accent1"/>
          <w:right w:val="single" w:sz="8" w:space="0" w:color="0F204B" w:themeColor="accent1"/>
          <w:insideH w:val="nil"/>
          <w:insideV w:val="single" w:sz="8" w:space="0" w:color="0F20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insideH w:val="nil"/>
          <w:insideV w:val="single" w:sz="8" w:space="0" w:color="0F20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shd w:val="clear" w:color="auto" w:fill="A8BBED" w:themeFill="accent1" w:themeFillTint="3F"/>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shd w:val="clear" w:color="auto" w:fill="A8BBED" w:themeFill="accent1" w:themeFillTint="3F"/>
      </w:tcPr>
    </w:tblStylePr>
    <w:tblStylePr w:type="band2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tcPr>
    </w:tblStylePr>
  </w:style>
  <w:style w:type="table" w:styleId="LightGrid-Accent2">
    <w:name w:val="Light Grid Accent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18" w:space="0" w:color="99D9F0" w:themeColor="accent2"/>
          <w:right w:val="single" w:sz="8" w:space="0" w:color="99D9F0" w:themeColor="accent2"/>
          <w:insideH w:val="nil"/>
          <w:insideV w:val="single" w:sz="8" w:space="0" w:color="99D9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insideH w:val="nil"/>
          <w:insideV w:val="single" w:sz="8" w:space="0" w:color="99D9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shd w:val="clear" w:color="auto" w:fill="E5F5FB" w:themeFill="accent2" w:themeFillTint="3F"/>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shd w:val="clear" w:color="auto" w:fill="E5F5FB" w:themeFill="accent2" w:themeFillTint="3F"/>
      </w:tcPr>
    </w:tblStylePr>
    <w:tblStylePr w:type="band2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tcPr>
    </w:tblStylePr>
  </w:style>
  <w:style w:type="table" w:styleId="LightGrid-Accent3">
    <w:name w:val="Light Grid Accent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18" w:space="0" w:color="003591" w:themeColor="accent3"/>
          <w:right w:val="single" w:sz="8" w:space="0" w:color="003591" w:themeColor="accent3"/>
          <w:insideH w:val="nil"/>
          <w:insideV w:val="single" w:sz="8" w:space="0" w:color="0035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insideH w:val="nil"/>
          <w:insideV w:val="single" w:sz="8" w:space="0" w:color="0035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shd w:val="clear" w:color="auto" w:fill="A4C5FF" w:themeFill="accent3" w:themeFillTint="3F"/>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shd w:val="clear" w:color="auto" w:fill="A4C5FF" w:themeFill="accent3" w:themeFillTint="3F"/>
      </w:tcPr>
    </w:tblStylePr>
    <w:tblStylePr w:type="band2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tcPr>
    </w:tblStylePr>
  </w:style>
  <w:style w:type="table" w:styleId="LightGrid-Accent4">
    <w:name w:val="Light Grid Accent 4"/>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18" w:space="0" w:color="009FDA" w:themeColor="accent4"/>
          <w:right w:val="single" w:sz="8" w:space="0" w:color="009FDA" w:themeColor="accent4"/>
          <w:insideH w:val="nil"/>
          <w:insideV w:val="single" w:sz="8" w:space="0" w:color="009FD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insideH w:val="nil"/>
          <w:insideV w:val="single" w:sz="8" w:space="0" w:color="009FD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shd w:val="clear" w:color="auto" w:fill="B6EBFF" w:themeFill="accent4" w:themeFillTint="3F"/>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shd w:val="clear" w:color="auto" w:fill="B6EBFF" w:themeFill="accent4" w:themeFillTint="3F"/>
      </w:tcPr>
    </w:tblStylePr>
    <w:tblStylePr w:type="band2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tcPr>
    </w:tblStylePr>
  </w:style>
  <w:style w:type="table" w:styleId="LightGrid-Accent5">
    <w:name w:val="Light Grid Accent 5"/>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18" w:space="0" w:color="91FFB4" w:themeColor="accent5"/>
          <w:right w:val="single" w:sz="8" w:space="0" w:color="91FFB4" w:themeColor="accent5"/>
          <w:insideH w:val="nil"/>
          <w:insideV w:val="single" w:sz="8" w:space="0" w:color="91FF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insideH w:val="nil"/>
          <w:insideV w:val="single" w:sz="8" w:space="0" w:color="91FF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shd w:val="clear" w:color="auto" w:fill="E3FFEC" w:themeFill="accent5" w:themeFillTint="3F"/>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shd w:val="clear" w:color="auto" w:fill="E3FFEC" w:themeFill="accent5" w:themeFillTint="3F"/>
      </w:tcPr>
    </w:tblStylePr>
    <w:tblStylePr w:type="band2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tcPr>
    </w:tblStylePr>
  </w:style>
  <w:style w:type="table" w:styleId="LightGrid-Accent6">
    <w:name w:val="Light Grid Accent 6"/>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18" w:space="0" w:color="3F9C35" w:themeColor="accent6"/>
          <w:right w:val="single" w:sz="8" w:space="0" w:color="3F9C35" w:themeColor="accent6"/>
          <w:insideH w:val="nil"/>
          <w:insideV w:val="single" w:sz="8" w:space="0" w:color="3F9C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insideH w:val="nil"/>
          <w:insideV w:val="single" w:sz="8" w:space="0" w:color="3F9C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shd w:val="clear" w:color="auto" w:fill="CAECC7" w:themeFill="accent6" w:themeFillTint="3F"/>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shd w:val="clear" w:color="auto" w:fill="CAECC7" w:themeFill="accent6" w:themeFillTint="3F"/>
      </w:tcPr>
    </w:tblStylePr>
    <w:tblStylePr w:type="band2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tcPr>
    </w:tblStylePr>
  </w:style>
  <w:style w:type="table" w:styleId="LightList">
    <w:name w:val="Light List"/>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pPr>
        <w:spacing w:before="0" w:after="0" w:line="240" w:lineRule="auto"/>
      </w:pPr>
      <w:rPr>
        <w:b/>
        <w:bCs/>
        <w:color w:val="FFFFFF" w:themeColor="background1"/>
      </w:rPr>
      <w:tblPr/>
      <w:tcPr>
        <w:shd w:val="clear" w:color="auto" w:fill="0F204B" w:themeFill="accent1"/>
      </w:tcPr>
    </w:tblStylePr>
    <w:tblStylePr w:type="lastRow">
      <w:pPr>
        <w:spacing w:before="0" w:after="0" w:line="240" w:lineRule="auto"/>
      </w:pPr>
      <w:rPr>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tcBorders>
      </w:tcPr>
    </w:tblStylePr>
    <w:tblStylePr w:type="firstCol">
      <w:rPr>
        <w:b/>
        <w:bCs/>
      </w:rPr>
    </w:tblStylePr>
    <w:tblStylePr w:type="lastCol">
      <w:rPr>
        <w:b/>
        <w:bCs/>
      </w:r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style>
  <w:style w:type="table" w:styleId="LightList-Accent2">
    <w:name w:val="Light List Accent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pPr>
        <w:spacing w:before="0" w:after="0" w:line="240" w:lineRule="auto"/>
      </w:pPr>
      <w:rPr>
        <w:b/>
        <w:bCs/>
        <w:color w:val="FFFFFF" w:themeColor="background1"/>
      </w:rPr>
      <w:tblPr/>
      <w:tcPr>
        <w:shd w:val="clear" w:color="auto" w:fill="99D9F0" w:themeFill="accent2"/>
      </w:tcPr>
    </w:tblStylePr>
    <w:tblStylePr w:type="lastRow">
      <w:pPr>
        <w:spacing w:before="0" w:after="0" w:line="240" w:lineRule="auto"/>
      </w:pPr>
      <w:rPr>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tcBorders>
      </w:tcPr>
    </w:tblStylePr>
    <w:tblStylePr w:type="firstCol">
      <w:rPr>
        <w:b/>
        <w:bCs/>
      </w:rPr>
    </w:tblStylePr>
    <w:tblStylePr w:type="lastCol">
      <w:rPr>
        <w:b/>
        <w:bCs/>
      </w:r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style>
  <w:style w:type="table" w:styleId="LightList-Accent3">
    <w:name w:val="Light List Accent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pPr>
        <w:spacing w:before="0" w:after="0" w:line="240" w:lineRule="auto"/>
      </w:pPr>
      <w:rPr>
        <w:b/>
        <w:bCs/>
        <w:color w:val="FFFFFF" w:themeColor="background1"/>
      </w:rPr>
      <w:tblPr/>
      <w:tcPr>
        <w:shd w:val="clear" w:color="auto" w:fill="003591" w:themeFill="accent3"/>
      </w:tcPr>
    </w:tblStylePr>
    <w:tblStylePr w:type="lastRow">
      <w:pPr>
        <w:spacing w:before="0" w:after="0" w:line="240" w:lineRule="auto"/>
      </w:pPr>
      <w:rPr>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tcBorders>
      </w:tcPr>
    </w:tblStylePr>
    <w:tblStylePr w:type="firstCol">
      <w:rPr>
        <w:b/>
        <w:bCs/>
      </w:rPr>
    </w:tblStylePr>
    <w:tblStylePr w:type="lastCol">
      <w:rPr>
        <w:b/>
        <w:bCs/>
      </w:r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style>
  <w:style w:type="table" w:styleId="LightList-Accent4">
    <w:name w:val="Light List Accent 4"/>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pPr>
        <w:spacing w:before="0" w:after="0" w:line="240" w:lineRule="auto"/>
      </w:pPr>
      <w:rPr>
        <w:b/>
        <w:bCs/>
        <w:color w:val="FFFFFF" w:themeColor="background1"/>
      </w:rPr>
      <w:tblPr/>
      <w:tcPr>
        <w:shd w:val="clear" w:color="auto" w:fill="009FDA" w:themeFill="accent4"/>
      </w:tcPr>
    </w:tblStylePr>
    <w:tblStylePr w:type="lastRow">
      <w:pPr>
        <w:spacing w:before="0" w:after="0" w:line="240" w:lineRule="auto"/>
      </w:pPr>
      <w:rPr>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tcBorders>
      </w:tcPr>
    </w:tblStylePr>
    <w:tblStylePr w:type="firstCol">
      <w:rPr>
        <w:b/>
        <w:bCs/>
      </w:rPr>
    </w:tblStylePr>
    <w:tblStylePr w:type="lastCol">
      <w:rPr>
        <w:b/>
        <w:bCs/>
      </w:r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style>
  <w:style w:type="table" w:styleId="LightList-Accent5">
    <w:name w:val="Light List Accent 5"/>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pPr>
        <w:spacing w:before="0" w:after="0" w:line="240" w:lineRule="auto"/>
      </w:pPr>
      <w:rPr>
        <w:b/>
        <w:bCs/>
        <w:color w:val="FFFFFF" w:themeColor="background1"/>
      </w:rPr>
      <w:tblPr/>
      <w:tcPr>
        <w:shd w:val="clear" w:color="auto" w:fill="91FFB4" w:themeFill="accent5"/>
      </w:tcPr>
    </w:tblStylePr>
    <w:tblStylePr w:type="lastRow">
      <w:pPr>
        <w:spacing w:before="0" w:after="0" w:line="240" w:lineRule="auto"/>
      </w:pPr>
      <w:rPr>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tcBorders>
      </w:tcPr>
    </w:tblStylePr>
    <w:tblStylePr w:type="firstCol">
      <w:rPr>
        <w:b/>
        <w:bCs/>
      </w:rPr>
    </w:tblStylePr>
    <w:tblStylePr w:type="lastCol">
      <w:rPr>
        <w:b/>
        <w:bCs/>
      </w:r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style>
  <w:style w:type="table" w:styleId="LightList-Accent6">
    <w:name w:val="Light List Accent 6"/>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pPr>
        <w:spacing w:before="0" w:after="0" w:line="240" w:lineRule="auto"/>
      </w:pPr>
      <w:rPr>
        <w:b/>
        <w:bCs/>
        <w:color w:val="FFFFFF" w:themeColor="background1"/>
      </w:rPr>
      <w:tblPr/>
      <w:tcPr>
        <w:shd w:val="clear" w:color="auto" w:fill="3F9C35" w:themeFill="accent6"/>
      </w:tcPr>
    </w:tblStylePr>
    <w:tblStylePr w:type="lastRow">
      <w:pPr>
        <w:spacing w:before="0" w:after="0" w:line="240" w:lineRule="auto"/>
      </w:pPr>
      <w:rPr>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tcBorders>
      </w:tcPr>
    </w:tblStylePr>
    <w:tblStylePr w:type="firstCol">
      <w:rPr>
        <w:b/>
        <w:bCs/>
      </w:rPr>
    </w:tblStylePr>
    <w:tblStylePr w:type="lastCol">
      <w:rPr>
        <w:b/>
        <w:bCs/>
      </w:r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style>
  <w:style w:type="table" w:styleId="LightShading">
    <w:name w:val="Light Shading"/>
    <w:basedOn w:val="TableNormal"/>
    <w:uiPriority w:val="99"/>
    <w:semiHidden/>
    <w:unhideWhenUsed/>
    <w:rsid w:val="00AA15F2"/>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AA15F2"/>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la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left w:val="nil"/>
          <w:right w:val="nil"/>
          <w:insideH w:val="nil"/>
          <w:insideV w:val="nil"/>
        </w:tcBorders>
        <w:shd w:val="clear" w:color="auto" w:fill="A8BBED" w:themeFill="accent1" w:themeFillTint="3F"/>
      </w:tcPr>
    </w:tblStylePr>
  </w:style>
  <w:style w:type="table" w:styleId="LightShading-Accent2">
    <w:name w:val="Light Shading Accent 2"/>
    <w:basedOn w:val="TableNormal"/>
    <w:uiPriority w:val="99"/>
    <w:semiHidden/>
    <w:unhideWhenUsed/>
    <w:rsid w:val="00AA15F2"/>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la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left w:val="nil"/>
          <w:right w:val="nil"/>
          <w:insideH w:val="nil"/>
          <w:insideV w:val="nil"/>
        </w:tcBorders>
        <w:shd w:val="clear" w:color="auto" w:fill="E5F5FB" w:themeFill="accent2" w:themeFillTint="3F"/>
      </w:tcPr>
    </w:tblStylePr>
  </w:style>
  <w:style w:type="table" w:styleId="LightShading-Accent3">
    <w:name w:val="Light Shading Accent 3"/>
    <w:basedOn w:val="TableNormal"/>
    <w:uiPriority w:val="99"/>
    <w:semiHidden/>
    <w:unhideWhenUsed/>
    <w:rsid w:val="00AA15F2"/>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la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left w:val="nil"/>
          <w:right w:val="nil"/>
          <w:insideH w:val="nil"/>
          <w:insideV w:val="nil"/>
        </w:tcBorders>
        <w:shd w:val="clear" w:color="auto" w:fill="A4C5FF" w:themeFill="accent3" w:themeFillTint="3F"/>
      </w:tcPr>
    </w:tblStylePr>
  </w:style>
  <w:style w:type="table" w:styleId="LightShading-Accent4">
    <w:name w:val="Light Shading Accent 4"/>
    <w:basedOn w:val="TableNormal"/>
    <w:uiPriority w:val="99"/>
    <w:semiHidden/>
    <w:unhideWhenUsed/>
    <w:rsid w:val="00AA15F2"/>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la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left w:val="nil"/>
          <w:right w:val="nil"/>
          <w:insideH w:val="nil"/>
          <w:insideV w:val="nil"/>
        </w:tcBorders>
        <w:shd w:val="clear" w:color="auto" w:fill="B6EBFF" w:themeFill="accent4" w:themeFillTint="3F"/>
      </w:tcPr>
    </w:tblStylePr>
  </w:style>
  <w:style w:type="table" w:styleId="LightShading-Accent5">
    <w:name w:val="Light Shading Accent 5"/>
    <w:basedOn w:val="TableNormal"/>
    <w:uiPriority w:val="99"/>
    <w:semiHidden/>
    <w:unhideWhenUsed/>
    <w:rsid w:val="00AA15F2"/>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la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left w:val="nil"/>
          <w:right w:val="nil"/>
          <w:insideH w:val="nil"/>
          <w:insideV w:val="nil"/>
        </w:tcBorders>
        <w:shd w:val="clear" w:color="auto" w:fill="E3FFEC" w:themeFill="accent5" w:themeFillTint="3F"/>
      </w:tcPr>
    </w:tblStylePr>
  </w:style>
  <w:style w:type="table" w:styleId="LightShading-Accent6">
    <w:name w:val="Light Shading Accent 6"/>
    <w:basedOn w:val="TableNormal"/>
    <w:uiPriority w:val="99"/>
    <w:semiHidden/>
    <w:unhideWhenUsed/>
    <w:rsid w:val="00AA15F2"/>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la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left w:val="nil"/>
          <w:right w:val="nil"/>
          <w:insideH w:val="nil"/>
          <w:insideV w:val="nil"/>
        </w:tcBorders>
        <w:shd w:val="clear" w:color="auto" w:fill="CAECC7" w:themeFill="accent6" w:themeFillTint="3F"/>
      </w:tcPr>
    </w:tblStylePr>
  </w:style>
  <w:style w:type="table" w:styleId="ListTable1Light">
    <w:name w:val="List Table 1 Light"/>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D5CD5" w:themeColor="accent1" w:themeTint="99"/>
        </w:tcBorders>
      </w:tcPr>
    </w:tblStylePr>
    <w:tblStylePr w:type="lastRow">
      <w:rPr>
        <w:b/>
        <w:bCs/>
      </w:rPr>
      <w:tblPr/>
      <w:tcPr>
        <w:tcBorders>
          <w:top w:val="sing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1Light-Accent2">
    <w:name w:val="List Table 1 Light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C1E8F6" w:themeColor="accent2" w:themeTint="99"/>
        </w:tcBorders>
      </w:tcPr>
    </w:tblStylePr>
    <w:tblStylePr w:type="lastRow">
      <w:rPr>
        <w:b/>
        <w:bCs/>
      </w:rPr>
      <w:tblPr/>
      <w:tcPr>
        <w:tcBorders>
          <w:top w:val="sing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1Light-Accent3">
    <w:name w:val="List Table 1 Light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2473FF" w:themeColor="accent3" w:themeTint="99"/>
        </w:tcBorders>
      </w:tcPr>
    </w:tblStylePr>
    <w:tblStylePr w:type="lastRow">
      <w:rPr>
        <w:b/>
        <w:bCs/>
      </w:rPr>
      <w:tblPr/>
      <w:tcPr>
        <w:tcBorders>
          <w:top w:val="sing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1Light-Accent4">
    <w:name w:val="List Table 1 Light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4FCEFF" w:themeColor="accent4" w:themeTint="99"/>
        </w:tcBorders>
      </w:tcPr>
    </w:tblStylePr>
    <w:tblStylePr w:type="lastRow">
      <w:rPr>
        <w:b/>
        <w:bCs/>
      </w:rPr>
      <w:tblPr/>
      <w:tcPr>
        <w:tcBorders>
          <w:top w:val="sing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1Light-Accent5">
    <w:name w:val="List Table 1 Light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BDFFD1" w:themeColor="accent5" w:themeTint="99"/>
        </w:tcBorders>
      </w:tcPr>
    </w:tblStylePr>
    <w:tblStylePr w:type="lastRow">
      <w:rPr>
        <w:b/>
        <w:bCs/>
      </w:rPr>
      <w:tblPr/>
      <w:tcPr>
        <w:tcBorders>
          <w:top w:val="sing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1Light-Accent6">
    <w:name w:val="List Table 1 Light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bottom w:val="single" w:sz="4" w:space="0" w:color="80D178" w:themeColor="accent6" w:themeTint="99"/>
        </w:tcBorders>
      </w:tcPr>
    </w:tblStylePr>
    <w:tblStylePr w:type="lastRow">
      <w:rPr>
        <w:b/>
        <w:bCs/>
      </w:rPr>
      <w:tblPr/>
      <w:tcPr>
        <w:tcBorders>
          <w:top w:val="sing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2">
    <w:name w:val="List Table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bottom w:val="single" w:sz="4" w:space="0" w:color="2D5CD5" w:themeColor="accent1" w:themeTint="99"/>
        <w:insideH w:val="single" w:sz="4" w:space="0" w:color="2D5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2-Accent2">
    <w:name w:val="List Table 2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bottom w:val="single" w:sz="4" w:space="0" w:color="C1E8F6" w:themeColor="accent2" w:themeTint="99"/>
        <w:insideH w:val="single" w:sz="4" w:space="0" w:color="C1E8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2-Accent3">
    <w:name w:val="List Table 2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bottom w:val="single" w:sz="4" w:space="0" w:color="2473FF" w:themeColor="accent3" w:themeTint="99"/>
        <w:insideH w:val="single" w:sz="4" w:space="0" w:color="247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2-Accent4">
    <w:name w:val="List Table 2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bottom w:val="single" w:sz="4" w:space="0" w:color="4FCEFF" w:themeColor="accent4" w:themeTint="99"/>
        <w:insideH w:val="single" w:sz="4" w:space="0" w:color="4FCE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2-Accent5">
    <w:name w:val="List Table 2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bottom w:val="single" w:sz="4" w:space="0" w:color="BDFFD1" w:themeColor="accent5" w:themeTint="99"/>
        <w:insideH w:val="single" w:sz="4" w:space="0" w:color="BDFF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2-Accent6">
    <w:name w:val="List Table 2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bottom w:val="single" w:sz="4" w:space="0" w:color="80D178" w:themeColor="accent6" w:themeTint="99"/>
        <w:insideH w:val="single" w:sz="4" w:space="0" w:color="80D1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3">
    <w:name w:val="List Table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0F204B" w:themeColor="accent1"/>
        <w:left w:val="single" w:sz="4" w:space="0" w:color="0F204B" w:themeColor="accent1"/>
        <w:bottom w:val="single" w:sz="4" w:space="0" w:color="0F204B" w:themeColor="accent1"/>
        <w:right w:val="single" w:sz="4" w:space="0" w:color="0F204B" w:themeColor="accent1"/>
      </w:tblBorders>
    </w:tblPr>
    <w:tblStylePr w:type="firstRow">
      <w:rPr>
        <w:b/>
        <w:bCs/>
        <w:color w:val="FFFFFF" w:themeColor="background1"/>
      </w:rPr>
      <w:tblPr/>
      <w:tcPr>
        <w:shd w:val="clear" w:color="auto" w:fill="0F204B" w:themeFill="accent1"/>
      </w:tcPr>
    </w:tblStylePr>
    <w:tblStylePr w:type="lastRow">
      <w:rPr>
        <w:b/>
        <w:bCs/>
      </w:rPr>
      <w:tblPr/>
      <w:tcPr>
        <w:tcBorders>
          <w:top w:val="double" w:sz="4" w:space="0" w:color="0F20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04B" w:themeColor="accent1"/>
          <w:right w:val="single" w:sz="4" w:space="0" w:color="0F204B" w:themeColor="accent1"/>
        </w:tcBorders>
      </w:tcPr>
    </w:tblStylePr>
    <w:tblStylePr w:type="band1Horz">
      <w:tblPr/>
      <w:tcPr>
        <w:tcBorders>
          <w:top w:val="single" w:sz="4" w:space="0" w:color="0F204B" w:themeColor="accent1"/>
          <w:bottom w:val="single" w:sz="4" w:space="0" w:color="0F20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04B" w:themeColor="accent1"/>
          <w:left w:val="nil"/>
        </w:tcBorders>
      </w:tcPr>
    </w:tblStylePr>
    <w:tblStylePr w:type="swCell">
      <w:tblPr/>
      <w:tcPr>
        <w:tcBorders>
          <w:top w:val="double" w:sz="4" w:space="0" w:color="0F204B" w:themeColor="accent1"/>
          <w:right w:val="nil"/>
        </w:tcBorders>
      </w:tcPr>
    </w:tblStylePr>
  </w:style>
  <w:style w:type="table" w:styleId="ListTable3-Accent2">
    <w:name w:val="List Table 3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99D9F0" w:themeColor="accent2"/>
        <w:left w:val="single" w:sz="4" w:space="0" w:color="99D9F0" w:themeColor="accent2"/>
        <w:bottom w:val="single" w:sz="4" w:space="0" w:color="99D9F0" w:themeColor="accent2"/>
        <w:right w:val="single" w:sz="4" w:space="0" w:color="99D9F0" w:themeColor="accent2"/>
      </w:tblBorders>
    </w:tblPr>
    <w:tblStylePr w:type="firstRow">
      <w:rPr>
        <w:b/>
        <w:bCs/>
        <w:color w:val="FFFFFF" w:themeColor="background1"/>
      </w:rPr>
      <w:tblPr/>
      <w:tcPr>
        <w:shd w:val="clear" w:color="auto" w:fill="99D9F0" w:themeFill="accent2"/>
      </w:tcPr>
    </w:tblStylePr>
    <w:tblStylePr w:type="lastRow">
      <w:rPr>
        <w:b/>
        <w:bCs/>
      </w:rPr>
      <w:tblPr/>
      <w:tcPr>
        <w:tcBorders>
          <w:top w:val="double" w:sz="4" w:space="0" w:color="99D9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9F0" w:themeColor="accent2"/>
          <w:right w:val="single" w:sz="4" w:space="0" w:color="99D9F0" w:themeColor="accent2"/>
        </w:tcBorders>
      </w:tcPr>
    </w:tblStylePr>
    <w:tblStylePr w:type="band1Horz">
      <w:tblPr/>
      <w:tcPr>
        <w:tcBorders>
          <w:top w:val="single" w:sz="4" w:space="0" w:color="99D9F0" w:themeColor="accent2"/>
          <w:bottom w:val="single" w:sz="4" w:space="0" w:color="99D9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9F0" w:themeColor="accent2"/>
          <w:left w:val="nil"/>
        </w:tcBorders>
      </w:tcPr>
    </w:tblStylePr>
    <w:tblStylePr w:type="swCell">
      <w:tblPr/>
      <w:tcPr>
        <w:tcBorders>
          <w:top w:val="double" w:sz="4" w:space="0" w:color="99D9F0" w:themeColor="accent2"/>
          <w:right w:val="nil"/>
        </w:tcBorders>
      </w:tcPr>
    </w:tblStylePr>
  </w:style>
  <w:style w:type="table" w:styleId="ListTable3-Accent3">
    <w:name w:val="List Table 3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003591" w:themeColor="accent3"/>
        <w:left w:val="single" w:sz="4" w:space="0" w:color="003591" w:themeColor="accent3"/>
        <w:bottom w:val="single" w:sz="4" w:space="0" w:color="003591" w:themeColor="accent3"/>
        <w:right w:val="single" w:sz="4" w:space="0" w:color="003591" w:themeColor="accent3"/>
      </w:tblBorders>
    </w:tblPr>
    <w:tblStylePr w:type="firstRow">
      <w:rPr>
        <w:b/>
        <w:bCs/>
        <w:color w:val="FFFFFF" w:themeColor="background1"/>
      </w:rPr>
      <w:tblPr/>
      <w:tcPr>
        <w:shd w:val="clear" w:color="auto" w:fill="003591" w:themeFill="accent3"/>
      </w:tcPr>
    </w:tblStylePr>
    <w:tblStylePr w:type="lastRow">
      <w:rPr>
        <w:b/>
        <w:bCs/>
      </w:rPr>
      <w:tblPr/>
      <w:tcPr>
        <w:tcBorders>
          <w:top w:val="double" w:sz="4" w:space="0" w:color="0035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591" w:themeColor="accent3"/>
          <w:right w:val="single" w:sz="4" w:space="0" w:color="003591" w:themeColor="accent3"/>
        </w:tcBorders>
      </w:tcPr>
    </w:tblStylePr>
    <w:tblStylePr w:type="band1Horz">
      <w:tblPr/>
      <w:tcPr>
        <w:tcBorders>
          <w:top w:val="single" w:sz="4" w:space="0" w:color="003591" w:themeColor="accent3"/>
          <w:bottom w:val="single" w:sz="4" w:space="0" w:color="0035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591" w:themeColor="accent3"/>
          <w:left w:val="nil"/>
        </w:tcBorders>
      </w:tcPr>
    </w:tblStylePr>
    <w:tblStylePr w:type="swCell">
      <w:tblPr/>
      <w:tcPr>
        <w:tcBorders>
          <w:top w:val="double" w:sz="4" w:space="0" w:color="003591" w:themeColor="accent3"/>
          <w:right w:val="nil"/>
        </w:tcBorders>
      </w:tcPr>
    </w:tblStylePr>
  </w:style>
  <w:style w:type="table" w:styleId="ListTable3-Accent4">
    <w:name w:val="List Table 3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009FDA" w:themeColor="accent4"/>
        <w:left w:val="single" w:sz="4" w:space="0" w:color="009FDA" w:themeColor="accent4"/>
        <w:bottom w:val="single" w:sz="4" w:space="0" w:color="009FDA" w:themeColor="accent4"/>
        <w:right w:val="single" w:sz="4" w:space="0" w:color="009FDA" w:themeColor="accent4"/>
      </w:tblBorders>
    </w:tblPr>
    <w:tblStylePr w:type="firstRow">
      <w:rPr>
        <w:b/>
        <w:bCs/>
        <w:color w:val="FFFFFF" w:themeColor="background1"/>
      </w:rPr>
      <w:tblPr/>
      <w:tcPr>
        <w:shd w:val="clear" w:color="auto" w:fill="009FDA" w:themeFill="accent4"/>
      </w:tcPr>
    </w:tblStylePr>
    <w:tblStylePr w:type="lastRow">
      <w:rPr>
        <w:b/>
        <w:bCs/>
      </w:rPr>
      <w:tblPr/>
      <w:tcPr>
        <w:tcBorders>
          <w:top w:val="double" w:sz="4" w:space="0" w:color="009F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4"/>
          <w:right w:val="single" w:sz="4" w:space="0" w:color="009FDA" w:themeColor="accent4"/>
        </w:tcBorders>
      </w:tcPr>
    </w:tblStylePr>
    <w:tblStylePr w:type="band1Horz">
      <w:tblPr/>
      <w:tcPr>
        <w:tcBorders>
          <w:top w:val="single" w:sz="4" w:space="0" w:color="009FDA" w:themeColor="accent4"/>
          <w:bottom w:val="single" w:sz="4" w:space="0" w:color="009F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4"/>
          <w:left w:val="nil"/>
        </w:tcBorders>
      </w:tcPr>
    </w:tblStylePr>
    <w:tblStylePr w:type="swCell">
      <w:tblPr/>
      <w:tcPr>
        <w:tcBorders>
          <w:top w:val="double" w:sz="4" w:space="0" w:color="009FDA" w:themeColor="accent4"/>
          <w:right w:val="nil"/>
        </w:tcBorders>
      </w:tcPr>
    </w:tblStylePr>
  </w:style>
  <w:style w:type="table" w:styleId="ListTable3-Accent5">
    <w:name w:val="List Table 3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91FFB4" w:themeColor="accent5"/>
        <w:left w:val="single" w:sz="4" w:space="0" w:color="91FFB4" w:themeColor="accent5"/>
        <w:bottom w:val="single" w:sz="4" w:space="0" w:color="91FFB4" w:themeColor="accent5"/>
        <w:right w:val="single" w:sz="4" w:space="0" w:color="91FFB4" w:themeColor="accent5"/>
      </w:tblBorders>
    </w:tblPr>
    <w:tblStylePr w:type="firstRow">
      <w:rPr>
        <w:b/>
        <w:bCs/>
        <w:color w:val="FFFFFF" w:themeColor="background1"/>
      </w:rPr>
      <w:tblPr/>
      <w:tcPr>
        <w:shd w:val="clear" w:color="auto" w:fill="91FFB4" w:themeFill="accent5"/>
      </w:tcPr>
    </w:tblStylePr>
    <w:tblStylePr w:type="lastRow">
      <w:rPr>
        <w:b/>
        <w:bCs/>
      </w:rPr>
      <w:tblPr/>
      <w:tcPr>
        <w:tcBorders>
          <w:top w:val="double" w:sz="4" w:space="0" w:color="91FF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FFB4" w:themeColor="accent5"/>
          <w:right w:val="single" w:sz="4" w:space="0" w:color="91FFB4" w:themeColor="accent5"/>
        </w:tcBorders>
      </w:tcPr>
    </w:tblStylePr>
    <w:tblStylePr w:type="band1Horz">
      <w:tblPr/>
      <w:tcPr>
        <w:tcBorders>
          <w:top w:val="single" w:sz="4" w:space="0" w:color="91FFB4" w:themeColor="accent5"/>
          <w:bottom w:val="single" w:sz="4" w:space="0" w:color="91FF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FFB4" w:themeColor="accent5"/>
          <w:left w:val="nil"/>
        </w:tcBorders>
      </w:tcPr>
    </w:tblStylePr>
    <w:tblStylePr w:type="swCell">
      <w:tblPr/>
      <w:tcPr>
        <w:tcBorders>
          <w:top w:val="double" w:sz="4" w:space="0" w:color="91FFB4" w:themeColor="accent5"/>
          <w:right w:val="nil"/>
        </w:tcBorders>
      </w:tcPr>
    </w:tblStylePr>
  </w:style>
  <w:style w:type="table" w:styleId="ListTable3-Accent6">
    <w:name w:val="List Table 3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3F9C35" w:themeColor="accent6"/>
        <w:left w:val="single" w:sz="4" w:space="0" w:color="3F9C35" w:themeColor="accent6"/>
        <w:bottom w:val="single" w:sz="4" w:space="0" w:color="3F9C35" w:themeColor="accent6"/>
        <w:right w:val="single" w:sz="4" w:space="0" w:color="3F9C35" w:themeColor="accent6"/>
      </w:tblBorders>
    </w:tblPr>
    <w:tblStylePr w:type="firstRow">
      <w:rPr>
        <w:b/>
        <w:bCs/>
        <w:color w:val="FFFFFF" w:themeColor="background1"/>
      </w:rPr>
      <w:tblPr/>
      <w:tcPr>
        <w:shd w:val="clear" w:color="auto" w:fill="3F9C35" w:themeFill="accent6"/>
      </w:tcPr>
    </w:tblStylePr>
    <w:tblStylePr w:type="lastRow">
      <w:rPr>
        <w:b/>
        <w:bCs/>
      </w:rPr>
      <w:tblPr/>
      <w:tcPr>
        <w:tcBorders>
          <w:top w:val="double" w:sz="4" w:space="0" w:color="3F9C3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9C35" w:themeColor="accent6"/>
          <w:right w:val="single" w:sz="4" w:space="0" w:color="3F9C35" w:themeColor="accent6"/>
        </w:tcBorders>
      </w:tcPr>
    </w:tblStylePr>
    <w:tblStylePr w:type="band1Horz">
      <w:tblPr/>
      <w:tcPr>
        <w:tcBorders>
          <w:top w:val="single" w:sz="4" w:space="0" w:color="3F9C35" w:themeColor="accent6"/>
          <w:bottom w:val="single" w:sz="4" w:space="0" w:color="3F9C3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9C35" w:themeColor="accent6"/>
          <w:left w:val="nil"/>
        </w:tcBorders>
      </w:tcPr>
    </w:tblStylePr>
    <w:tblStylePr w:type="swCell">
      <w:tblPr/>
      <w:tcPr>
        <w:tcBorders>
          <w:top w:val="double" w:sz="4" w:space="0" w:color="3F9C35" w:themeColor="accent6"/>
          <w:right w:val="nil"/>
        </w:tcBorders>
      </w:tcPr>
    </w:tblStylePr>
  </w:style>
  <w:style w:type="table" w:styleId="ListTable4">
    <w:name w:val="List Table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tcBorders>
        <w:shd w:val="clear" w:color="auto" w:fill="0F204B" w:themeFill="accent1"/>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4-Accent2">
    <w:name w:val="List Table 4 Accent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tcBorders>
        <w:shd w:val="clear" w:color="auto" w:fill="99D9F0" w:themeFill="accent2"/>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4-Accent3">
    <w:name w:val="List Table 4 Accent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tcBorders>
        <w:shd w:val="clear" w:color="auto" w:fill="003591" w:themeFill="accent3"/>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4-Accent4">
    <w:name w:val="List Table 4 Accent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tcBorders>
        <w:shd w:val="clear" w:color="auto" w:fill="009FDA" w:themeFill="accent4"/>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4-Accent5">
    <w:name w:val="List Table 4 Accent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tcBorders>
        <w:shd w:val="clear" w:color="auto" w:fill="91FFB4" w:themeFill="accent5"/>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4-Accent6">
    <w:name w:val="List Table 4 Accent 6"/>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tcBorders>
        <w:shd w:val="clear" w:color="auto" w:fill="3F9C35" w:themeFill="accent6"/>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5Dark">
    <w:name w:val="List Table 5 Dark"/>
    <w:basedOn w:val="TableNormal"/>
    <w:uiPriority w:val="99"/>
    <w:rsid w:val="00AA15F2"/>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A15F2"/>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F204B" w:themeColor="accent1"/>
        <w:left w:val="single" w:sz="24" w:space="0" w:color="0F204B" w:themeColor="accent1"/>
        <w:bottom w:val="single" w:sz="24" w:space="0" w:color="0F204B" w:themeColor="accent1"/>
        <w:right w:val="single" w:sz="24" w:space="0" w:color="0F204B" w:themeColor="accent1"/>
      </w:tblBorders>
    </w:tblPr>
    <w:tcPr>
      <w:shd w:val="clear" w:color="auto" w:fill="0F20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A15F2"/>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9D9F0" w:themeColor="accent2"/>
        <w:left w:val="single" w:sz="24" w:space="0" w:color="99D9F0" w:themeColor="accent2"/>
        <w:bottom w:val="single" w:sz="24" w:space="0" w:color="99D9F0" w:themeColor="accent2"/>
        <w:right w:val="single" w:sz="24" w:space="0" w:color="99D9F0" w:themeColor="accent2"/>
      </w:tblBorders>
    </w:tblPr>
    <w:tcPr>
      <w:shd w:val="clear" w:color="auto" w:fill="99D9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A15F2"/>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3591" w:themeColor="accent3"/>
        <w:left w:val="single" w:sz="24" w:space="0" w:color="003591" w:themeColor="accent3"/>
        <w:bottom w:val="single" w:sz="24" w:space="0" w:color="003591" w:themeColor="accent3"/>
        <w:right w:val="single" w:sz="24" w:space="0" w:color="003591" w:themeColor="accent3"/>
      </w:tblBorders>
    </w:tblPr>
    <w:tcPr>
      <w:shd w:val="clear" w:color="auto" w:fill="0035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A15F2"/>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009FDA" w:themeColor="accent4"/>
        <w:left w:val="single" w:sz="24" w:space="0" w:color="009FDA" w:themeColor="accent4"/>
        <w:bottom w:val="single" w:sz="24" w:space="0" w:color="009FDA" w:themeColor="accent4"/>
        <w:right w:val="single" w:sz="24" w:space="0" w:color="009FDA" w:themeColor="accent4"/>
      </w:tblBorders>
    </w:tblPr>
    <w:tcPr>
      <w:shd w:val="clear" w:color="auto" w:fill="009FD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A15F2"/>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91FFB4" w:themeColor="accent5"/>
        <w:left w:val="single" w:sz="24" w:space="0" w:color="91FFB4" w:themeColor="accent5"/>
        <w:bottom w:val="single" w:sz="24" w:space="0" w:color="91FFB4" w:themeColor="accent5"/>
        <w:right w:val="single" w:sz="24" w:space="0" w:color="91FFB4" w:themeColor="accent5"/>
      </w:tblBorders>
    </w:tblPr>
    <w:tcPr>
      <w:shd w:val="clear" w:color="auto" w:fill="91FF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A15F2"/>
    <w:rPr>
      <w:rFonts w:asciiTheme="minorHAnsi" w:eastAsiaTheme="minorEastAsia" w:hAnsiTheme="minorHAnsi" w:cstheme="minorBidi"/>
      <w:color w:val="FFFFFF" w:themeColor="background1"/>
      <w:sz w:val="22"/>
      <w:szCs w:val="22"/>
      <w:lang w:eastAsia="zh-CN"/>
    </w:rPr>
    <w:tblPr>
      <w:tblStyleRowBandSize w:val="1"/>
      <w:tblStyleColBandSize w:val="1"/>
      <w:tblBorders>
        <w:top w:val="single" w:sz="24" w:space="0" w:color="3F9C35" w:themeColor="accent6"/>
        <w:left w:val="single" w:sz="24" w:space="0" w:color="3F9C35" w:themeColor="accent6"/>
        <w:bottom w:val="single" w:sz="24" w:space="0" w:color="3F9C35" w:themeColor="accent6"/>
        <w:right w:val="single" w:sz="24" w:space="0" w:color="3F9C35" w:themeColor="accent6"/>
      </w:tblBorders>
    </w:tblPr>
    <w:tcPr>
      <w:shd w:val="clear" w:color="auto" w:fill="3F9C3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AA15F2"/>
    <w:rPr>
      <w:rFonts w:asciiTheme="minorHAnsi" w:eastAsiaTheme="minorEastAsia" w:hAnsiTheme="minorHAnsi" w:cstheme="minorBidi"/>
      <w:color w:val="0B1738" w:themeColor="accent1" w:themeShade="BF"/>
      <w:sz w:val="22"/>
      <w:szCs w:val="22"/>
      <w:lang w:eastAsia="zh-CN"/>
    </w:rPr>
    <w:tblPr>
      <w:tblStyleRowBandSize w:val="1"/>
      <w:tblStyleColBandSize w:val="1"/>
      <w:tblBorders>
        <w:top w:val="single" w:sz="4" w:space="0" w:color="0F204B" w:themeColor="accent1"/>
        <w:bottom w:val="single" w:sz="4" w:space="0" w:color="0F204B" w:themeColor="accent1"/>
      </w:tblBorders>
    </w:tblPr>
    <w:tblStylePr w:type="firstRow">
      <w:rPr>
        <w:b/>
        <w:bCs/>
      </w:rPr>
      <w:tblPr/>
      <w:tcPr>
        <w:tcBorders>
          <w:bottom w:val="single" w:sz="4" w:space="0" w:color="0F204B" w:themeColor="accent1"/>
        </w:tcBorders>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6Colorful-Accent2">
    <w:name w:val="List Table 6 Colorful Accent 2"/>
    <w:basedOn w:val="TableNormal"/>
    <w:uiPriority w:val="99"/>
    <w:rsid w:val="00AA15F2"/>
    <w:rPr>
      <w:rFonts w:asciiTheme="minorHAnsi" w:eastAsiaTheme="minorEastAsia" w:hAnsiTheme="minorHAnsi" w:cstheme="minorBidi"/>
      <w:color w:val="43B8E3" w:themeColor="accent2" w:themeShade="BF"/>
      <w:sz w:val="22"/>
      <w:szCs w:val="22"/>
      <w:lang w:eastAsia="zh-CN"/>
    </w:rPr>
    <w:tblPr>
      <w:tblStyleRowBandSize w:val="1"/>
      <w:tblStyleColBandSize w:val="1"/>
      <w:tblBorders>
        <w:top w:val="single" w:sz="4" w:space="0" w:color="99D9F0" w:themeColor="accent2"/>
        <w:bottom w:val="single" w:sz="4" w:space="0" w:color="99D9F0" w:themeColor="accent2"/>
      </w:tblBorders>
    </w:tblPr>
    <w:tblStylePr w:type="firstRow">
      <w:rPr>
        <w:b/>
        <w:bCs/>
      </w:rPr>
      <w:tblPr/>
      <w:tcPr>
        <w:tcBorders>
          <w:bottom w:val="single" w:sz="4" w:space="0" w:color="99D9F0" w:themeColor="accent2"/>
        </w:tcBorders>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6Colorful-Accent3">
    <w:name w:val="List Table 6 Colorful Accent 3"/>
    <w:basedOn w:val="TableNormal"/>
    <w:uiPriority w:val="99"/>
    <w:rsid w:val="00AA15F2"/>
    <w:rPr>
      <w:rFonts w:asciiTheme="minorHAnsi" w:eastAsiaTheme="minorEastAsia" w:hAnsiTheme="minorHAnsi" w:cstheme="minorBidi"/>
      <w:color w:val="00276C" w:themeColor="accent3" w:themeShade="BF"/>
      <w:sz w:val="22"/>
      <w:szCs w:val="22"/>
      <w:lang w:eastAsia="zh-CN"/>
    </w:rPr>
    <w:tblPr>
      <w:tblStyleRowBandSize w:val="1"/>
      <w:tblStyleColBandSize w:val="1"/>
      <w:tblBorders>
        <w:top w:val="single" w:sz="4" w:space="0" w:color="003591" w:themeColor="accent3"/>
        <w:bottom w:val="single" w:sz="4" w:space="0" w:color="003591" w:themeColor="accent3"/>
      </w:tblBorders>
    </w:tblPr>
    <w:tblStylePr w:type="firstRow">
      <w:rPr>
        <w:b/>
        <w:bCs/>
      </w:rPr>
      <w:tblPr/>
      <w:tcPr>
        <w:tcBorders>
          <w:bottom w:val="single" w:sz="4" w:space="0" w:color="003591" w:themeColor="accent3"/>
        </w:tcBorders>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6Colorful-Accent4">
    <w:name w:val="List Table 6 Colorful Accent 4"/>
    <w:basedOn w:val="TableNormal"/>
    <w:uiPriority w:val="99"/>
    <w:rsid w:val="00AA15F2"/>
    <w:rPr>
      <w:rFonts w:asciiTheme="minorHAnsi" w:eastAsiaTheme="minorEastAsia" w:hAnsiTheme="minorHAnsi" w:cstheme="minorBidi"/>
      <w:color w:val="0076A3" w:themeColor="accent4" w:themeShade="BF"/>
      <w:sz w:val="22"/>
      <w:szCs w:val="22"/>
      <w:lang w:eastAsia="zh-CN"/>
    </w:rPr>
    <w:tblPr>
      <w:tblStyleRowBandSize w:val="1"/>
      <w:tblStyleColBandSize w:val="1"/>
      <w:tblBorders>
        <w:top w:val="single" w:sz="4" w:space="0" w:color="009FDA" w:themeColor="accent4"/>
        <w:bottom w:val="single" w:sz="4" w:space="0" w:color="009FDA" w:themeColor="accent4"/>
      </w:tblBorders>
    </w:tblPr>
    <w:tblStylePr w:type="firstRow">
      <w:rPr>
        <w:b/>
        <w:bCs/>
      </w:rPr>
      <w:tblPr/>
      <w:tcPr>
        <w:tcBorders>
          <w:bottom w:val="single" w:sz="4" w:space="0" w:color="009FDA" w:themeColor="accent4"/>
        </w:tcBorders>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6Colorful-Accent5">
    <w:name w:val="List Table 6 Colorful Accent 5"/>
    <w:basedOn w:val="TableNormal"/>
    <w:uiPriority w:val="99"/>
    <w:rsid w:val="00AA15F2"/>
    <w:rPr>
      <w:rFonts w:asciiTheme="minorHAnsi" w:eastAsiaTheme="minorEastAsia" w:hAnsiTheme="minorHAnsi" w:cstheme="minorBidi"/>
      <w:color w:val="2CFF6F" w:themeColor="accent5" w:themeShade="BF"/>
      <w:sz w:val="22"/>
      <w:szCs w:val="22"/>
      <w:lang w:eastAsia="zh-CN"/>
    </w:rPr>
    <w:tblPr>
      <w:tblStyleRowBandSize w:val="1"/>
      <w:tblStyleColBandSize w:val="1"/>
      <w:tblBorders>
        <w:top w:val="single" w:sz="4" w:space="0" w:color="91FFB4" w:themeColor="accent5"/>
        <w:bottom w:val="single" w:sz="4" w:space="0" w:color="91FFB4" w:themeColor="accent5"/>
      </w:tblBorders>
    </w:tblPr>
    <w:tblStylePr w:type="firstRow">
      <w:rPr>
        <w:b/>
        <w:bCs/>
      </w:rPr>
      <w:tblPr/>
      <w:tcPr>
        <w:tcBorders>
          <w:bottom w:val="single" w:sz="4" w:space="0" w:color="91FFB4" w:themeColor="accent5"/>
        </w:tcBorders>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6Colorful-Accent6">
    <w:name w:val="List Table 6 Colorful Accent 6"/>
    <w:basedOn w:val="TableNormal"/>
    <w:uiPriority w:val="99"/>
    <w:rsid w:val="00AA15F2"/>
    <w:rPr>
      <w:rFonts w:asciiTheme="minorHAnsi" w:eastAsiaTheme="minorEastAsia" w:hAnsiTheme="minorHAnsi" w:cstheme="minorBidi"/>
      <w:color w:val="2E7427" w:themeColor="accent6" w:themeShade="BF"/>
      <w:sz w:val="22"/>
      <w:szCs w:val="22"/>
      <w:lang w:eastAsia="zh-CN"/>
    </w:rPr>
    <w:tblPr>
      <w:tblStyleRowBandSize w:val="1"/>
      <w:tblStyleColBandSize w:val="1"/>
      <w:tblBorders>
        <w:top w:val="single" w:sz="4" w:space="0" w:color="3F9C35" w:themeColor="accent6"/>
        <w:bottom w:val="single" w:sz="4" w:space="0" w:color="3F9C35" w:themeColor="accent6"/>
      </w:tblBorders>
    </w:tblPr>
    <w:tblStylePr w:type="firstRow">
      <w:rPr>
        <w:b/>
        <w:bCs/>
      </w:rPr>
      <w:tblPr/>
      <w:tcPr>
        <w:tcBorders>
          <w:bottom w:val="single" w:sz="4" w:space="0" w:color="3F9C35" w:themeColor="accent6"/>
        </w:tcBorders>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7Colorful">
    <w:name w:val="List Table 7 Colorful"/>
    <w:basedOn w:val="TableNormal"/>
    <w:uiPriority w:val="99"/>
    <w:rsid w:val="00AA15F2"/>
    <w:rPr>
      <w:rFonts w:asciiTheme="minorHAnsi" w:eastAsiaTheme="minorEastAsia" w:hAnsiTheme="minorHAnsi" w:cstheme="minorBidi"/>
      <w:color w:val="000000" w:themeColor="text1"/>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AA15F2"/>
    <w:rPr>
      <w:rFonts w:asciiTheme="minorHAnsi" w:eastAsiaTheme="minorEastAsia" w:hAnsiTheme="minorHAnsi" w:cstheme="minorBidi"/>
      <w:color w:val="0B1738" w:themeColor="accent1"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20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20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20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204B" w:themeColor="accent1"/>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AA15F2"/>
    <w:rPr>
      <w:rFonts w:asciiTheme="minorHAnsi" w:eastAsiaTheme="minorEastAsia" w:hAnsiTheme="minorHAnsi" w:cstheme="minorBidi"/>
      <w:color w:val="43B8E3" w:themeColor="accent2"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D9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D9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D9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D9F0" w:themeColor="accent2"/>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AA15F2"/>
    <w:rPr>
      <w:rFonts w:asciiTheme="minorHAnsi" w:eastAsiaTheme="minorEastAsia" w:hAnsiTheme="minorHAnsi" w:cstheme="minorBidi"/>
      <w:color w:val="00276C" w:themeColor="accent3"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5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5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5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591" w:themeColor="accent3"/>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AA15F2"/>
    <w:rPr>
      <w:rFonts w:asciiTheme="minorHAnsi" w:eastAsiaTheme="minorEastAsia" w:hAnsiTheme="minorHAnsi" w:cstheme="minorBidi"/>
      <w:color w:val="0076A3" w:themeColor="accent4"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4"/>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AA15F2"/>
    <w:rPr>
      <w:rFonts w:asciiTheme="minorHAnsi" w:eastAsiaTheme="minorEastAsia" w:hAnsiTheme="minorHAnsi" w:cstheme="minorBidi"/>
      <w:color w:val="2CFF6F" w:themeColor="accent5"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FF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FF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FF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FFB4" w:themeColor="accent5"/>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AA15F2"/>
    <w:rPr>
      <w:rFonts w:asciiTheme="minorHAnsi" w:eastAsiaTheme="minorEastAsia" w:hAnsiTheme="minorHAnsi" w:cstheme="minorBidi"/>
      <w:color w:val="2E7427" w:themeColor="accent6" w:themeShade="BF"/>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9C3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9C3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9C3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9C35" w:themeColor="accent6"/>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insideV w:val="single" w:sz="8" w:space="0" w:color="2045A2" w:themeColor="accent1" w:themeTint="BF"/>
      </w:tblBorders>
    </w:tblPr>
    <w:tcPr>
      <w:shd w:val="clear" w:color="auto" w:fill="A8BBED" w:themeFill="accent1" w:themeFillTint="3F"/>
    </w:tcPr>
    <w:tblStylePr w:type="firstRow">
      <w:rPr>
        <w:b/>
        <w:bCs/>
      </w:rPr>
    </w:tblStylePr>
    <w:tblStylePr w:type="lastRow">
      <w:rPr>
        <w:b/>
        <w:bCs/>
      </w:rPr>
      <w:tblPr/>
      <w:tcPr>
        <w:tcBorders>
          <w:top w:val="single" w:sz="18" w:space="0" w:color="2045A2" w:themeColor="accent1" w:themeTint="BF"/>
        </w:tcBorders>
      </w:tcPr>
    </w:tblStylePr>
    <w:tblStylePr w:type="firstCol">
      <w:rPr>
        <w:b/>
        <w:bCs/>
      </w:rPr>
    </w:tblStylePr>
    <w:tblStylePr w:type="lastCol">
      <w:rPr>
        <w:b/>
        <w:bCs/>
      </w:r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MediumGrid1-Accent2">
    <w:name w:val="Medium Grid 1 Accent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insideV w:val="single" w:sz="8" w:space="0" w:color="B2E2F3" w:themeColor="accent2" w:themeTint="BF"/>
      </w:tblBorders>
    </w:tblPr>
    <w:tcPr>
      <w:shd w:val="clear" w:color="auto" w:fill="E5F5FB" w:themeFill="accent2" w:themeFillTint="3F"/>
    </w:tcPr>
    <w:tblStylePr w:type="firstRow">
      <w:rPr>
        <w:b/>
        <w:bCs/>
      </w:rPr>
    </w:tblStylePr>
    <w:tblStylePr w:type="lastRow">
      <w:rPr>
        <w:b/>
        <w:bCs/>
      </w:rPr>
      <w:tblPr/>
      <w:tcPr>
        <w:tcBorders>
          <w:top w:val="single" w:sz="18" w:space="0" w:color="B2E2F3" w:themeColor="accent2" w:themeTint="BF"/>
        </w:tcBorders>
      </w:tcPr>
    </w:tblStylePr>
    <w:tblStylePr w:type="firstCol">
      <w:rPr>
        <w:b/>
        <w:bCs/>
      </w:rPr>
    </w:tblStylePr>
    <w:tblStylePr w:type="lastCol">
      <w:rPr>
        <w:b/>
        <w:bCs/>
      </w:r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MediumGrid1-Accent3">
    <w:name w:val="Medium Grid 1 Accent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insideV w:val="single" w:sz="8" w:space="0" w:color="0056EC" w:themeColor="accent3" w:themeTint="BF"/>
      </w:tblBorders>
    </w:tblPr>
    <w:tcPr>
      <w:shd w:val="clear" w:color="auto" w:fill="A4C5FF" w:themeFill="accent3" w:themeFillTint="3F"/>
    </w:tcPr>
    <w:tblStylePr w:type="firstRow">
      <w:rPr>
        <w:b/>
        <w:bCs/>
      </w:rPr>
    </w:tblStylePr>
    <w:tblStylePr w:type="lastRow">
      <w:rPr>
        <w:b/>
        <w:bCs/>
      </w:rPr>
      <w:tblPr/>
      <w:tcPr>
        <w:tcBorders>
          <w:top w:val="single" w:sz="18" w:space="0" w:color="0056EC" w:themeColor="accent3" w:themeTint="BF"/>
        </w:tcBorders>
      </w:tcPr>
    </w:tblStylePr>
    <w:tblStylePr w:type="firstCol">
      <w:rPr>
        <w:b/>
        <w:bCs/>
      </w:rPr>
    </w:tblStylePr>
    <w:tblStylePr w:type="lastCol">
      <w:rPr>
        <w:b/>
        <w:bCs/>
      </w:r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MediumGrid1-Accent4">
    <w:name w:val="Medium Grid 1 Accent 4"/>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insideV w:val="single" w:sz="8" w:space="0" w:color="24C2FF" w:themeColor="accent4" w:themeTint="BF"/>
      </w:tblBorders>
    </w:tblPr>
    <w:tcPr>
      <w:shd w:val="clear" w:color="auto" w:fill="B6EBFF" w:themeFill="accent4" w:themeFillTint="3F"/>
    </w:tcPr>
    <w:tblStylePr w:type="firstRow">
      <w:rPr>
        <w:b/>
        <w:bCs/>
      </w:rPr>
    </w:tblStylePr>
    <w:tblStylePr w:type="lastRow">
      <w:rPr>
        <w:b/>
        <w:bCs/>
      </w:rPr>
      <w:tblPr/>
      <w:tcPr>
        <w:tcBorders>
          <w:top w:val="single" w:sz="18" w:space="0" w:color="24C2FF" w:themeColor="accent4" w:themeTint="BF"/>
        </w:tcBorders>
      </w:tcPr>
    </w:tblStylePr>
    <w:tblStylePr w:type="firstCol">
      <w:rPr>
        <w:b/>
        <w:bCs/>
      </w:rPr>
    </w:tblStylePr>
    <w:tblStylePr w:type="lastCol">
      <w:rPr>
        <w:b/>
        <w:bCs/>
      </w:r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MediumGrid1-Accent5">
    <w:name w:val="Medium Grid 1 Accent 5"/>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insideV w:val="single" w:sz="8" w:space="0" w:color="ACFFC6" w:themeColor="accent5" w:themeTint="BF"/>
      </w:tblBorders>
    </w:tblPr>
    <w:tcPr>
      <w:shd w:val="clear" w:color="auto" w:fill="E3FFEC" w:themeFill="accent5" w:themeFillTint="3F"/>
    </w:tcPr>
    <w:tblStylePr w:type="firstRow">
      <w:rPr>
        <w:b/>
        <w:bCs/>
      </w:rPr>
    </w:tblStylePr>
    <w:tblStylePr w:type="lastRow">
      <w:rPr>
        <w:b/>
        <w:bCs/>
      </w:rPr>
      <w:tblPr/>
      <w:tcPr>
        <w:tcBorders>
          <w:top w:val="single" w:sz="18" w:space="0" w:color="ACFFC6" w:themeColor="accent5" w:themeTint="BF"/>
        </w:tcBorders>
      </w:tcPr>
    </w:tblStylePr>
    <w:tblStylePr w:type="firstCol">
      <w:rPr>
        <w:b/>
        <w:bCs/>
      </w:rPr>
    </w:tblStylePr>
    <w:tblStylePr w:type="lastCol">
      <w:rPr>
        <w:b/>
        <w:bCs/>
      </w:r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MediumGrid1-Accent6">
    <w:name w:val="Medium Grid 1 Accent 6"/>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insideV w:val="single" w:sz="8" w:space="0" w:color="60C556" w:themeColor="accent6" w:themeTint="BF"/>
      </w:tblBorders>
    </w:tblPr>
    <w:tcPr>
      <w:shd w:val="clear" w:color="auto" w:fill="CAECC7" w:themeFill="accent6" w:themeFillTint="3F"/>
    </w:tcPr>
    <w:tblStylePr w:type="firstRow">
      <w:rPr>
        <w:b/>
        <w:bCs/>
      </w:rPr>
    </w:tblStylePr>
    <w:tblStylePr w:type="lastRow">
      <w:rPr>
        <w:b/>
        <w:bCs/>
      </w:rPr>
      <w:tblPr/>
      <w:tcPr>
        <w:tcBorders>
          <w:top w:val="single" w:sz="18" w:space="0" w:color="60C556" w:themeColor="accent6" w:themeTint="BF"/>
        </w:tcBorders>
      </w:tcPr>
    </w:tblStylePr>
    <w:tblStylePr w:type="firstCol">
      <w:rPr>
        <w:b/>
        <w:bCs/>
      </w:rPr>
    </w:tblStylePr>
    <w:tblStylePr w:type="lastCol">
      <w:rPr>
        <w:b/>
        <w:bCs/>
      </w:r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MediumGrid2">
    <w:name w:val="Medium Grid 2"/>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cPr>
      <w:shd w:val="clear" w:color="auto" w:fill="A8BBED" w:themeFill="accent1" w:themeFillTint="3F"/>
    </w:tcPr>
    <w:tblStylePr w:type="firstRow">
      <w:rPr>
        <w:b/>
        <w:bCs/>
        <w:color w:val="000000" w:themeColor="text1"/>
      </w:rPr>
      <w:tblPr/>
      <w:tcPr>
        <w:shd w:val="clear" w:color="auto" w:fill="DCE4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8F1" w:themeFill="accent1" w:themeFillTint="33"/>
      </w:tcPr>
    </w:tblStylePr>
    <w:tblStylePr w:type="band1Vert">
      <w:tblPr/>
      <w:tcPr>
        <w:shd w:val="clear" w:color="auto" w:fill="5077DC" w:themeFill="accent1" w:themeFillTint="7F"/>
      </w:tcPr>
    </w:tblStylePr>
    <w:tblStylePr w:type="band1Horz">
      <w:tblPr/>
      <w:tcPr>
        <w:tcBorders>
          <w:insideH w:val="single" w:sz="6" w:space="0" w:color="0F204B" w:themeColor="accent1"/>
          <w:insideV w:val="single" w:sz="6" w:space="0" w:color="0F204B" w:themeColor="accent1"/>
        </w:tcBorders>
        <w:shd w:val="clear" w:color="auto" w:fill="5077D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cPr>
      <w:shd w:val="clear" w:color="auto" w:fill="E5F5FB" w:themeFill="accent2" w:themeFillTint="3F"/>
    </w:tcPr>
    <w:tblStylePr w:type="firstRow">
      <w:rPr>
        <w:b/>
        <w:bCs/>
        <w:color w:val="000000" w:themeColor="text1"/>
      </w:rPr>
      <w:tblPr/>
      <w:tcPr>
        <w:shd w:val="clear" w:color="auto" w:fill="F4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FC" w:themeFill="accent2" w:themeFillTint="33"/>
      </w:tcPr>
    </w:tblStylePr>
    <w:tblStylePr w:type="band1Vert">
      <w:tblPr/>
      <w:tcPr>
        <w:shd w:val="clear" w:color="auto" w:fill="CCECF7" w:themeFill="accent2" w:themeFillTint="7F"/>
      </w:tcPr>
    </w:tblStylePr>
    <w:tblStylePr w:type="band1Horz">
      <w:tblPr/>
      <w:tcPr>
        <w:tcBorders>
          <w:insideH w:val="single" w:sz="6" w:space="0" w:color="99D9F0" w:themeColor="accent2"/>
          <w:insideV w:val="single" w:sz="6" w:space="0" w:color="99D9F0" w:themeColor="accent2"/>
        </w:tcBorders>
        <w:shd w:val="clear" w:color="auto" w:fill="CCEC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cPr>
      <w:shd w:val="clear" w:color="auto" w:fill="A4C5FF" w:themeFill="accent3" w:themeFillTint="3F"/>
    </w:tcPr>
    <w:tblStylePr w:type="firstRow">
      <w:rPr>
        <w:b/>
        <w:bCs/>
        <w:color w:val="000000" w:themeColor="text1"/>
      </w:rPr>
      <w:tblPr/>
      <w:tcPr>
        <w:shd w:val="clear" w:color="auto" w:fill="DB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0FF" w:themeFill="accent3" w:themeFillTint="33"/>
      </w:tcPr>
    </w:tblStylePr>
    <w:tblStylePr w:type="band1Vert">
      <w:tblPr/>
      <w:tcPr>
        <w:shd w:val="clear" w:color="auto" w:fill="498BFF" w:themeFill="accent3" w:themeFillTint="7F"/>
      </w:tcPr>
    </w:tblStylePr>
    <w:tblStylePr w:type="band1Horz">
      <w:tblPr/>
      <w:tcPr>
        <w:tcBorders>
          <w:insideH w:val="single" w:sz="6" w:space="0" w:color="003591" w:themeColor="accent3"/>
          <w:insideV w:val="single" w:sz="6" w:space="0" w:color="003591" w:themeColor="accent3"/>
        </w:tcBorders>
        <w:shd w:val="clear" w:color="auto" w:fill="498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cPr>
      <w:shd w:val="clear" w:color="auto" w:fill="B6EBFF" w:themeFill="accent4" w:themeFillTint="3F"/>
    </w:tcPr>
    <w:tblStylePr w:type="firstRow">
      <w:rPr>
        <w:b/>
        <w:bCs/>
        <w:color w:val="000000" w:themeColor="text1"/>
      </w:rPr>
      <w:tblPr/>
      <w:tcPr>
        <w:shd w:val="clear" w:color="auto" w:fill="E2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4" w:themeFillTint="33"/>
      </w:tcPr>
    </w:tblStylePr>
    <w:tblStylePr w:type="band1Vert">
      <w:tblPr/>
      <w:tcPr>
        <w:shd w:val="clear" w:color="auto" w:fill="6DD7FF" w:themeFill="accent4" w:themeFillTint="7F"/>
      </w:tcPr>
    </w:tblStylePr>
    <w:tblStylePr w:type="band1Horz">
      <w:tblPr/>
      <w:tcPr>
        <w:tcBorders>
          <w:insideH w:val="single" w:sz="6" w:space="0" w:color="009FDA" w:themeColor="accent4"/>
          <w:insideV w:val="single" w:sz="6" w:space="0" w:color="009FDA" w:themeColor="accent4"/>
        </w:tcBorders>
        <w:shd w:val="clear" w:color="auto" w:fill="6D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cPr>
      <w:shd w:val="clear" w:color="auto" w:fill="E3FFEC" w:themeFill="accent5" w:themeFillTint="3F"/>
    </w:tcPr>
    <w:tblStylePr w:type="firstRow">
      <w:rPr>
        <w:b/>
        <w:bCs/>
        <w:color w:val="000000" w:themeColor="text1"/>
      </w:rPr>
      <w:tblPr/>
      <w:tcPr>
        <w:shd w:val="clear" w:color="auto" w:fill="F4FF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FEF" w:themeFill="accent5" w:themeFillTint="33"/>
      </w:tcPr>
    </w:tblStylePr>
    <w:tblStylePr w:type="band1Vert">
      <w:tblPr/>
      <w:tcPr>
        <w:shd w:val="clear" w:color="auto" w:fill="C8FFD9" w:themeFill="accent5" w:themeFillTint="7F"/>
      </w:tcPr>
    </w:tblStylePr>
    <w:tblStylePr w:type="band1Horz">
      <w:tblPr/>
      <w:tcPr>
        <w:tcBorders>
          <w:insideH w:val="single" w:sz="6" w:space="0" w:color="91FFB4" w:themeColor="accent5"/>
          <w:insideV w:val="single" w:sz="6" w:space="0" w:color="91FFB4" w:themeColor="accent5"/>
        </w:tcBorders>
        <w:shd w:val="clear" w:color="auto" w:fill="C8FF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cPr>
      <w:shd w:val="clear" w:color="auto" w:fill="CAECC7" w:themeFill="accent6" w:themeFillTint="3F"/>
    </w:tcPr>
    <w:tblStylePr w:type="firstRow">
      <w:rPr>
        <w:b/>
        <w:bCs/>
        <w:color w:val="000000" w:themeColor="text1"/>
      </w:rPr>
      <w:tblPr/>
      <w:tcPr>
        <w:shd w:val="clear" w:color="auto" w:fill="EAF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FD1" w:themeFill="accent6" w:themeFillTint="33"/>
      </w:tcPr>
    </w:tblStylePr>
    <w:tblStylePr w:type="band1Vert">
      <w:tblPr/>
      <w:tcPr>
        <w:shd w:val="clear" w:color="auto" w:fill="95D98F" w:themeFill="accent6" w:themeFillTint="7F"/>
      </w:tcPr>
    </w:tblStylePr>
    <w:tblStylePr w:type="band1Horz">
      <w:tblPr/>
      <w:tcPr>
        <w:tcBorders>
          <w:insideH w:val="single" w:sz="6" w:space="0" w:color="3F9C35" w:themeColor="accent6"/>
          <w:insideV w:val="single" w:sz="6" w:space="0" w:color="3F9C35" w:themeColor="accent6"/>
        </w:tcBorders>
        <w:shd w:val="clear" w:color="auto" w:fill="95D9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BB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0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0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77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77DC" w:themeFill="accent1" w:themeFillTint="7F"/>
      </w:tcPr>
    </w:tblStylePr>
  </w:style>
  <w:style w:type="table" w:styleId="MediumGrid3-Accent2">
    <w:name w:val="Medium Grid 3 Accent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5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D9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D9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C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CF7" w:themeFill="accent2" w:themeFillTint="7F"/>
      </w:tcPr>
    </w:tblStylePr>
  </w:style>
  <w:style w:type="table" w:styleId="MediumGrid3-Accent3">
    <w:name w:val="Medium Grid 3 Accent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C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8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8BFF" w:themeFill="accent3" w:themeFillTint="7F"/>
      </w:tcPr>
    </w:tblStylePr>
  </w:style>
  <w:style w:type="table" w:styleId="MediumGrid3-Accent4">
    <w:name w:val="Medium Grid 3 Accent 4"/>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4" w:themeFillTint="7F"/>
      </w:tcPr>
    </w:tblStylePr>
  </w:style>
  <w:style w:type="table" w:styleId="MediumGrid3-Accent5">
    <w:name w:val="Medium Grid 3 Accent 5"/>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FF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FF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D9" w:themeFill="accent5" w:themeFillTint="7F"/>
      </w:tcPr>
    </w:tblStylePr>
  </w:style>
  <w:style w:type="table" w:styleId="MediumGrid3-Accent6">
    <w:name w:val="Medium Grid 3 Accent 6"/>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C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9C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9C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9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D98F" w:themeFill="accent6" w:themeFillTint="7F"/>
      </w:tcPr>
    </w:tblStylePr>
  </w:style>
  <w:style w:type="table" w:styleId="MediumList1">
    <w:name w:val="Medium List 1"/>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F204B" w:themeColor="accent1"/>
        <w:bottom w:val="single" w:sz="8" w:space="0" w:color="0F204B" w:themeColor="accent1"/>
      </w:tblBorders>
    </w:tblPr>
    <w:tblStylePr w:type="firstRow">
      <w:rPr>
        <w:rFonts w:asciiTheme="majorHAnsi" w:eastAsiaTheme="majorEastAsia" w:hAnsiTheme="majorHAnsi" w:cstheme="majorBidi"/>
      </w:rPr>
      <w:tblPr/>
      <w:tcPr>
        <w:tcBorders>
          <w:top w:val="nil"/>
          <w:bottom w:val="single" w:sz="8" w:space="0" w:color="0F204B" w:themeColor="accent1"/>
        </w:tcBorders>
      </w:tcPr>
    </w:tblStylePr>
    <w:tblStylePr w:type="lastRow">
      <w:rPr>
        <w:b/>
        <w:bCs/>
        <w:color w:val="0F204B" w:themeColor="text2"/>
      </w:rPr>
      <w:tblPr/>
      <w:tcPr>
        <w:tcBorders>
          <w:top w:val="single" w:sz="8" w:space="0" w:color="0F204B" w:themeColor="accent1"/>
          <w:bottom w:val="single" w:sz="8" w:space="0" w:color="0F204B" w:themeColor="accent1"/>
        </w:tcBorders>
      </w:tcPr>
    </w:tblStylePr>
    <w:tblStylePr w:type="firstCol">
      <w:rPr>
        <w:b/>
        <w:bCs/>
      </w:rPr>
    </w:tblStylePr>
    <w:tblStylePr w:type="lastCol">
      <w:rPr>
        <w:b/>
        <w:bCs/>
      </w:rPr>
      <w:tblPr/>
      <w:tcPr>
        <w:tcBorders>
          <w:top w:val="single" w:sz="8" w:space="0" w:color="0F204B" w:themeColor="accent1"/>
          <w:bottom w:val="single" w:sz="8" w:space="0" w:color="0F204B" w:themeColor="accent1"/>
        </w:tcBorders>
      </w:tcPr>
    </w:tblStylePr>
    <w:tblStylePr w:type="band1Vert">
      <w:tblPr/>
      <w:tcPr>
        <w:shd w:val="clear" w:color="auto" w:fill="A8BBED" w:themeFill="accent1" w:themeFillTint="3F"/>
      </w:tcPr>
    </w:tblStylePr>
    <w:tblStylePr w:type="band1Horz">
      <w:tblPr/>
      <w:tcPr>
        <w:shd w:val="clear" w:color="auto" w:fill="A8BBED" w:themeFill="accent1" w:themeFillTint="3F"/>
      </w:tcPr>
    </w:tblStylePr>
  </w:style>
  <w:style w:type="table" w:styleId="MediumList1-Accent2">
    <w:name w:val="Medium List 1 Accent 2"/>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9D9F0" w:themeColor="accent2"/>
        <w:bottom w:val="single" w:sz="8" w:space="0" w:color="99D9F0" w:themeColor="accent2"/>
      </w:tblBorders>
    </w:tblPr>
    <w:tblStylePr w:type="firstRow">
      <w:rPr>
        <w:rFonts w:asciiTheme="majorHAnsi" w:eastAsiaTheme="majorEastAsia" w:hAnsiTheme="majorHAnsi" w:cstheme="majorBidi"/>
      </w:rPr>
      <w:tblPr/>
      <w:tcPr>
        <w:tcBorders>
          <w:top w:val="nil"/>
          <w:bottom w:val="single" w:sz="8" w:space="0" w:color="99D9F0" w:themeColor="accent2"/>
        </w:tcBorders>
      </w:tcPr>
    </w:tblStylePr>
    <w:tblStylePr w:type="lastRow">
      <w:rPr>
        <w:b/>
        <w:bCs/>
        <w:color w:val="0F204B" w:themeColor="text2"/>
      </w:rPr>
      <w:tblPr/>
      <w:tcPr>
        <w:tcBorders>
          <w:top w:val="single" w:sz="8" w:space="0" w:color="99D9F0" w:themeColor="accent2"/>
          <w:bottom w:val="single" w:sz="8" w:space="0" w:color="99D9F0" w:themeColor="accent2"/>
        </w:tcBorders>
      </w:tcPr>
    </w:tblStylePr>
    <w:tblStylePr w:type="firstCol">
      <w:rPr>
        <w:b/>
        <w:bCs/>
      </w:rPr>
    </w:tblStylePr>
    <w:tblStylePr w:type="lastCol">
      <w:rPr>
        <w:b/>
        <w:bCs/>
      </w:rPr>
      <w:tblPr/>
      <w:tcPr>
        <w:tcBorders>
          <w:top w:val="single" w:sz="8" w:space="0" w:color="99D9F0" w:themeColor="accent2"/>
          <w:bottom w:val="single" w:sz="8" w:space="0" w:color="99D9F0" w:themeColor="accent2"/>
        </w:tcBorders>
      </w:tcPr>
    </w:tblStylePr>
    <w:tblStylePr w:type="band1Vert">
      <w:tblPr/>
      <w:tcPr>
        <w:shd w:val="clear" w:color="auto" w:fill="E5F5FB" w:themeFill="accent2" w:themeFillTint="3F"/>
      </w:tcPr>
    </w:tblStylePr>
    <w:tblStylePr w:type="band1Horz">
      <w:tblPr/>
      <w:tcPr>
        <w:shd w:val="clear" w:color="auto" w:fill="E5F5FB" w:themeFill="accent2" w:themeFillTint="3F"/>
      </w:tcPr>
    </w:tblStylePr>
  </w:style>
  <w:style w:type="table" w:styleId="MediumList1-Accent3">
    <w:name w:val="Medium List 1 Accent 3"/>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3591" w:themeColor="accent3"/>
        <w:bottom w:val="single" w:sz="8" w:space="0" w:color="003591" w:themeColor="accent3"/>
      </w:tblBorders>
    </w:tblPr>
    <w:tblStylePr w:type="firstRow">
      <w:rPr>
        <w:rFonts w:asciiTheme="majorHAnsi" w:eastAsiaTheme="majorEastAsia" w:hAnsiTheme="majorHAnsi" w:cstheme="majorBidi"/>
      </w:rPr>
      <w:tblPr/>
      <w:tcPr>
        <w:tcBorders>
          <w:top w:val="nil"/>
          <w:bottom w:val="single" w:sz="8" w:space="0" w:color="003591" w:themeColor="accent3"/>
        </w:tcBorders>
      </w:tcPr>
    </w:tblStylePr>
    <w:tblStylePr w:type="lastRow">
      <w:rPr>
        <w:b/>
        <w:bCs/>
        <w:color w:val="0F204B" w:themeColor="text2"/>
      </w:rPr>
      <w:tblPr/>
      <w:tcPr>
        <w:tcBorders>
          <w:top w:val="single" w:sz="8" w:space="0" w:color="003591" w:themeColor="accent3"/>
          <w:bottom w:val="single" w:sz="8" w:space="0" w:color="003591" w:themeColor="accent3"/>
        </w:tcBorders>
      </w:tcPr>
    </w:tblStylePr>
    <w:tblStylePr w:type="firstCol">
      <w:rPr>
        <w:b/>
        <w:bCs/>
      </w:rPr>
    </w:tblStylePr>
    <w:tblStylePr w:type="lastCol">
      <w:rPr>
        <w:b/>
        <w:bCs/>
      </w:rPr>
      <w:tblPr/>
      <w:tcPr>
        <w:tcBorders>
          <w:top w:val="single" w:sz="8" w:space="0" w:color="003591" w:themeColor="accent3"/>
          <w:bottom w:val="single" w:sz="8" w:space="0" w:color="003591" w:themeColor="accent3"/>
        </w:tcBorders>
      </w:tcPr>
    </w:tblStylePr>
    <w:tblStylePr w:type="band1Vert">
      <w:tblPr/>
      <w:tcPr>
        <w:shd w:val="clear" w:color="auto" w:fill="A4C5FF" w:themeFill="accent3" w:themeFillTint="3F"/>
      </w:tcPr>
    </w:tblStylePr>
    <w:tblStylePr w:type="band1Horz">
      <w:tblPr/>
      <w:tcPr>
        <w:shd w:val="clear" w:color="auto" w:fill="A4C5FF" w:themeFill="accent3" w:themeFillTint="3F"/>
      </w:tcPr>
    </w:tblStylePr>
  </w:style>
  <w:style w:type="table" w:styleId="MediumList1-Accent4">
    <w:name w:val="Medium List 1 Accent 4"/>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009FDA" w:themeColor="accent4"/>
        <w:bottom w:val="single" w:sz="8" w:space="0" w:color="009FDA" w:themeColor="accent4"/>
      </w:tblBorders>
    </w:tblPr>
    <w:tblStylePr w:type="firstRow">
      <w:rPr>
        <w:rFonts w:asciiTheme="majorHAnsi" w:eastAsiaTheme="majorEastAsia" w:hAnsiTheme="majorHAnsi" w:cstheme="majorBidi"/>
      </w:rPr>
      <w:tblPr/>
      <w:tcPr>
        <w:tcBorders>
          <w:top w:val="nil"/>
          <w:bottom w:val="single" w:sz="8" w:space="0" w:color="009FDA" w:themeColor="accent4"/>
        </w:tcBorders>
      </w:tcPr>
    </w:tblStylePr>
    <w:tblStylePr w:type="lastRow">
      <w:rPr>
        <w:b/>
        <w:bCs/>
        <w:color w:val="0F204B" w:themeColor="text2"/>
      </w:rPr>
      <w:tblPr/>
      <w:tcPr>
        <w:tcBorders>
          <w:top w:val="single" w:sz="8" w:space="0" w:color="009FDA" w:themeColor="accent4"/>
          <w:bottom w:val="single" w:sz="8" w:space="0" w:color="009FDA" w:themeColor="accent4"/>
        </w:tcBorders>
      </w:tcPr>
    </w:tblStylePr>
    <w:tblStylePr w:type="firstCol">
      <w:rPr>
        <w:b/>
        <w:bCs/>
      </w:rPr>
    </w:tblStylePr>
    <w:tblStylePr w:type="lastCol">
      <w:rPr>
        <w:b/>
        <w:bCs/>
      </w:rPr>
      <w:tblPr/>
      <w:tcPr>
        <w:tcBorders>
          <w:top w:val="single" w:sz="8" w:space="0" w:color="009FDA" w:themeColor="accent4"/>
          <w:bottom w:val="single" w:sz="8" w:space="0" w:color="009FDA" w:themeColor="accent4"/>
        </w:tcBorders>
      </w:tcPr>
    </w:tblStylePr>
    <w:tblStylePr w:type="band1Vert">
      <w:tblPr/>
      <w:tcPr>
        <w:shd w:val="clear" w:color="auto" w:fill="B6EBFF" w:themeFill="accent4" w:themeFillTint="3F"/>
      </w:tcPr>
    </w:tblStylePr>
    <w:tblStylePr w:type="band1Horz">
      <w:tblPr/>
      <w:tcPr>
        <w:shd w:val="clear" w:color="auto" w:fill="B6EBFF" w:themeFill="accent4" w:themeFillTint="3F"/>
      </w:tcPr>
    </w:tblStylePr>
  </w:style>
  <w:style w:type="table" w:styleId="MediumList1-Accent5">
    <w:name w:val="Medium List 1 Accent 5"/>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91FFB4" w:themeColor="accent5"/>
        <w:bottom w:val="single" w:sz="8" w:space="0" w:color="91FFB4" w:themeColor="accent5"/>
      </w:tblBorders>
    </w:tblPr>
    <w:tblStylePr w:type="firstRow">
      <w:rPr>
        <w:rFonts w:asciiTheme="majorHAnsi" w:eastAsiaTheme="majorEastAsia" w:hAnsiTheme="majorHAnsi" w:cstheme="majorBidi"/>
      </w:rPr>
      <w:tblPr/>
      <w:tcPr>
        <w:tcBorders>
          <w:top w:val="nil"/>
          <w:bottom w:val="single" w:sz="8" w:space="0" w:color="91FFB4" w:themeColor="accent5"/>
        </w:tcBorders>
      </w:tcPr>
    </w:tblStylePr>
    <w:tblStylePr w:type="lastRow">
      <w:rPr>
        <w:b/>
        <w:bCs/>
        <w:color w:val="0F204B" w:themeColor="text2"/>
      </w:rPr>
      <w:tblPr/>
      <w:tcPr>
        <w:tcBorders>
          <w:top w:val="single" w:sz="8" w:space="0" w:color="91FFB4" w:themeColor="accent5"/>
          <w:bottom w:val="single" w:sz="8" w:space="0" w:color="91FFB4" w:themeColor="accent5"/>
        </w:tcBorders>
      </w:tcPr>
    </w:tblStylePr>
    <w:tblStylePr w:type="firstCol">
      <w:rPr>
        <w:b/>
        <w:bCs/>
      </w:rPr>
    </w:tblStylePr>
    <w:tblStylePr w:type="lastCol">
      <w:rPr>
        <w:b/>
        <w:bCs/>
      </w:rPr>
      <w:tblPr/>
      <w:tcPr>
        <w:tcBorders>
          <w:top w:val="single" w:sz="8" w:space="0" w:color="91FFB4" w:themeColor="accent5"/>
          <w:bottom w:val="single" w:sz="8" w:space="0" w:color="91FFB4" w:themeColor="accent5"/>
        </w:tcBorders>
      </w:tcPr>
    </w:tblStylePr>
    <w:tblStylePr w:type="band1Vert">
      <w:tblPr/>
      <w:tcPr>
        <w:shd w:val="clear" w:color="auto" w:fill="E3FFEC" w:themeFill="accent5" w:themeFillTint="3F"/>
      </w:tcPr>
    </w:tblStylePr>
    <w:tblStylePr w:type="band1Horz">
      <w:tblPr/>
      <w:tcPr>
        <w:shd w:val="clear" w:color="auto" w:fill="E3FFEC" w:themeFill="accent5" w:themeFillTint="3F"/>
      </w:tcPr>
    </w:tblStylePr>
  </w:style>
  <w:style w:type="table" w:styleId="MediumList1-Accent6">
    <w:name w:val="Medium List 1 Accent 6"/>
    <w:basedOn w:val="TableNormal"/>
    <w:uiPriority w:val="99"/>
    <w:semiHidden/>
    <w:unhideWhenUsed/>
    <w:rsid w:val="00AA15F2"/>
    <w:rPr>
      <w:rFonts w:asciiTheme="minorHAnsi" w:eastAsiaTheme="minorEastAsia" w:hAnsiTheme="minorHAnsi" w:cstheme="minorBidi"/>
      <w:color w:val="000000" w:themeColor="text1"/>
      <w:sz w:val="22"/>
      <w:szCs w:val="22"/>
      <w:lang w:eastAsia="zh-CN"/>
    </w:rPr>
    <w:tblPr>
      <w:tblStyleRowBandSize w:val="1"/>
      <w:tblStyleColBandSize w:val="1"/>
      <w:tblBorders>
        <w:top w:val="single" w:sz="8" w:space="0" w:color="3F9C35" w:themeColor="accent6"/>
        <w:bottom w:val="single" w:sz="8" w:space="0" w:color="3F9C35" w:themeColor="accent6"/>
      </w:tblBorders>
    </w:tblPr>
    <w:tblStylePr w:type="firstRow">
      <w:rPr>
        <w:rFonts w:asciiTheme="majorHAnsi" w:eastAsiaTheme="majorEastAsia" w:hAnsiTheme="majorHAnsi" w:cstheme="majorBidi"/>
      </w:rPr>
      <w:tblPr/>
      <w:tcPr>
        <w:tcBorders>
          <w:top w:val="nil"/>
          <w:bottom w:val="single" w:sz="8" w:space="0" w:color="3F9C35" w:themeColor="accent6"/>
        </w:tcBorders>
      </w:tcPr>
    </w:tblStylePr>
    <w:tblStylePr w:type="lastRow">
      <w:rPr>
        <w:b/>
        <w:bCs/>
        <w:color w:val="0F204B" w:themeColor="text2"/>
      </w:rPr>
      <w:tblPr/>
      <w:tcPr>
        <w:tcBorders>
          <w:top w:val="single" w:sz="8" w:space="0" w:color="3F9C35" w:themeColor="accent6"/>
          <w:bottom w:val="single" w:sz="8" w:space="0" w:color="3F9C35" w:themeColor="accent6"/>
        </w:tcBorders>
      </w:tcPr>
    </w:tblStylePr>
    <w:tblStylePr w:type="firstCol">
      <w:rPr>
        <w:b/>
        <w:bCs/>
      </w:rPr>
    </w:tblStylePr>
    <w:tblStylePr w:type="lastCol">
      <w:rPr>
        <w:b/>
        <w:bCs/>
      </w:rPr>
      <w:tblPr/>
      <w:tcPr>
        <w:tcBorders>
          <w:top w:val="single" w:sz="8" w:space="0" w:color="3F9C35" w:themeColor="accent6"/>
          <w:bottom w:val="single" w:sz="8" w:space="0" w:color="3F9C35" w:themeColor="accent6"/>
        </w:tcBorders>
      </w:tcPr>
    </w:tblStylePr>
    <w:tblStylePr w:type="band1Vert">
      <w:tblPr/>
      <w:tcPr>
        <w:shd w:val="clear" w:color="auto" w:fill="CAECC7" w:themeFill="accent6" w:themeFillTint="3F"/>
      </w:tcPr>
    </w:tblStylePr>
    <w:tblStylePr w:type="band1Horz">
      <w:tblPr/>
      <w:tcPr>
        <w:shd w:val="clear" w:color="auto" w:fill="CAECC7" w:themeFill="accent6" w:themeFillTint="3F"/>
      </w:tcPr>
    </w:tblStylePr>
  </w:style>
  <w:style w:type="table" w:styleId="MediumList2">
    <w:name w:val="Medium List 2"/>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rPr>
        <w:sz w:val="24"/>
        <w:szCs w:val="24"/>
      </w:rPr>
      <w:tblPr/>
      <w:tcPr>
        <w:tcBorders>
          <w:top w:val="nil"/>
          <w:left w:val="nil"/>
          <w:bottom w:val="single" w:sz="24" w:space="0" w:color="0F204B" w:themeColor="accent1"/>
          <w:right w:val="nil"/>
          <w:insideH w:val="nil"/>
          <w:insideV w:val="nil"/>
        </w:tcBorders>
        <w:shd w:val="clear" w:color="auto" w:fill="FFFFFF" w:themeFill="background1"/>
      </w:tcPr>
    </w:tblStylePr>
    <w:tblStylePr w:type="lastRow">
      <w:tblPr/>
      <w:tcPr>
        <w:tcBorders>
          <w:top w:val="single" w:sz="8" w:space="0" w:color="0F20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04B" w:themeColor="accent1"/>
          <w:insideH w:val="nil"/>
          <w:insideV w:val="nil"/>
        </w:tcBorders>
        <w:shd w:val="clear" w:color="auto" w:fill="FFFFFF" w:themeFill="background1"/>
      </w:tcPr>
    </w:tblStylePr>
    <w:tblStylePr w:type="lastCol">
      <w:tblPr/>
      <w:tcPr>
        <w:tcBorders>
          <w:top w:val="nil"/>
          <w:left w:val="single" w:sz="8" w:space="0" w:color="0F20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top w:val="nil"/>
          <w:bottom w:val="nil"/>
          <w:insideH w:val="nil"/>
          <w:insideV w:val="nil"/>
        </w:tcBorders>
        <w:shd w:val="clear" w:color="auto" w:fill="A8BB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rPr>
        <w:sz w:val="24"/>
        <w:szCs w:val="24"/>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tblPr/>
      <w:tcPr>
        <w:tcBorders>
          <w:top w:val="single" w:sz="8" w:space="0" w:color="99D9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D9F0" w:themeColor="accent2"/>
          <w:insideH w:val="nil"/>
          <w:insideV w:val="nil"/>
        </w:tcBorders>
        <w:shd w:val="clear" w:color="auto" w:fill="FFFFFF" w:themeFill="background1"/>
      </w:tcPr>
    </w:tblStylePr>
    <w:tblStylePr w:type="lastCol">
      <w:tblPr/>
      <w:tcPr>
        <w:tcBorders>
          <w:top w:val="nil"/>
          <w:left w:val="single" w:sz="8" w:space="0" w:color="99D9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top w:val="nil"/>
          <w:bottom w:val="nil"/>
          <w:insideH w:val="nil"/>
          <w:insideV w:val="nil"/>
        </w:tcBorders>
        <w:shd w:val="clear" w:color="auto" w:fill="E5F5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rPr>
        <w:sz w:val="24"/>
        <w:szCs w:val="24"/>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tblPr/>
      <w:tcPr>
        <w:tcBorders>
          <w:top w:val="single" w:sz="8" w:space="0" w:color="0035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91" w:themeColor="accent3"/>
          <w:insideH w:val="nil"/>
          <w:insideV w:val="nil"/>
        </w:tcBorders>
        <w:shd w:val="clear" w:color="auto" w:fill="FFFFFF" w:themeFill="background1"/>
      </w:tcPr>
    </w:tblStylePr>
    <w:tblStylePr w:type="lastCol">
      <w:tblPr/>
      <w:tcPr>
        <w:tcBorders>
          <w:top w:val="nil"/>
          <w:left w:val="single" w:sz="8" w:space="0" w:color="0035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top w:val="nil"/>
          <w:bottom w:val="nil"/>
          <w:insideH w:val="nil"/>
          <w:insideV w:val="nil"/>
        </w:tcBorders>
        <w:shd w:val="clear" w:color="auto" w:fill="A4C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rPr>
        <w:sz w:val="24"/>
        <w:szCs w:val="24"/>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tblPr/>
      <w:tcPr>
        <w:tcBorders>
          <w:top w:val="single" w:sz="8" w:space="0" w:color="009FD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4"/>
          <w:insideH w:val="nil"/>
          <w:insideV w:val="nil"/>
        </w:tcBorders>
        <w:shd w:val="clear" w:color="auto" w:fill="FFFFFF" w:themeFill="background1"/>
      </w:tcPr>
    </w:tblStylePr>
    <w:tblStylePr w:type="lastCol">
      <w:tblPr/>
      <w:tcPr>
        <w:tcBorders>
          <w:top w:val="nil"/>
          <w:left w:val="single" w:sz="8" w:space="0" w:color="009FD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top w:val="nil"/>
          <w:bottom w:val="nil"/>
          <w:insideH w:val="nil"/>
          <w:insideV w:val="nil"/>
        </w:tcBorders>
        <w:shd w:val="clear" w:color="auto" w:fill="B6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rPr>
        <w:sz w:val="24"/>
        <w:szCs w:val="24"/>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tblPr/>
      <w:tcPr>
        <w:tcBorders>
          <w:top w:val="single" w:sz="8" w:space="0" w:color="91FF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FFB4" w:themeColor="accent5"/>
          <w:insideH w:val="nil"/>
          <w:insideV w:val="nil"/>
        </w:tcBorders>
        <w:shd w:val="clear" w:color="auto" w:fill="FFFFFF" w:themeFill="background1"/>
      </w:tcPr>
    </w:tblStylePr>
    <w:tblStylePr w:type="lastCol">
      <w:tblPr/>
      <w:tcPr>
        <w:tcBorders>
          <w:top w:val="nil"/>
          <w:left w:val="single" w:sz="8" w:space="0" w:color="91FF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top w:val="nil"/>
          <w:bottom w:val="nil"/>
          <w:insideH w:val="nil"/>
          <w:insideV w:val="nil"/>
        </w:tcBorders>
        <w:shd w:val="clear" w:color="auto" w:fill="E3FF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AA15F2"/>
    <w:rPr>
      <w:rFonts w:asciiTheme="majorHAnsi" w:eastAsiaTheme="majorEastAsia" w:hAnsiTheme="majorHAnsi" w:cstheme="majorBidi"/>
      <w:color w:val="000000" w:themeColor="text1"/>
      <w:sz w:val="22"/>
      <w:szCs w:val="22"/>
      <w:lang w:eastAsia="zh-CN"/>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rPr>
        <w:sz w:val="24"/>
        <w:szCs w:val="24"/>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tblPr/>
      <w:tcPr>
        <w:tcBorders>
          <w:top w:val="single" w:sz="8" w:space="0" w:color="3F9C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9C35" w:themeColor="accent6"/>
          <w:insideH w:val="nil"/>
          <w:insideV w:val="nil"/>
        </w:tcBorders>
        <w:shd w:val="clear" w:color="auto" w:fill="FFFFFF" w:themeFill="background1"/>
      </w:tcPr>
    </w:tblStylePr>
    <w:tblStylePr w:type="lastCol">
      <w:tblPr/>
      <w:tcPr>
        <w:tcBorders>
          <w:top w:val="nil"/>
          <w:left w:val="single" w:sz="8" w:space="0" w:color="3F9C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top w:val="nil"/>
          <w:bottom w:val="nil"/>
          <w:insideH w:val="nil"/>
          <w:insideV w:val="nil"/>
        </w:tcBorders>
        <w:shd w:val="clear" w:color="auto" w:fill="CAEC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tblBorders>
    </w:tblPr>
    <w:tblStylePr w:type="firstRow">
      <w:pPr>
        <w:spacing w:before="0" w:after="0" w:line="240" w:lineRule="auto"/>
      </w:pPr>
      <w:rPr>
        <w:b/>
        <w:bCs/>
        <w:color w:val="FFFFFF" w:themeColor="background1"/>
      </w:rPr>
      <w:tblPr/>
      <w:tcPr>
        <w:tc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shd w:val="clear" w:color="auto" w:fill="0F204B" w:themeFill="accent1"/>
      </w:tcPr>
    </w:tblStylePr>
    <w:tblStylePr w:type="lastRow">
      <w:pPr>
        <w:spacing w:before="0" w:after="0" w:line="240" w:lineRule="auto"/>
      </w:pPr>
      <w:rPr>
        <w:b/>
        <w:bCs/>
      </w:rPr>
      <w:tblPr/>
      <w:tcPr>
        <w:tcBorders>
          <w:top w:val="double" w:sz="6"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BBED" w:themeFill="accent1" w:themeFillTint="3F"/>
      </w:tcPr>
    </w:tblStylePr>
    <w:tblStylePr w:type="band1Horz">
      <w:tblPr/>
      <w:tcPr>
        <w:tcBorders>
          <w:insideH w:val="nil"/>
          <w:insideV w:val="nil"/>
        </w:tcBorders>
        <w:shd w:val="clear" w:color="auto" w:fill="A8BB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tblBorders>
    </w:tblPr>
    <w:tblStylePr w:type="firstRow">
      <w:pPr>
        <w:spacing w:before="0" w:after="0" w:line="240" w:lineRule="auto"/>
      </w:pPr>
      <w:rPr>
        <w:b/>
        <w:bCs/>
        <w:color w:val="FFFFFF" w:themeColor="background1"/>
      </w:rPr>
      <w:tblPr/>
      <w:tcPr>
        <w:tc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shd w:val="clear" w:color="auto" w:fill="99D9F0" w:themeFill="accent2"/>
      </w:tcPr>
    </w:tblStylePr>
    <w:tblStylePr w:type="lastRow">
      <w:pPr>
        <w:spacing w:before="0" w:after="0" w:line="240" w:lineRule="auto"/>
      </w:pPr>
      <w:rPr>
        <w:b/>
        <w:bCs/>
      </w:rPr>
      <w:tblPr/>
      <w:tcPr>
        <w:tcBorders>
          <w:top w:val="double" w:sz="6"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5FB" w:themeFill="accent2" w:themeFillTint="3F"/>
      </w:tcPr>
    </w:tblStylePr>
    <w:tblStylePr w:type="band1Horz">
      <w:tblPr/>
      <w:tcPr>
        <w:tcBorders>
          <w:insideH w:val="nil"/>
          <w:insideV w:val="nil"/>
        </w:tcBorders>
        <w:shd w:val="clear" w:color="auto" w:fill="E5F5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tblBorders>
    </w:tblPr>
    <w:tblStylePr w:type="firstRow">
      <w:pPr>
        <w:spacing w:before="0" w:after="0" w:line="240" w:lineRule="auto"/>
      </w:pPr>
      <w:rPr>
        <w:b/>
        <w:bCs/>
        <w:color w:val="FFFFFF" w:themeColor="background1"/>
      </w:rPr>
      <w:tblPr/>
      <w:tcPr>
        <w:tc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shd w:val="clear" w:color="auto" w:fill="003591" w:themeFill="accent3"/>
      </w:tcPr>
    </w:tblStylePr>
    <w:tblStylePr w:type="lastRow">
      <w:pPr>
        <w:spacing w:before="0" w:after="0" w:line="240" w:lineRule="auto"/>
      </w:pPr>
      <w:rPr>
        <w:b/>
        <w:bCs/>
      </w:rPr>
      <w:tblPr/>
      <w:tcPr>
        <w:tcBorders>
          <w:top w:val="double" w:sz="6"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C5FF" w:themeFill="accent3" w:themeFillTint="3F"/>
      </w:tcPr>
    </w:tblStylePr>
    <w:tblStylePr w:type="band1Horz">
      <w:tblPr/>
      <w:tcPr>
        <w:tcBorders>
          <w:insideH w:val="nil"/>
          <w:insideV w:val="nil"/>
        </w:tcBorders>
        <w:shd w:val="clear" w:color="auto" w:fill="A4C5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tblBorders>
    </w:tblPr>
    <w:tblStylePr w:type="firstRow">
      <w:pPr>
        <w:spacing w:before="0" w:after="0" w:line="240" w:lineRule="auto"/>
      </w:pPr>
      <w:rPr>
        <w:b/>
        <w:bCs/>
        <w:color w:val="FFFFFF" w:themeColor="background1"/>
      </w:rPr>
      <w:tblPr/>
      <w:tcPr>
        <w:tc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shd w:val="clear" w:color="auto" w:fill="009FDA" w:themeFill="accent4"/>
      </w:tcPr>
    </w:tblStylePr>
    <w:tblStylePr w:type="lastRow">
      <w:pPr>
        <w:spacing w:before="0" w:after="0" w:line="240" w:lineRule="auto"/>
      </w:pPr>
      <w:rPr>
        <w:b/>
        <w:bCs/>
      </w:rPr>
      <w:tblPr/>
      <w:tcPr>
        <w:tcBorders>
          <w:top w:val="double" w:sz="6"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4" w:themeFillTint="3F"/>
      </w:tcPr>
    </w:tblStylePr>
    <w:tblStylePr w:type="band1Horz">
      <w:tblPr/>
      <w:tcPr>
        <w:tcBorders>
          <w:insideH w:val="nil"/>
          <w:insideV w:val="nil"/>
        </w:tcBorders>
        <w:shd w:val="clear" w:color="auto" w:fill="B6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tblBorders>
    </w:tblPr>
    <w:tblStylePr w:type="firstRow">
      <w:pPr>
        <w:spacing w:before="0" w:after="0" w:line="240" w:lineRule="auto"/>
      </w:pPr>
      <w:rPr>
        <w:b/>
        <w:bCs/>
        <w:color w:val="FFFFFF" w:themeColor="background1"/>
      </w:rPr>
      <w:tblPr/>
      <w:tcPr>
        <w:tc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shd w:val="clear" w:color="auto" w:fill="91FFB4" w:themeFill="accent5"/>
      </w:tcPr>
    </w:tblStylePr>
    <w:tblStylePr w:type="lastRow">
      <w:pPr>
        <w:spacing w:before="0" w:after="0" w:line="240" w:lineRule="auto"/>
      </w:pPr>
      <w:rPr>
        <w:b/>
        <w:bCs/>
      </w:rPr>
      <w:tblPr/>
      <w:tcPr>
        <w:tcBorders>
          <w:top w:val="double" w:sz="6"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FEC" w:themeFill="accent5" w:themeFillTint="3F"/>
      </w:tcPr>
    </w:tblStylePr>
    <w:tblStylePr w:type="band1Horz">
      <w:tblPr/>
      <w:tcPr>
        <w:tcBorders>
          <w:insideH w:val="nil"/>
          <w:insideV w:val="nil"/>
        </w:tcBorders>
        <w:shd w:val="clear" w:color="auto" w:fill="E3FF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tblBorders>
    </w:tblPr>
    <w:tblStylePr w:type="firstRow">
      <w:pPr>
        <w:spacing w:before="0" w:after="0" w:line="240" w:lineRule="auto"/>
      </w:pPr>
      <w:rPr>
        <w:b/>
        <w:bCs/>
        <w:color w:val="FFFFFF" w:themeColor="background1"/>
      </w:rPr>
      <w:tblPr/>
      <w:tcPr>
        <w:tc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shd w:val="clear" w:color="auto" w:fill="3F9C35" w:themeFill="accent6"/>
      </w:tcPr>
    </w:tblStylePr>
    <w:tblStylePr w:type="lastRow">
      <w:pPr>
        <w:spacing w:before="0" w:after="0" w:line="240" w:lineRule="auto"/>
      </w:pPr>
      <w:rPr>
        <w:b/>
        <w:bCs/>
      </w:rPr>
      <w:tblPr/>
      <w:tcPr>
        <w:tcBorders>
          <w:top w:val="double" w:sz="6"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ECC7" w:themeFill="accent6" w:themeFillTint="3F"/>
      </w:tcPr>
    </w:tblStylePr>
    <w:tblStylePr w:type="band1Horz">
      <w:tblPr/>
      <w:tcPr>
        <w:tcBorders>
          <w:insideH w:val="nil"/>
          <w:insideV w:val="nil"/>
        </w:tcBorders>
        <w:shd w:val="clear" w:color="auto" w:fill="CAEC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0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04B" w:themeFill="accent1"/>
      </w:tcPr>
    </w:tblStylePr>
    <w:tblStylePr w:type="lastCol">
      <w:rPr>
        <w:b/>
        <w:bCs/>
        <w:color w:val="FFFFFF" w:themeColor="background1"/>
      </w:rPr>
      <w:tblPr/>
      <w:tcPr>
        <w:tcBorders>
          <w:left w:val="nil"/>
          <w:right w:val="nil"/>
          <w:insideH w:val="nil"/>
          <w:insideV w:val="nil"/>
        </w:tcBorders>
        <w:shd w:val="clear" w:color="auto" w:fill="0F20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D9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D9F0" w:themeFill="accent2"/>
      </w:tcPr>
    </w:tblStylePr>
    <w:tblStylePr w:type="lastCol">
      <w:rPr>
        <w:b/>
        <w:bCs/>
        <w:color w:val="FFFFFF" w:themeColor="background1"/>
      </w:rPr>
      <w:tblPr/>
      <w:tcPr>
        <w:tcBorders>
          <w:left w:val="nil"/>
          <w:right w:val="nil"/>
          <w:insideH w:val="nil"/>
          <w:insideV w:val="nil"/>
        </w:tcBorders>
        <w:shd w:val="clear" w:color="auto" w:fill="99D9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91" w:themeFill="accent3"/>
      </w:tcPr>
    </w:tblStylePr>
    <w:tblStylePr w:type="lastCol">
      <w:rPr>
        <w:b/>
        <w:bCs/>
        <w:color w:val="FFFFFF" w:themeColor="background1"/>
      </w:rPr>
      <w:tblPr/>
      <w:tcPr>
        <w:tcBorders>
          <w:left w:val="nil"/>
          <w:right w:val="nil"/>
          <w:insideH w:val="nil"/>
          <w:insideV w:val="nil"/>
        </w:tcBorders>
        <w:shd w:val="clear" w:color="auto" w:fill="0035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4"/>
      </w:tcPr>
    </w:tblStylePr>
    <w:tblStylePr w:type="lastCol">
      <w:rPr>
        <w:b/>
        <w:bCs/>
        <w:color w:val="FFFFFF" w:themeColor="background1"/>
      </w:rPr>
      <w:tblPr/>
      <w:tcPr>
        <w:tcBorders>
          <w:left w:val="nil"/>
          <w:right w:val="nil"/>
          <w:insideH w:val="nil"/>
          <w:insideV w:val="nil"/>
        </w:tcBorders>
        <w:shd w:val="clear" w:color="auto" w:fill="009FD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FF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FFB4" w:themeFill="accent5"/>
      </w:tcPr>
    </w:tblStylePr>
    <w:tblStylePr w:type="lastCol">
      <w:rPr>
        <w:b/>
        <w:bCs/>
        <w:color w:val="FFFFFF" w:themeColor="background1"/>
      </w:rPr>
      <w:tblPr/>
      <w:tcPr>
        <w:tcBorders>
          <w:left w:val="nil"/>
          <w:right w:val="nil"/>
          <w:insideH w:val="nil"/>
          <w:insideV w:val="nil"/>
        </w:tcBorders>
        <w:shd w:val="clear" w:color="auto" w:fill="91FF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9C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9C35" w:themeFill="accent6"/>
      </w:tcPr>
    </w:tblStylePr>
    <w:tblStylePr w:type="lastCol">
      <w:rPr>
        <w:b/>
        <w:bCs/>
        <w:color w:val="FFFFFF" w:themeColor="background1"/>
      </w:rPr>
      <w:tblPr/>
      <w:tcPr>
        <w:tcBorders>
          <w:left w:val="nil"/>
          <w:right w:val="nil"/>
          <w:insideH w:val="nil"/>
          <w:insideV w:val="nil"/>
        </w:tcBorders>
        <w:shd w:val="clear" w:color="auto" w:fill="3F9C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uiPriority w:val="99"/>
    <w:semiHidden/>
    <w:unhideWhenUsed/>
    <w:rsid w:val="00AC04CF"/>
    <w:rPr>
      <w:color w:val="2B579A"/>
      <w:shd w:val="clear" w:color="auto" w:fill="E1DFDD"/>
    </w:rPr>
  </w:style>
  <w:style w:type="table" w:styleId="PlainTable1">
    <w:name w:val="Plain Table 1"/>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AA15F2"/>
    <w:rPr>
      <w:rFonts w:asciiTheme="minorHAnsi" w:eastAsiaTheme="minorEastAsia" w:hAnsiTheme="minorHAnsi" w:cstheme="minorBidi"/>
      <w:sz w:val="22"/>
      <w:szCs w:val="22"/>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AC04CF"/>
    <w:rPr>
      <w:u w:val="dotted"/>
    </w:rPr>
  </w:style>
  <w:style w:type="character" w:customStyle="1" w:styleId="SmartLink1">
    <w:name w:val="SmartLink1"/>
    <w:uiPriority w:val="99"/>
    <w:semiHidden/>
    <w:unhideWhenUsed/>
    <w:rsid w:val="00AC04CF"/>
    <w:rPr>
      <w:color w:val="0000FF"/>
      <w:u w:val="single"/>
      <w:shd w:val="clear" w:color="auto" w:fill="F3F2F1"/>
    </w:rPr>
  </w:style>
  <w:style w:type="table" w:styleId="Table3Deffects1">
    <w:name w:val="Table 3D effects 1"/>
    <w:basedOn w:val="TableNormal"/>
    <w:uiPriority w:val="99"/>
    <w:semiHidden/>
    <w:unhideWhenUsed/>
    <w:rsid w:val="00AA15F2"/>
    <w:rPr>
      <w:rFonts w:asciiTheme="minorHAnsi" w:eastAsiaTheme="minorEastAsia" w:hAnsiTheme="minorHAnsi" w:cstheme="minorBidi"/>
      <w:sz w:val="22"/>
      <w:szCs w:val="22"/>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15F2"/>
    <w:rPr>
      <w:rFonts w:asciiTheme="minorHAnsi" w:eastAsiaTheme="minorEastAsia" w:hAnsiTheme="minorHAnsi" w:cstheme="minorBidi"/>
      <w:color w:val="000080"/>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15F2"/>
    <w:rPr>
      <w:rFonts w:asciiTheme="minorHAnsi" w:eastAsiaTheme="minorEastAsia" w:hAnsiTheme="minorHAnsi" w:cstheme="minorBidi"/>
      <w:color w:val="FFFFFF"/>
      <w:sz w:val="22"/>
      <w:szCs w:val="22"/>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15F2"/>
    <w:rPr>
      <w:rFonts w:asciiTheme="minorHAnsi" w:eastAsiaTheme="minorEastAsia" w:hAnsiTheme="minorHAnsi" w:cstheme="minorBidi"/>
      <w:sz w:val="22"/>
      <w:szCs w:val="22"/>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15F2"/>
    <w:rPr>
      <w:rFonts w:asciiTheme="minorHAnsi" w:eastAsiaTheme="minorEastAsia" w:hAnsiTheme="minorHAnsi" w:cstheme="minorBidi"/>
      <w:b/>
      <w:bCs/>
      <w:sz w:val="22"/>
      <w:szCs w:val="22"/>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15F2"/>
    <w:rPr>
      <w:rFonts w:asciiTheme="minorHAnsi" w:eastAsiaTheme="minorEastAsia" w:hAnsiTheme="minorHAnsi" w:cstheme="minorBidi"/>
      <w:b/>
      <w:bCs/>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15F2"/>
    <w:rPr>
      <w:rFonts w:asciiTheme="minorHAnsi" w:eastAsiaTheme="minorEastAsia" w:hAnsiTheme="minorHAnsi" w:cstheme="minorBidi"/>
      <w:b/>
      <w:bCs/>
      <w:sz w:val="22"/>
      <w:szCs w:val="22"/>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15F2"/>
    <w:rPr>
      <w:rFonts w:asciiTheme="minorHAnsi" w:eastAsiaTheme="minorEastAsia" w:hAnsiTheme="minorHAnsi" w:cstheme="minorBidi"/>
      <w:sz w:val="22"/>
      <w:szCs w:val="22"/>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15F2"/>
    <w:rPr>
      <w:rFonts w:asciiTheme="minorHAnsi" w:eastAsiaTheme="minorEastAsia" w:hAnsiTheme="minorHAnsi" w:cstheme="minorBidi"/>
      <w:sz w:val="22"/>
      <w:szCs w:val="22"/>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15F2"/>
    <w:rPr>
      <w:rFonts w:asciiTheme="minorHAnsi" w:eastAsiaTheme="minorEastAsia" w:hAnsiTheme="minorHAnsi" w:cstheme="minorBidi"/>
      <w:sz w:val="22"/>
      <w:szCs w:val="22"/>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A15F2"/>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15F2"/>
    <w:rPr>
      <w:rFonts w:asciiTheme="minorHAnsi" w:eastAsiaTheme="minorEastAsia" w:hAnsiTheme="minorHAnsi" w:cstheme="minorBidi"/>
      <w:sz w:val="22"/>
      <w:szCs w:val="22"/>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15F2"/>
    <w:rPr>
      <w:rFonts w:asciiTheme="minorHAnsi" w:eastAsiaTheme="minorEastAsia" w:hAnsiTheme="minorHAnsi" w:cstheme="minorBidi"/>
      <w:sz w:val="22"/>
      <w:szCs w:val="22"/>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15F2"/>
    <w:rPr>
      <w:rFonts w:asciiTheme="minorHAnsi" w:eastAsiaTheme="minorEastAsia" w:hAnsiTheme="minorHAnsi" w:cstheme="minorBidi"/>
      <w:b/>
      <w:bCs/>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A15F2"/>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15F2"/>
    <w:rPr>
      <w:rFonts w:asciiTheme="minorHAnsi" w:eastAsiaTheme="minorEastAsia" w:hAnsiTheme="minorHAnsi" w:cstheme="minorBidi"/>
      <w:sz w:val="22"/>
      <w:szCs w:val="22"/>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15F2"/>
    <w:rPr>
      <w:rFonts w:asciiTheme="minorHAnsi" w:eastAsiaTheme="minorEastAsia" w:hAnsiTheme="minorHAnsi" w:cstheme="minorBidi"/>
      <w:sz w:val="22"/>
      <w:szCs w:val="22"/>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15F2"/>
    <w:rPr>
      <w:rFonts w:asciiTheme="minorHAnsi" w:eastAsiaTheme="minorEastAsia" w:hAnsiTheme="minorHAnsi" w:cstheme="minorBidi"/>
      <w:sz w:val="22"/>
      <w:szCs w:val="22"/>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15F2"/>
    <w:rPr>
      <w:rFonts w:asciiTheme="minorHAnsi" w:eastAsiaTheme="minorEastAsia" w:hAnsiTheme="minorHAnsi" w:cstheme="minorBidi"/>
      <w:sz w:val="22"/>
      <w:szCs w:val="22"/>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15F2"/>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15F2"/>
    <w:rPr>
      <w:rFonts w:asciiTheme="minorHAnsi" w:eastAsiaTheme="minorEastAsia" w:hAnsiTheme="minorHAnsi" w:cstheme="minorBidi"/>
      <w:sz w:val="22"/>
      <w:szCs w:val="22"/>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15F2"/>
    <w:rPr>
      <w:rFonts w:asciiTheme="minorHAnsi" w:eastAsiaTheme="minorEastAsia" w:hAnsiTheme="minorHAnsi" w:cstheme="minorBidi"/>
      <w:sz w:val="22"/>
      <w:szCs w:val="22"/>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15F2"/>
    <w:rPr>
      <w:rFonts w:asciiTheme="minorHAnsi" w:eastAsiaTheme="minorEastAsia" w:hAnsiTheme="minorHAnsi" w:cstheme="minorBidi"/>
      <w:sz w:val="22"/>
      <w:szCs w:val="22"/>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AC04CF"/>
    <w:rPr>
      <w:color w:val="605E5C"/>
      <w:shd w:val="clear" w:color="auto" w:fill="E1DFDD"/>
    </w:rPr>
  </w:style>
  <w:style w:type="character" w:customStyle="1" w:styleId="TableTextChar">
    <w:name w:val="Table Text Char"/>
    <w:link w:val="TableText"/>
    <w:uiPriority w:val="14"/>
    <w:locked/>
    <w:rsid w:val="00EF65C7"/>
    <w:rPr>
      <w:rFonts w:ascii="Arial" w:hAnsi="Arial" w:cs="Times New Roman"/>
      <w:color w:val="000000"/>
      <w:sz w:val="16"/>
      <w:szCs w:val="16"/>
      <w:lang w:val="en-GB"/>
    </w:rPr>
  </w:style>
  <w:style w:type="paragraph" w:customStyle="1" w:styleId="TableText">
    <w:name w:val="Table Text"/>
    <w:basedOn w:val="BodyText"/>
    <w:link w:val="TableTextChar"/>
    <w:uiPriority w:val="14"/>
    <w:qFormat/>
    <w:rsid w:val="00EF65C7"/>
    <w:pPr>
      <w:spacing w:before="20" w:after="20" w:line="240" w:lineRule="auto"/>
    </w:pPr>
    <w:rPr>
      <w:rFonts w:cs="Times New Roman"/>
      <w:color w:val="000000"/>
      <w:sz w:val="16"/>
      <w:szCs w:val="16"/>
      <w:lang w:val="en-US"/>
    </w:rPr>
  </w:style>
  <w:style w:type="paragraph" w:customStyle="1" w:styleId="DNVGL-Bullet1">
    <w:name w:val="DNVGL-Bullet 1"/>
    <w:basedOn w:val="Normal"/>
    <w:uiPriority w:val="1"/>
    <w:qFormat/>
    <w:rsid w:val="00EF65C7"/>
    <w:pPr>
      <w:numPr>
        <w:numId w:val="10"/>
      </w:numPr>
      <w:spacing w:before="40" w:after="20" w:line="264" w:lineRule="auto"/>
    </w:pPr>
    <w:rPr>
      <w:rFonts w:cs="Verdana"/>
      <w:bCs/>
      <w:sz w:val="22"/>
      <w:szCs w:val="22"/>
      <w:lang w:val="en-US"/>
    </w:rPr>
  </w:style>
  <w:style w:type="table" w:customStyle="1" w:styleId="new">
    <w:name w:val="new"/>
    <w:basedOn w:val="TableNormal"/>
    <w:uiPriority w:val="99"/>
    <w:rsid w:val="00EF65C7"/>
    <w:tblPr>
      <w:tblStyleRowBandSize w:val="1"/>
      <w:tblInd w:w="0" w:type="nil"/>
      <w:tblBorders>
        <w:bottom w:val="single" w:sz="12" w:space="0" w:color="15C2BB"/>
      </w:tblBorders>
    </w:tblPr>
    <w:tblStylePr w:type="firstRow">
      <w:rPr>
        <w:rFonts w:ascii="Arial" w:hAnsi="Arial" w:cs="Arial" w:hint="default"/>
        <w:b/>
        <w:color w:val="FFFFFF"/>
        <w:sz w:val="16"/>
        <w:szCs w:val="16"/>
      </w:rPr>
      <w:tblPr/>
      <w:tcPr>
        <w:shd w:val="clear" w:color="auto" w:fill="15C2BB"/>
      </w:tcPr>
    </w:tblStylePr>
    <w:tblStylePr w:type="band1Horz">
      <w:rPr>
        <w:rFonts w:ascii="Arial" w:hAnsi="Arial" w:cs="Arial" w:hint="default"/>
        <w:sz w:val="16"/>
        <w:szCs w:val="16"/>
      </w:rPr>
    </w:tblStylePr>
    <w:tblStylePr w:type="band2Horz">
      <w:rPr>
        <w:rFonts w:ascii="Arial" w:hAnsi="Arial" w:cs="Arial" w:hint="default"/>
        <w:sz w:val="16"/>
        <w:szCs w:val="16"/>
      </w:rPr>
      <w:tblPr/>
      <w:tcPr>
        <w:shd w:val="clear" w:color="auto" w:fill="F2F2F2"/>
      </w:tcPr>
    </w:tblStylePr>
  </w:style>
  <w:style w:type="paragraph" w:customStyle="1" w:styleId="Bullet2">
    <w:name w:val="Bullet 2"/>
    <w:basedOn w:val="BodyText"/>
    <w:qFormat/>
    <w:rsid w:val="005435D8"/>
    <w:pPr>
      <w:numPr>
        <w:ilvl w:val="1"/>
        <w:numId w:val="11"/>
      </w:numPr>
      <w:spacing w:before="80" w:after="80"/>
    </w:pPr>
    <w:rPr>
      <w:sz w:val="19"/>
      <w:lang w:val="en-US"/>
    </w:rPr>
  </w:style>
  <w:style w:type="paragraph" w:customStyle="1" w:styleId="Bullet1">
    <w:name w:val="Bullet 1"/>
    <w:basedOn w:val="BodyText"/>
    <w:next w:val="Normal"/>
    <w:link w:val="Bullet1Char"/>
    <w:qFormat/>
    <w:rsid w:val="005435D8"/>
    <w:pPr>
      <w:numPr>
        <w:numId w:val="11"/>
      </w:numPr>
      <w:spacing w:before="80" w:after="80"/>
    </w:pPr>
    <w:rPr>
      <w:sz w:val="19"/>
      <w:lang w:val="en-US"/>
    </w:rPr>
  </w:style>
  <w:style w:type="character" w:customStyle="1" w:styleId="Bullet1Char">
    <w:name w:val="Bullet 1 Char"/>
    <w:link w:val="Bullet1"/>
    <w:rsid w:val="005435D8"/>
    <w:rPr>
      <w:rFonts w:ascii="Arial" w:eastAsiaTheme="minorEastAsia" w:hAnsi="Arial"/>
      <w:sz w:val="19"/>
      <w:szCs w:val="18"/>
      <w:lang w:eastAsia="zh-CN"/>
    </w:rPr>
  </w:style>
  <w:style w:type="paragraph" w:customStyle="1" w:styleId="Bullet3">
    <w:name w:val="Bullet 3"/>
    <w:basedOn w:val="Bullet2"/>
    <w:qFormat/>
    <w:rsid w:val="005435D8"/>
    <w:pPr>
      <w:numPr>
        <w:ilvl w:val="2"/>
      </w:numPr>
    </w:pPr>
  </w:style>
  <w:style w:type="character" w:customStyle="1" w:styleId="CaptionChar">
    <w:name w:val="Caption Char"/>
    <w:link w:val="Caption"/>
    <w:uiPriority w:val="99"/>
    <w:locked/>
    <w:rsid w:val="00AA15F2"/>
    <w:rPr>
      <w:rFonts w:ascii="Arial" w:eastAsiaTheme="minorEastAsia" w:hAnsi="Arial"/>
      <w:b/>
      <w:sz w:val="18"/>
      <w:szCs w:val="18"/>
      <w:lang w:val="en-GB" w:eastAsia="zh-CN"/>
    </w:rPr>
  </w:style>
  <w:style w:type="paragraph" w:customStyle="1" w:styleId="paragraph">
    <w:name w:val="paragraph"/>
    <w:basedOn w:val="Normal"/>
    <w:rsid w:val="004426D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4426DF"/>
  </w:style>
  <w:style w:type="character" w:customStyle="1" w:styleId="eop">
    <w:name w:val="eop"/>
    <w:basedOn w:val="DefaultParagraphFont"/>
    <w:rsid w:val="004426DF"/>
  </w:style>
  <w:style w:type="character" w:customStyle="1" w:styleId="contextualspellingandgrammarerror">
    <w:name w:val="contextualspellingandgrammarerror"/>
    <w:basedOn w:val="DefaultParagraphFont"/>
    <w:rsid w:val="004426DF"/>
  </w:style>
  <w:style w:type="character" w:customStyle="1" w:styleId="ListParagraphChar">
    <w:name w:val="List Paragraph Char"/>
    <w:link w:val="ListParagraph"/>
    <w:uiPriority w:val="99"/>
    <w:qFormat/>
    <w:locked/>
    <w:rsid w:val="00C463B6"/>
    <w:rPr>
      <w:rFonts w:ascii="Arial" w:eastAsiaTheme="minorEastAsia" w:hAnsi="Arial"/>
      <w:sz w:val="18"/>
      <w:szCs w:val="18"/>
      <w:lang w:val="en-GB" w:eastAsia="zh-CN"/>
    </w:rPr>
  </w:style>
  <w:style w:type="paragraph" w:customStyle="1" w:styleId="Caption-Title">
    <w:name w:val="Caption-Title"/>
    <w:basedOn w:val="BodyText"/>
    <w:next w:val="Normal"/>
    <w:link w:val="Caption-TitleChar"/>
    <w:uiPriority w:val="12"/>
    <w:qFormat/>
    <w:rsid w:val="00235AC6"/>
    <w:pPr>
      <w:keepNext/>
      <w:spacing w:before="240" w:after="60" w:line="276" w:lineRule="auto"/>
      <w:jc w:val="center"/>
    </w:pPr>
    <w:rPr>
      <w:b/>
      <w:sz w:val="20"/>
      <w:szCs w:val="20"/>
      <w:lang w:eastAsia="en-US"/>
    </w:rPr>
  </w:style>
  <w:style w:type="character" w:customStyle="1" w:styleId="Caption-TitleChar">
    <w:name w:val="Caption-Title Char"/>
    <w:link w:val="Caption-Title"/>
    <w:uiPriority w:val="12"/>
    <w:rsid w:val="00235AC6"/>
    <w:rPr>
      <w:rFonts w:ascii="Arial" w:hAnsi="Arial" w:cs="Arial"/>
      <w:b/>
      <w:sz w:val="20"/>
      <w:szCs w:val="20"/>
      <w:lang w:val="en-GB" w:eastAsia="en-US"/>
    </w:rPr>
  </w:style>
  <w:style w:type="table" w:customStyle="1" w:styleId="ERSDefaultTable">
    <w:name w:val="ERS Default Table"/>
    <w:basedOn w:val="TableNormal"/>
    <w:uiPriority w:val="99"/>
    <w:rsid w:val="00DE7A3A"/>
    <w:pPr>
      <w:spacing w:before="20" w:after="40"/>
    </w:pPr>
    <w:rPr>
      <w:rFonts w:ascii="Arial" w:eastAsia="Calibri" w:hAnsi="Arial"/>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Arial" w:hAnsi="Arial"/>
        <w:b/>
        <w:bCs/>
        <w:color w:val="FFFFFF"/>
        <w:sz w:val="20"/>
      </w:rPr>
      <w:tblPr/>
      <w:tcPr>
        <w:shd w:val="clear" w:color="auto" w:fill="1F497D"/>
      </w:tcPr>
    </w:tblStylePr>
    <w:tblStylePr w:type="lastRow">
      <w:pPr>
        <w:wordWrap/>
        <w:spacing w:beforeLines="0" w:before="20" w:beforeAutospacing="0" w:afterLines="0" w:after="40" w:afterAutospacing="0"/>
        <w:ind w:leftChars="0" w:left="0" w:rightChars="0" w:right="0"/>
        <w:contextualSpacing w:val="0"/>
        <w:mirrorIndents w:val="0"/>
        <w:jc w:val="center"/>
      </w:pPr>
      <w:rPr>
        <w:rFonts w:ascii="Arial" w:hAnsi="Arial"/>
        <w:b/>
        <w:bCs/>
        <w:color w:val="FFFFFF"/>
        <w:sz w:val="20"/>
      </w:rPr>
      <w:tblPr/>
      <w:tcPr>
        <w:shd w:val="clear" w:color="auto" w:fill="1F497D"/>
      </w:tcPr>
    </w:tblStylePr>
    <w:tblStylePr w:type="firstCol">
      <w:pPr>
        <w:jc w:val="left"/>
      </w:pPr>
      <w:rPr>
        <w:rFonts w:ascii="Arial" w:hAnsi="Arial"/>
        <w:b w:val="0"/>
        <w:bCs/>
        <w:color w:val="auto"/>
        <w:sz w:val="20"/>
      </w:rPr>
    </w:tblStylePr>
    <w:tblStylePr w:type="lastCol">
      <w:rPr>
        <w:rFonts w:ascii="Arial" w:hAnsi="Arial"/>
        <w:b w:val="0"/>
        <w:bCs/>
        <w:color w:val="auto"/>
        <w:sz w:val="20"/>
      </w:rPr>
    </w:tblStylePr>
    <w:tblStylePr w:type="band1Horz">
      <w:pPr>
        <w:jc w:val="center"/>
      </w:pPr>
      <w:rPr>
        <w:rFonts w:ascii="Arial" w:hAnsi="Arial"/>
        <w:color w:val="auto"/>
        <w:sz w:val="20"/>
      </w:rPr>
    </w:tblStylePr>
    <w:tblStylePr w:type="band2Horz">
      <w:pPr>
        <w:jc w:val="center"/>
      </w:pPr>
      <w:rPr>
        <w:rFonts w:ascii="Arial" w:hAnsi="Arial"/>
        <w:color w:val="auto"/>
        <w:sz w:val="20"/>
      </w:rPr>
      <w:tblPr/>
      <w:tcPr>
        <w:shd w:val="clear" w:color="auto" w:fill="EEECE1"/>
      </w:tcPr>
    </w:tblStylePr>
    <w:tblStylePr w:type="nwCell">
      <w:pPr>
        <w:jc w:val="left"/>
      </w:pPr>
      <w:tblPr/>
      <w:tcPr>
        <w:vAlign w:val="bottom"/>
      </w:tcPr>
    </w:tblStylePr>
    <w:tblStylePr w:type="swCell">
      <w:pPr>
        <w:jc w:val="left"/>
      </w:pPr>
    </w:tblStylePr>
  </w:style>
  <w:style w:type="character" w:styleId="UnresolvedMention">
    <w:name w:val="Unresolved Mention"/>
    <w:basedOn w:val="DefaultParagraphFont"/>
    <w:uiPriority w:val="99"/>
    <w:unhideWhenUsed/>
    <w:rsid w:val="00AA15F2"/>
    <w:rPr>
      <w:color w:val="605E5C"/>
      <w:shd w:val="clear" w:color="auto" w:fill="E1DFDD"/>
    </w:rPr>
  </w:style>
  <w:style w:type="character" w:styleId="Mention">
    <w:name w:val="Mention"/>
    <w:basedOn w:val="DefaultParagraphFont"/>
    <w:uiPriority w:val="99"/>
    <w:unhideWhenUsed/>
    <w:rsid w:val="00AA15F2"/>
    <w:rPr>
      <w:color w:val="2B579A"/>
      <w:shd w:val="clear" w:color="auto" w:fill="E1DFDD"/>
    </w:rPr>
  </w:style>
  <w:style w:type="paragraph" w:styleId="Revision">
    <w:name w:val="Revision"/>
    <w:hidden/>
    <w:uiPriority w:val="99"/>
    <w:semiHidden/>
    <w:rsid w:val="00C15B23"/>
    <w:rPr>
      <w:rFonts w:ascii="Arial" w:hAnsi="Arial"/>
      <w:sz w:val="18"/>
      <w:szCs w:val="18"/>
      <w:lang w:val="en-GB" w:eastAsia="zh-CN"/>
    </w:rPr>
  </w:style>
  <w:style w:type="paragraph" w:customStyle="1" w:styleId="BodyText1">
    <w:name w:val="Body Text 1"/>
    <w:basedOn w:val="Normal"/>
    <w:rsid w:val="007C6C4A"/>
    <w:pPr>
      <w:spacing w:after="240"/>
      <w:jc w:val="both"/>
    </w:pPr>
    <w:rPr>
      <w:rFonts w:ascii="Times New Roman" w:eastAsia="Times New Roman" w:hAnsi="Times New Roman" w:cs="Times New Roman"/>
      <w:sz w:val="24"/>
      <w:szCs w:val="20"/>
      <w:lang w:val="en-US" w:eastAsia="en-US"/>
    </w:rPr>
  </w:style>
  <w:style w:type="paragraph" w:customStyle="1" w:styleId="BodyText4">
    <w:name w:val="Body Text 4"/>
    <w:basedOn w:val="Normal"/>
    <w:rsid w:val="007C6C4A"/>
    <w:pPr>
      <w:ind w:left="1296"/>
      <w:jc w:val="both"/>
    </w:pPr>
    <w:rPr>
      <w:rFonts w:ascii="Times New Roman" w:eastAsia="Times New Roman" w:hAnsi="Times New Roman" w:cs="Times New Roman"/>
      <w:sz w:val="24"/>
      <w:szCs w:val="20"/>
      <w:lang w:val="en-US" w:eastAsia="en-US"/>
    </w:rPr>
  </w:style>
  <w:style w:type="paragraph" w:customStyle="1" w:styleId="Heading1NoNumber">
    <w:name w:val="Heading 1 (No Number)"/>
    <w:basedOn w:val="Normal"/>
    <w:next w:val="BodyText1"/>
    <w:rsid w:val="007C6C4A"/>
    <w:pPr>
      <w:keepNext/>
      <w:keepLines/>
      <w:pageBreakBefore/>
      <w:spacing w:after="480"/>
    </w:pPr>
    <w:rPr>
      <w:rFonts w:ascii="Arial Narrow" w:eastAsia="Times New Roman" w:hAnsi="Arial Narrow" w:cs="Times New Roman"/>
      <w:b/>
      <w:spacing w:val="-10"/>
      <w:sz w:val="36"/>
      <w:szCs w:val="20"/>
      <w:lang w:val="en-US" w:eastAsia="en-US"/>
    </w:rPr>
  </w:style>
  <w:style w:type="paragraph" w:customStyle="1" w:styleId="Heading2NoNumber">
    <w:name w:val="Heading 2 (No Number)"/>
    <w:basedOn w:val="BodyText1"/>
    <w:next w:val="BodyText2"/>
    <w:rsid w:val="007C6C4A"/>
    <w:pPr>
      <w:keepNext/>
      <w:keepLines/>
      <w:spacing w:before="120"/>
    </w:pPr>
    <w:rPr>
      <w:rFonts w:ascii="Arial Narrow" w:hAnsi="Arial Narrow"/>
      <w:b/>
      <w:i/>
      <w:sz w:val="28"/>
    </w:rPr>
  </w:style>
  <w:style w:type="paragraph" w:customStyle="1" w:styleId="ChartTitle">
    <w:name w:val="Chart Title"/>
    <w:basedOn w:val="BodyText1"/>
    <w:uiPriority w:val="99"/>
    <w:rsid w:val="007C6C4A"/>
    <w:pPr>
      <w:jc w:val="center"/>
    </w:pPr>
    <w:rPr>
      <w:rFonts w:ascii="Arial Narrow" w:hAnsi="Arial Narrow"/>
      <w:b/>
    </w:rPr>
  </w:style>
  <w:style w:type="paragraph" w:customStyle="1" w:styleId="AppendixHeading">
    <w:name w:val="Appendix Heading"/>
    <w:basedOn w:val="Heading1NoNumber"/>
    <w:rsid w:val="007C6C4A"/>
  </w:style>
  <w:style w:type="paragraph" w:customStyle="1" w:styleId="Body">
    <w:name w:val="Body"/>
    <w:basedOn w:val="Header"/>
    <w:rsid w:val="007C6C4A"/>
    <w:pPr>
      <w:spacing w:line="360" w:lineRule="auto"/>
      <w:ind w:left="1980"/>
    </w:pPr>
    <w:rPr>
      <w:rFonts w:eastAsia="Times New Roman" w:cs="Times New Roman"/>
      <w:noProof w:val="0"/>
      <w:spacing w:val="6"/>
      <w:sz w:val="22"/>
      <w:szCs w:val="20"/>
      <w:lang w:val="x-none" w:eastAsia="x-none"/>
    </w:rPr>
  </w:style>
  <w:style w:type="paragraph" w:customStyle="1" w:styleId="BodyTextIndentMore">
    <w:name w:val="Body Text Indent More"/>
    <w:basedOn w:val="BodyTextIndent"/>
    <w:autoRedefine/>
    <w:rsid w:val="007C6C4A"/>
    <w:pPr>
      <w:spacing w:after="0"/>
      <w:ind w:left="1080"/>
      <w:jc w:val="both"/>
    </w:pPr>
    <w:rPr>
      <w:rFonts w:ascii="Times New Roman" w:eastAsia="Times New Roman" w:hAnsi="Times New Roman" w:cs="Times New Roman"/>
      <w:sz w:val="24"/>
      <w:szCs w:val="24"/>
      <w:lang w:val="x-none" w:eastAsia="x-none"/>
    </w:rPr>
  </w:style>
  <w:style w:type="paragraph" w:customStyle="1" w:styleId="Tabletext0">
    <w:name w:val="Table text"/>
    <w:rsid w:val="007C6C4A"/>
    <w:pPr>
      <w:spacing w:before="120"/>
    </w:pPr>
    <w:rPr>
      <w:rFonts w:ascii="Arial" w:eastAsia="Times New Roman" w:hAnsi="Arial" w:cs="Times New Roman"/>
      <w:noProof/>
    </w:rPr>
  </w:style>
  <w:style w:type="paragraph" w:customStyle="1" w:styleId="Answer">
    <w:name w:val="Answer"/>
    <w:basedOn w:val="Normal"/>
    <w:rsid w:val="007C6C4A"/>
    <w:pPr>
      <w:ind w:left="1440" w:hanging="720"/>
    </w:pPr>
    <w:rPr>
      <w:rFonts w:ascii="Times New Roman" w:eastAsia="Times New Roman" w:hAnsi="Times New Roman" w:cs="Times New Roman"/>
      <w:caps/>
      <w:sz w:val="24"/>
      <w:szCs w:val="20"/>
      <w:lang w:val="en-US" w:eastAsia="en-US"/>
    </w:rPr>
  </w:style>
  <w:style w:type="paragraph" w:customStyle="1" w:styleId="BodyText10">
    <w:name w:val="Body Text1"/>
    <w:basedOn w:val="Normal"/>
    <w:rsid w:val="007C6C4A"/>
    <w:pPr>
      <w:spacing w:after="120"/>
    </w:pPr>
    <w:rPr>
      <w:rFonts w:ascii="Times New Roman" w:eastAsia="Times New Roman" w:hAnsi="Times New Roman" w:cs="Times New Roman"/>
      <w:sz w:val="24"/>
      <w:szCs w:val="24"/>
      <w:lang w:val="en-US" w:eastAsia="en-US"/>
    </w:rPr>
  </w:style>
  <w:style w:type="paragraph" w:customStyle="1" w:styleId="Caption1">
    <w:name w:val="Caption1"/>
    <w:basedOn w:val="BodyText3"/>
    <w:rsid w:val="007C6C4A"/>
    <w:pPr>
      <w:spacing w:after="0"/>
    </w:pPr>
    <w:rPr>
      <w:rFonts w:ascii="Times New Roman" w:eastAsia="Times New Roman" w:hAnsi="Times New Roman" w:cs="Times New Roman"/>
      <w:b/>
      <w:i/>
      <w:sz w:val="22"/>
      <w:szCs w:val="24"/>
      <w:lang w:val="x-none" w:eastAsia="x-none"/>
    </w:rPr>
  </w:style>
  <w:style w:type="character" w:customStyle="1" w:styleId="BodyText1Char">
    <w:name w:val="Body Text 1 Char"/>
    <w:rsid w:val="007C6C4A"/>
    <w:rPr>
      <w:sz w:val="24"/>
      <w:lang w:val="en-US" w:eastAsia="en-US" w:bidi="ar-SA"/>
    </w:rPr>
  </w:style>
  <w:style w:type="paragraph" w:customStyle="1" w:styleId="body0">
    <w:name w:val="body"/>
    <w:basedOn w:val="Normal"/>
    <w:rsid w:val="007C6C4A"/>
    <w:pPr>
      <w:spacing w:after="240"/>
    </w:pPr>
    <w:rPr>
      <w:rFonts w:ascii="Times New Roman" w:eastAsia="Times New Roman" w:hAnsi="Times New Roman" w:cs="Times New Roman"/>
      <w:sz w:val="24"/>
      <w:szCs w:val="24"/>
      <w:lang w:val="en-US" w:eastAsia="en-US"/>
    </w:rPr>
  </w:style>
  <w:style w:type="character" w:customStyle="1" w:styleId="bodyChar">
    <w:name w:val="body Char"/>
    <w:rsid w:val="007C6C4A"/>
    <w:rPr>
      <w:sz w:val="24"/>
      <w:szCs w:val="24"/>
      <w:lang w:val="en-US" w:eastAsia="en-US" w:bidi="ar-SA"/>
    </w:rPr>
  </w:style>
  <w:style w:type="paragraph" w:customStyle="1" w:styleId="Normal9pt">
    <w:name w:val="Normal + 9 pt"/>
    <w:basedOn w:val="Normal"/>
    <w:rsid w:val="007C6C4A"/>
    <w:rPr>
      <w:rFonts w:ascii="Times New Roman" w:eastAsia="Times New Roman" w:hAnsi="Times New Roman" w:cs="Times New Roman"/>
      <w:lang w:val="en-US" w:eastAsia="en-US"/>
    </w:rPr>
  </w:style>
  <w:style w:type="character" w:customStyle="1" w:styleId="Normal9ptChar">
    <w:name w:val="Normal + 9 pt Char"/>
    <w:rsid w:val="007C6C4A"/>
    <w:rPr>
      <w:sz w:val="18"/>
      <w:szCs w:val="18"/>
      <w:lang w:val="en-US" w:eastAsia="en-US" w:bidi="ar-SA"/>
    </w:rPr>
  </w:style>
  <w:style w:type="paragraph" w:customStyle="1" w:styleId="bullet20">
    <w:name w:val="bullet2"/>
    <w:basedOn w:val="Normal"/>
    <w:rsid w:val="007C6C4A"/>
    <w:pPr>
      <w:spacing w:after="120"/>
      <w:ind w:left="1417" w:hanging="1417"/>
    </w:pPr>
    <w:rPr>
      <w:rFonts w:ascii="Times New Roman" w:eastAsia="Times New Roman" w:hAnsi="Times New Roman" w:cs="Times New Roman"/>
      <w:sz w:val="24"/>
      <w:szCs w:val="20"/>
      <w:lang w:val="en-US" w:eastAsia="en-US"/>
    </w:rPr>
  </w:style>
  <w:style w:type="paragraph" w:customStyle="1" w:styleId="bullet2final">
    <w:name w:val="bullet 2 final"/>
    <w:basedOn w:val="bullet20"/>
    <w:next w:val="BodyText"/>
    <w:rsid w:val="007C6C4A"/>
    <w:pPr>
      <w:tabs>
        <w:tab w:val="num" w:pos="360"/>
      </w:tabs>
      <w:ind w:left="360" w:hanging="360"/>
    </w:pPr>
    <w:rPr>
      <w:szCs w:val="24"/>
    </w:rPr>
  </w:style>
  <w:style w:type="paragraph" w:customStyle="1" w:styleId="xl22">
    <w:name w:val="xl22"/>
    <w:basedOn w:val="Normal"/>
    <w:rsid w:val="007C6C4A"/>
    <w:pPr>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Question">
    <w:name w:val="Question"/>
    <w:basedOn w:val="Normal"/>
    <w:rsid w:val="007C6C4A"/>
    <w:pPr>
      <w:ind w:left="720" w:hanging="720"/>
    </w:pPr>
    <w:rPr>
      <w:rFonts w:ascii="Times New Roman" w:eastAsia="Times New Roman" w:hAnsi="Times New Roman" w:cs="Times New Roman"/>
      <w:sz w:val="24"/>
      <w:szCs w:val="20"/>
      <w:lang w:val="en-US" w:eastAsia="en-US"/>
    </w:rPr>
  </w:style>
  <w:style w:type="paragraph" w:customStyle="1" w:styleId="normal2">
    <w:name w:val="normal2"/>
    <w:basedOn w:val="Normal"/>
    <w:rsid w:val="007C6C4A"/>
    <w:pPr>
      <w:spacing w:line="204" w:lineRule="auto"/>
    </w:pPr>
    <w:rPr>
      <w:rFonts w:ascii="Courier New" w:eastAsia="Times New Roman" w:hAnsi="Courier New" w:cs="Times New Roman"/>
      <w:spacing w:val="-10"/>
      <w:sz w:val="16"/>
      <w:szCs w:val="20"/>
      <w:lang w:val="en-US" w:eastAsia="en-US"/>
    </w:rPr>
  </w:style>
  <w:style w:type="paragraph" w:customStyle="1" w:styleId="Default">
    <w:name w:val="Default"/>
    <w:rsid w:val="007C6C4A"/>
    <w:pPr>
      <w:autoSpaceDE w:val="0"/>
      <w:autoSpaceDN w:val="0"/>
      <w:adjustRightInd w:val="0"/>
    </w:pPr>
    <w:rPr>
      <w:rFonts w:ascii="Arial" w:eastAsia="Times New Roman" w:hAnsi="Arial"/>
      <w:color w:val="000000"/>
      <w:sz w:val="24"/>
      <w:szCs w:val="24"/>
    </w:rPr>
  </w:style>
  <w:style w:type="paragraph" w:customStyle="1" w:styleId="default0">
    <w:name w:val="default"/>
    <w:basedOn w:val="Normal"/>
    <w:uiPriority w:val="99"/>
    <w:rsid w:val="007C6C4A"/>
    <w:rPr>
      <w:rFonts w:eastAsia="Calibri"/>
      <w:color w:val="000000"/>
      <w:sz w:val="24"/>
      <w:szCs w:val="24"/>
      <w:lang w:val="en-US" w:eastAsia="en-US"/>
    </w:rPr>
  </w:style>
  <w:style w:type="paragraph" w:customStyle="1" w:styleId="xmsolistparagraph">
    <w:name w:val="x_msolistparagraph"/>
    <w:basedOn w:val="Normal"/>
    <w:rsid w:val="007C6C4A"/>
    <w:pPr>
      <w:ind w:left="720"/>
    </w:pPr>
    <w:rPr>
      <w:rFonts w:ascii="Calibri" w:eastAsia="Calibri" w:hAnsi="Calibri" w:cs="Calibri"/>
      <w:sz w:val="22"/>
      <w:szCs w:val="22"/>
      <w:lang w:val="en-US" w:eastAsia="en-US"/>
    </w:rPr>
  </w:style>
  <w:style w:type="paragraph" w:customStyle="1" w:styleId="xmsonormal">
    <w:name w:val="x_msonormal"/>
    <w:basedOn w:val="Normal"/>
    <w:rsid w:val="007C6C4A"/>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msobodytextindent">
    <w:name w:val="x_msobodytextindent"/>
    <w:basedOn w:val="Normal"/>
    <w:uiPriority w:val="99"/>
    <w:rsid w:val="007C6C4A"/>
    <w:pPr>
      <w:spacing w:after="120"/>
      <w:ind w:left="360"/>
    </w:pPr>
    <w:rPr>
      <w:rFonts w:ascii="Times New Roman" w:eastAsia="Calibri" w:hAnsi="Times New Roman" w:cs="Times New Roman"/>
      <w:sz w:val="24"/>
      <w:szCs w:val="24"/>
      <w:lang w:val="en-US" w:eastAsia="en-US"/>
    </w:rPr>
  </w:style>
  <w:style w:type="paragraph" w:customStyle="1" w:styleId="Paragraph0">
    <w:name w:val="Paragraph"/>
    <w:basedOn w:val="Normal"/>
    <w:link w:val="ParagraphChar"/>
    <w:qFormat/>
    <w:rsid w:val="007C6C4A"/>
    <w:pPr>
      <w:ind w:left="360"/>
      <w:jc w:val="both"/>
    </w:pPr>
    <w:rPr>
      <w:rFonts w:ascii="Times New Roman" w:eastAsia="Times New Roman" w:hAnsi="Times New Roman" w:cs="Times New Roman"/>
      <w:sz w:val="24"/>
      <w:szCs w:val="24"/>
      <w:lang w:val="en-US" w:eastAsia="en-US"/>
    </w:rPr>
  </w:style>
  <w:style w:type="character" w:customStyle="1" w:styleId="ParagraphChar">
    <w:name w:val="Paragraph Char"/>
    <w:link w:val="Paragraph0"/>
    <w:rsid w:val="007C6C4A"/>
    <w:rPr>
      <w:rFonts w:ascii="Times New Roman" w:eastAsia="Times New Roman" w:hAnsi="Times New Roman" w:cs="Times New Roman"/>
      <w:sz w:val="24"/>
      <w:szCs w:val="24"/>
    </w:rPr>
  </w:style>
  <w:style w:type="table" w:customStyle="1" w:styleId="TableGrid10">
    <w:name w:val="Table Grid1"/>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2">
    <w:name w:val="Heading 22"/>
    <w:basedOn w:val="Normal"/>
    <w:qFormat/>
    <w:rsid w:val="007C6C4A"/>
    <w:pPr>
      <w:ind w:left="360"/>
      <w:jc w:val="both"/>
    </w:pPr>
    <w:rPr>
      <w:rFonts w:ascii="Times New Roman" w:eastAsia="Times New Roman" w:hAnsi="Times New Roman" w:cs="Times New Roman"/>
      <w:b/>
      <w:bCs/>
      <w:sz w:val="24"/>
      <w:szCs w:val="24"/>
      <w:u w:val="single"/>
      <w:lang w:val="en-US" w:eastAsia="en-US"/>
    </w:rPr>
  </w:style>
  <w:style w:type="table" w:customStyle="1" w:styleId="TableGrid50">
    <w:name w:val="Table Grid5"/>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C6C4A"/>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Paragraphs">
    <w:name w:val="ConclusionParagraphs"/>
    <w:basedOn w:val="Paragraph0"/>
    <w:link w:val="ConclusionParagraphsChar"/>
    <w:qFormat/>
    <w:rsid w:val="007C6C4A"/>
    <w:pPr>
      <w:keepNext/>
      <w:numPr>
        <w:numId w:val="13"/>
      </w:numPr>
      <w:spacing w:after="240"/>
    </w:pPr>
  </w:style>
  <w:style w:type="character" w:customStyle="1" w:styleId="ConclusionParagraphsChar">
    <w:name w:val="ConclusionParagraphs Char"/>
    <w:link w:val="ConclusionParagraphs"/>
    <w:rsid w:val="007C6C4A"/>
    <w:rPr>
      <w:rFonts w:ascii="Times New Roman" w:eastAsia="Times New Roman" w:hAnsi="Times New Roman" w:cs="Times New Roman"/>
      <w:sz w:val="24"/>
      <w:szCs w:val="24"/>
    </w:rPr>
  </w:style>
  <w:style w:type="paragraph" w:customStyle="1" w:styleId="xxxxxmsolistparagraph">
    <w:name w:val="x_x_xxxmsolistparagraph"/>
    <w:basedOn w:val="Normal"/>
    <w:rsid w:val="007C6C4A"/>
    <w:pPr>
      <w:spacing w:before="100" w:beforeAutospacing="1" w:after="100" w:afterAutospacing="1"/>
    </w:pPr>
    <w:rPr>
      <w:rFonts w:ascii="Calibri" w:eastAsia="Calibri" w:hAnsi="Calibri" w:cs="Calibri"/>
      <w:sz w:val="22"/>
      <w:szCs w:val="22"/>
      <w:lang w:val="en-US" w:eastAsia="en-US"/>
    </w:rPr>
  </w:style>
  <w:style w:type="paragraph" w:customStyle="1" w:styleId="xxxxxxmsonormal">
    <w:name w:val="x_x_xxxxmsonormal"/>
    <w:basedOn w:val="Normal"/>
    <w:rsid w:val="007C6C4A"/>
    <w:pPr>
      <w:spacing w:before="100" w:beforeAutospacing="1" w:after="100" w:afterAutospacing="1"/>
    </w:pPr>
    <w:rPr>
      <w:rFonts w:ascii="Calibri" w:eastAsia="Calibri" w:hAnsi="Calibri" w:cs="Calibri"/>
      <w:sz w:val="22"/>
      <w:szCs w:val="22"/>
      <w:lang w:val="en-US" w:eastAsia="en-US"/>
    </w:rPr>
  </w:style>
  <w:style w:type="numbering" w:customStyle="1" w:styleId="NoList1">
    <w:name w:val="No List1"/>
    <w:next w:val="NoList"/>
    <w:uiPriority w:val="99"/>
    <w:semiHidden/>
    <w:unhideWhenUsed/>
    <w:rsid w:val="007C6C4A"/>
  </w:style>
  <w:style w:type="table" w:customStyle="1" w:styleId="TableGrid24">
    <w:name w:val="Table Grid24"/>
    <w:basedOn w:val="TableNormal"/>
    <w:next w:val="TableGrid"/>
    <w:uiPriority w:val="99"/>
    <w:rsid w:val="007C6C4A"/>
    <w:rPr>
      <w:rFonts w:eastAsia="Times New Roma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questionChar">
    <w:name w:val="Subquestion Char"/>
    <w:link w:val="Response"/>
    <w:locked/>
    <w:rsid w:val="007C6C4A"/>
    <w:rPr>
      <w:sz w:val="24"/>
      <w:szCs w:val="24"/>
    </w:rPr>
  </w:style>
  <w:style w:type="paragraph" w:customStyle="1" w:styleId="Response">
    <w:name w:val="Response"/>
    <w:basedOn w:val="Normal"/>
    <w:link w:val="SubquestionChar"/>
    <w:qFormat/>
    <w:rsid w:val="007C6C4A"/>
    <w:pPr>
      <w:spacing w:before="180"/>
      <w:contextualSpacing/>
    </w:pPr>
    <w:rPr>
      <w:rFonts w:ascii="Calibri" w:hAnsi="Calibri"/>
      <w:sz w:val="24"/>
      <w:szCs w:val="24"/>
      <w:lang w:val="en-US" w:eastAsia="en-US"/>
    </w:rPr>
  </w:style>
  <w:style w:type="paragraph" w:customStyle="1" w:styleId="Responsess">
    <w:name w:val="Responsess"/>
    <w:basedOn w:val="Normal"/>
    <w:qFormat/>
    <w:rsid w:val="007C6C4A"/>
    <w:pPr>
      <w:spacing w:before="40"/>
      <w:ind w:left="2160" w:hanging="360"/>
    </w:pPr>
    <w:rPr>
      <w:rFonts w:ascii="Times New Roman" w:eastAsia="Calibri" w:hAnsi="Times New Roman" w:cs="Times New Roman"/>
      <w:sz w:val="24"/>
      <w:szCs w:val="22"/>
      <w:lang w:val="en-US" w:eastAsia="en-US"/>
    </w:rPr>
  </w:style>
  <w:style w:type="paragraph" w:customStyle="1" w:styleId="Heading1NoNumber0">
    <w:name w:val="Heading 1 No Number"/>
    <w:basedOn w:val="Heading1"/>
    <w:next w:val="BodyText"/>
    <w:link w:val="Heading1NoNumberChar"/>
    <w:uiPriority w:val="1"/>
    <w:qFormat/>
    <w:rsid w:val="00733E5F"/>
    <w:pPr>
      <w:numPr>
        <w:numId w:val="0"/>
      </w:numPr>
    </w:pPr>
  </w:style>
  <w:style w:type="character" w:customStyle="1" w:styleId="Heading1NoNumberChar">
    <w:name w:val="Heading 1 No Number Char"/>
    <w:basedOn w:val="Heading1Char"/>
    <w:link w:val="Heading1NoNumber0"/>
    <w:uiPriority w:val="1"/>
    <w:rsid w:val="00733E5F"/>
    <w:rPr>
      <w:rFonts w:ascii="Arial" w:eastAsiaTheme="minorEastAsia" w:hAnsi="Arial"/>
      <w:b/>
      <w:caps/>
      <w:color w:val="0F204B"/>
      <w:sz w:val="26"/>
      <w:szCs w:val="18"/>
      <w:lang w:val="en-GB" w:eastAsia="zh-CN"/>
    </w:rPr>
  </w:style>
  <w:style w:type="table" w:customStyle="1" w:styleId="DNVNiceStyle">
    <w:name w:val="DNV Nice Style"/>
    <w:basedOn w:val="PlainTable3"/>
    <w:uiPriority w:val="99"/>
    <w:rsid w:val="00AA15F2"/>
    <w:rPr>
      <w:rFonts w:ascii="Arial" w:hAnsi="Arial"/>
      <w:sz w:val="1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Arial" w:hAnsi="Arial"/>
        <w:b/>
        <w:bCs/>
        <w:caps w:val="0"/>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cBorders>
        <w:shd w:val="clear" w:color="auto" w:fill="0F204B" w:themeFill="text2"/>
      </w:tcPr>
    </w:tblStylePr>
    <w:tblStylePr w:type="lastRow">
      <w:rPr>
        <w:b w:val="0"/>
        <w:bCs/>
        <w:caps/>
      </w:rPr>
      <w:tblPr/>
      <w:tcPr>
        <w:tcBorders>
          <w:top w:val="nil"/>
        </w:tcBorders>
      </w:tcPr>
    </w:tblStylePr>
    <w:tblStylePr w:type="firstCol">
      <w:pPr>
        <w:jc w:val="left"/>
      </w:pPr>
      <w:rPr>
        <w:rFonts w:ascii="Arial" w:hAnsi="Arial"/>
        <w:b/>
        <w:bCs/>
        <w:caps w:val="0"/>
        <w:sz w:val="18"/>
      </w:rPr>
      <w:tblPr/>
      <w:tcPr>
        <w:tcBorders>
          <w:right w:val="single" w:sz="4" w:space="0" w:color="8F8662" w:themeColor="background2" w:themeShade="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pPr>
        <w:jc w:val="left"/>
      </w:pPr>
      <w:tblPr/>
      <w:tcPr>
        <w:shd w:val="clear" w:color="auto" w:fill="F2F2F2" w:themeFill="background1" w:themeFillShade="F2"/>
        <w:vAlign w:val="center"/>
      </w:tcPr>
    </w:tblStylePr>
    <w:tblStylePr w:type="band2Horz">
      <w:pPr>
        <w:jc w:val="left"/>
      </w:pPr>
      <w:tblPr/>
      <w:tcPr>
        <w:vAlign w:val="center"/>
      </w:tcPr>
    </w:tblStylePr>
    <w:tblStylePr w:type="neCell">
      <w:tblPr/>
      <w:tcPr>
        <w:tcBorders>
          <w:left w:val="nil"/>
        </w:tcBorders>
      </w:tcPr>
    </w:tblStylePr>
    <w:tblStylePr w:type="nwCell">
      <w:tblPr/>
      <w:tcPr>
        <w:tcBorders>
          <w:right w:val="nil"/>
        </w:tcBorders>
      </w:tcPr>
    </w:tblStylePr>
  </w:style>
  <w:style w:type="character" w:styleId="Hashtag">
    <w:name w:val="Hashtag"/>
    <w:basedOn w:val="DefaultParagraphFont"/>
    <w:uiPriority w:val="99"/>
    <w:unhideWhenUsed/>
    <w:rsid w:val="00AA15F2"/>
    <w:rPr>
      <w:color w:val="2B579A"/>
      <w:shd w:val="clear" w:color="auto" w:fill="E1DFDD"/>
    </w:rPr>
  </w:style>
  <w:style w:type="character" w:styleId="SmartHyperlink">
    <w:name w:val="Smart Hyperlink"/>
    <w:basedOn w:val="DefaultParagraphFont"/>
    <w:uiPriority w:val="99"/>
    <w:unhideWhenUsed/>
    <w:rsid w:val="00AA15F2"/>
    <w:rPr>
      <w:u w:val="dotted"/>
    </w:rPr>
  </w:style>
  <w:style w:type="character" w:styleId="SmartLink">
    <w:name w:val="Smart Link"/>
    <w:basedOn w:val="DefaultParagraphFont"/>
    <w:uiPriority w:val="99"/>
    <w:semiHidden/>
    <w:unhideWhenUsed/>
    <w:rsid w:val="00AA15F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2490">
      <w:bodyDiv w:val="1"/>
      <w:marLeft w:val="0"/>
      <w:marRight w:val="0"/>
      <w:marTop w:val="0"/>
      <w:marBottom w:val="0"/>
      <w:divBdr>
        <w:top w:val="none" w:sz="0" w:space="0" w:color="auto"/>
        <w:left w:val="none" w:sz="0" w:space="0" w:color="auto"/>
        <w:bottom w:val="none" w:sz="0" w:space="0" w:color="auto"/>
        <w:right w:val="none" w:sz="0" w:space="0" w:color="auto"/>
      </w:divBdr>
    </w:div>
    <w:div w:id="307782541">
      <w:bodyDiv w:val="1"/>
      <w:marLeft w:val="0"/>
      <w:marRight w:val="0"/>
      <w:marTop w:val="0"/>
      <w:marBottom w:val="0"/>
      <w:divBdr>
        <w:top w:val="none" w:sz="0" w:space="0" w:color="auto"/>
        <w:left w:val="none" w:sz="0" w:space="0" w:color="auto"/>
        <w:bottom w:val="none" w:sz="0" w:space="0" w:color="auto"/>
        <w:right w:val="none" w:sz="0" w:space="0" w:color="auto"/>
      </w:divBdr>
      <w:divsChild>
        <w:div w:id="780346060">
          <w:marLeft w:val="0"/>
          <w:marRight w:val="0"/>
          <w:marTop w:val="0"/>
          <w:marBottom w:val="0"/>
          <w:divBdr>
            <w:top w:val="none" w:sz="0" w:space="0" w:color="auto"/>
            <w:left w:val="none" w:sz="0" w:space="0" w:color="auto"/>
            <w:bottom w:val="none" w:sz="0" w:space="0" w:color="auto"/>
            <w:right w:val="none" w:sz="0" w:space="0" w:color="auto"/>
          </w:divBdr>
        </w:div>
        <w:div w:id="1671132098">
          <w:marLeft w:val="0"/>
          <w:marRight w:val="0"/>
          <w:marTop w:val="0"/>
          <w:marBottom w:val="0"/>
          <w:divBdr>
            <w:top w:val="none" w:sz="0" w:space="0" w:color="auto"/>
            <w:left w:val="none" w:sz="0" w:space="0" w:color="auto"/>
            <w:bottom w:val="none" w:sz="0" w:space="0" w:color="auto"/>
            <w:right w:val="none" w:sz="0" w:space="0" w:color="auto"/>
          </w:divBdr>
          <w:divsChild>
            <w:div w:id="201478645">
              <w:marLeft w:val="0"/>
              <w:marRight w:val="0"/>
              <w:marTop w:val="0"/>
              <w:marBottom w:val="0"/>
              <w:divBdr>
                <w:top w:val="none" w:sz="0" w:space="0" w:color="auto"/>
                <w:left w:val="none" w:sz="0" w:space="0" w:color="auto"/>
                <w:bottom w:val="none" w:sz="0" w:space="0" w:color="auto"/>
                <w:right w:val="none" w:sz="0" w:space="0" w:color="auto"/>
              </w:divBdr>
            </w:div>
            <w:div w:id="522524048">
              <w:marLeft w:val="0"/>
              <w:marRight w:val="0"/>
              <w:marTop w:val="0"/>
              <w:marBottom w:val="0"/>
              <w:divBdr>
                <w:top w:val="none" w:sz="0" w:space="0" w:color="auto"/>
                <w:left w:val="none" w:sz="0" w:space="0" w:color="auto"/>
                <w:bottom w:val="none" w:sz="0" w:space="0" w:color="auto"/>
                <w:right w:val="none" w:sz="0" w:space="0" w:color="auto"/>
              </w:divBdr>
            </w:div>
            <w:div w:id="1059860100">
              <w:marLeft w:val="0"/>
              <w:marRight w:val="0"/>
              <w:marTop w:val="0"/>
              <w:marBottom w:val="0"/>
              <w:divBdr>
                <w:top w:val="none" w:sz="0" w:space="0" w:color="auto"/>
                <w:left w:val="none" w:sz="0" w:space="0" w:color="auto"/>
                <w:bottom w:val="none" w:sz="0" w:space="0" w:color="auto"/>
                <w:right w:val="none" w:sz="0" w:space="0" w:color="auto"/>
              </w:divBdr>
            </w:div>
            <w:div w:id="1337612708">
              <w:marLeft w:val="0"/>
              <w:marRight w:val="0"/>
              <w:marTop w:val="0"/>
              <w:marBottom w:val="0"/>
              <w:divBdr>
                <w:top w:val="none" w:sz="0" w:space="0" w:color="auto"/>
                <w:left w:val="none" w:sz="0" w:space="0" w:color="auto"/>
                <w:bottom w:val="none" w:sz="0" w:space="0" w:color="auto"/>
                <w:right w:val="none" w:sz="0" w:space="0" w:color="auto"/>
              </w:divBdr>
            </w:div>
            <w:div w:id="1626698446">
              <w:marLeft w:val="0"/>
              <w:marRight w:val="0"/>
              <w:marTop w:val="0"/>
              <w:marBottom w:val="0"/>
              <w:divBdr>
                <w:top w:val="none" w:sz="0" w:space="0" w:color="auto"/>
                <w:left w:val="none" w:sz="0" w:space="0" w:color="auto"/>
                <w:bottom w:val="none" w:sz="0" w:space="0" w:color="auto"/>
                <w:right w:val="none" w:sz="0" w:space="0" w:color="auto"/>
              </w:divBdr>
            </w:div>
          </w:divsChild>
        </w:div>
        <w:div w:id="2107773056">
          <w:marLeft w:val="0"/>
          <w:marRight w:val="0"/>
          <w:marTop w:val="0"/>
          <w:marBottom w:val="0"/>
          <w:divBdr>
            <w:top w:val="none" w:sz="0" w:space="0" w:color="auto"/>
            <w:left w:val="none" w:sz="0" w:space="0" w:color="auto"/>
            <w:bottom w:val="none" w:sz="0" w:space="0" w:color="auto"/>
            <w:right w:val="none" w:sz="0" w:space="0" w:color="auto"/>
          </w:divBdr>
        </w:div>
      </w:divsChild>
    </w:div>
    <w:div w:id="344404835">
      <w:bodyDiv w:val="1"/>
      <w:marLeft w:val="0"/>
      <w:marRight w:val="0"/>
      <w:marTop w:val="0"/>
      <w:marBottom w:val="0"/>
      <w:divBdr>
        <w:top w:val="none" w:sz="0" w:space="0" w:color="auto"/>
        <w:left w:val="none" w:sz="0" w:space="0" w:color="auto"/>
        <w:bottom w:val="none" w:sz="0" w:space="0" w:color="auto"/>
        <w:right w:val="none" w:sz="0" w:space="0" w:color="auto"/>
      </w:divBdr>
    </w:div>
    <w:div w:id="381180073">
      <w:bodyDiv w:val="1"/>
      <w:marLeft w:val="0"/>
      <w:marRight w:val="0"/>
      <w:marTop w:val="0"/>
      <w:marBottom w:val="0"/>
      <w:divBdr>
        <w:top w:val="none" w:sz="0" w:space="0" w:color="auto"/>
        <w:left w:val="none" w:sz="0" w:space="0" w:color="auto"/>
        <w:bottom w:val="none" w:sz="0" w:space="0" w:color="auto"/>
        <w:right w:val="none" w:sz="0" w:space="0" w:color="auto"/>
      </w:divBdr>
    </w:div>
    <w:div w:id="490830450">
      <w:bodyDiv w:val="1"/>
      <w:marLeft w:val="0"/>
      <w:marRight w:val="0"/>
      <w:marTop w:val="0"/>
      <w:marBottom w:val="0"/>
      <w:divBdr>
        <w:top w:val="none" w:sz="0" w:space="0" w:color="auto"/>
        <w:left w:val="none" w:sz="0" w:space="0" w:color="auto"/>
        <w:bottom w:val="none" w:sz="0" w:space="0" w:color="auto"/>
        <w:right w:val="none" w:sz="0" w:space="0" w:color="auto"/>
      </w:divBdr>
    </w:div>
    <w:div w:id="582488997">
      <w:bodyDiv w:val="1"/>
      <w:marLeft w:val="0"/>
      <w:marRight w:val="0"/>
      <w:marTop w:val="0"/>
      <w:marBottom w:val="0"/>
      <w:divBdr>
        <w:top w:val="none" w:sz="0" w:space="0" w:color="auto"/>
        <w:left w:val="none" w:sz="0" w:space="0" w:color="auto"/>
        <w:bottom w:val="none" w:sz="0" w:space="0" w:color="auto"/>
        <w:right w:val="none" w:sz="0" w:space="0" w:color="auto"/>
      </w:divBdr>
    </w:div>
    <w:div w:id="713892592">
      <w:bodyDiv w:val="1"/>
      <w:marLeft w:val="0"/>
      <w:marRight w:val="0"/>
      <w:marTop w:val="0"/>
      <w:marBottom w:val="0"/>
      <w:divBdr>
        <w:top w:val="none" w:sz="0" w:space="0" w:color="auto"/>
        <w:left w:val="none" w:sz="0" w:space="0" w:color="auto"/>
        <w:bottom w:val="none" w:sz="0" w:space="0" w:color="auto"/>
        <w:right w:val="none" w:sz="0" w:space="0" w:color="auto"/>
      </w:divBdr>
    </w:div>
    <w:div w:id="730033206">
      <w:bodyDiv w:val="1"/>
      <w:marLeft w:val="0"/>
      <w:marRight w:val="0"/>
      <w:marTop w:val="0"/>
      <w:marBottom w:val="0"/>
      <w:divBdr>
        <w:top w:val="none" w:sz="0" w:space="0" w:color="auto"/>
        <w:left w:val="none" w:sz="0" w:space="0" w:color="auto"/>
        <w:bottom w:val="none" w:sz="0" w:space="0" w:color="auto"/>
        <w:right w:val="none" w:sz="0" w:space="0" w:color="auto"/>
      </w:divBdr>
    </w:div>
    <w:div w:id="1026903304">
      <w:bodyDiv w:val="1"/>
      <w:marLeft w:val="0"/>
      <w:marRight w:val="0"/>
      <w:marTop w:val="0"/>
      <w:marBottom w:val="0"/>
      <w:divBdr>
        <w:top w:val="none" w:sz="0" w:space="0" w:color="auto"/>
        <w:left w:val="none" w:sz="0" w:space="0" w:color="auto"/>
        <w:bottom w:val="none" w:sz="0" w:space="0" w:color="auto"/>
        <w:right w:val="none" w:sz="0" w:space="0" w:color="auto"/>
      </w:divBdr>
    </w:div>
    <w:div w:id="1054424106">
      <w:bodyDiv w:val="1"/>
      <w:marLeft w:val="0"/>
      <w:marRight w:val="0"/>
      <w:marTop w:val="0"/>
      <w:marBottom w:val="0"/>
      <w:divBdr>
        <w:top w:val="none" w:sz="0" w:space="0" w:color="auto"/>
        <w:left w:val="none" w:sz="0" w:space="0" w:color="auto"/>
        <w:bottom w:val="none" w:sz="0" w:space="0" w:color="auto"/>
        <w:right w:val="none" w:sz="0" w:space="0" w:color="auto"/>
      </w:divBdr>
    </w:div>
    <w:div w:id="1120539693">
      <w:bodyDiv w:val="1"/>
      <w:marLeft w:val="0"/>
      <w:marRight w:val="0"/>
      <w:marTop w:val="0"/>
      <w:marBottom w:val="0"/>
      <w:divBdr>
        <w:top w:val="none" w:sz="0" w:space="0" w:color="auto"/>
        <w:left w:val="none" w:sz="0" w:space="0" w:color="auto"/>
        <w:bottom w:val="none" w:sz="0" w:space="0" w:color="auto"/>
        <w:right w:val="none" w:sz="0" w:space="0" w:color="auto"/>
      </w:divBdr>
    </w:div>
    <w:div w:id="1134760557">
      <w:bodyDiv w:val="1"/>
      <w:marLeft w:val="0"/>
      <w:marRight w:val="0"/>
      <w:marTop w:val="0"/>
      <w:marBottom w:val="0"/>
      <w:divBdr>
        <w:top w:val="none" w:sz="0" w:space="0" w:color="auto"/>
        <w:left w:val="none" w:sz="0" w:space="0" w:color="auto"/>
        <w:bottom w:val="none" w:sz="0" w:space="0" w:color="auto"/>
        <w:right w:val="none" w:sz="0" w:space="0" w:color="auto"/>
      </w:divBdr>
    </w:div>
    <w:div w:id="1190148468">
      <w:bodyDiv w:val="1"/>
      <w:marLeft w:val="0"/>
      <w:marRight w:val="0"/>
      <w:marTop w:val="0"/>
      <w:marBottom w:val="0"/>
      <w:divBdr>
        <w:top w:val="none" w:sz="0" w:space="0" w:color="auto"/>
        <w:left w:val="none" w:sz="0" w:space="0" w:color="auto"/>
        <w:bottom w:val="none" w:sz="0" w:space="0" w:color="auto"/>
        <w:right w:val="none" w:sz="0" w:space="0" w:color="auto"/>
      </w:divBdr>
    </w:div>
    <w:div w:id="1369454367">
      <w:bodyDiv w:val="1"/>
      <w:marLeft w:val="0"/>
      <w:marRight w:val="0"/>
      <w:marTop w:val="0"/>
      <w:marBottom w:val="0"/>
      <w:divBdr>
        <w:top w:val="none" w:sz="0" w:space="0" w:color="auto"/>
        <w:left w:val="none" w:sz="0" w:space="0" w:color="auto"/>
        <w:bottom w:val="none" w:sz="0" w:space="0" w:color="auto"/>
        <w:right w:val="none" w:sz="0" w:space="0" w:color="auto"/>
      </w:divBdr>
    </w:div>
    <w:div w:id="1536776515">
      <w:bodyDiv w:val="1"/>
      <w:marLeft w:val="0"/>
      <w:marRight w:val="0"/>
      <w:marTop w:val="0"/>
      <w:marBottom w:val="0"/>
      <w:divBdr>
        <w:top w:val="none" w:sz="0" w:space="0" w:color="auto"/>
        <w:left w:val="none" w:sz="0" w:space="0" w:color="auto"/>
        <w:bottom w:val="none" w:sz="0" w:space="0" w:color="auto"/>
        <w:right w:val="none" w:sz="0" w:space="0" w:color="auto"/>
      </w:divBdr>
    </w:div>
    <w:div w:id="1687749804">
      <w:bodyDiv w:val="1"/>
      <w:marLeft w:val="0"/>
      <w:marRight w:val="0"/>
      <w:marTop w:val="0"/>
      <w:marBottom w:val="0"/>
      <w:divBdr>
        <w:top w:val="none" w:sz="0" w:space="0" w:color="auto"/>
        <w:left w:val="none" w:sz="0" w:space="0" w:color="auto"/>
        <w:bottom w:val="none" w:sz="0" w:space="0" w:color="auto"/>
        <w:right w:val="none" w:sz="0" w:space="0" w:color="auto"/>
      </w:divBdr>
    </w:div>
    <w:div w:id="182407753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9/05/relationships/documenttasks" Target="documenttasks/documenttasks1.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njcleanenergy.com/files/file/BPU/2022/10.14/NJ%20Coordinated%20Measures%20List%20-%20EMV%207_22_22.xlsx" TargetMode="External"/><Relationship Id="rId2" Type="http://schemas.openxmlformats.org/officeDocument/2006/relationships/hyperlink" Target="https://www.savegreenproject.com/static/uploads/files/MFPrescriptiveandCustom_Application_FORM_2.2022.pdf" TargetMode="External"/><Relationship Id="rId1" Type="http://schemas.openxmlformats.org/officeDocument/2006/relationships/hyperlink" Target="https://www.njcleanenergy.com/files/file/UTILITY%20REPORTING/4Q%20FY22/NJNG%20-%20NJ%20Annual%20Report-Executive%20Summary%20-%2010_17_2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E508E57-70AB-44E2-9CD1-8C4F13A02A2C}">
    <t:Anchor>
      <t:Comment id="658701163"/>
    </t:Anchor>
    <t:History>
      <t:Event id="{A342B5D5-1F82-4276-89EC-AAB416EF4489}" time="2022-12-13T20:45:13.473Z">
        <t:Attribution userId="S::sharan.suresh@dnv.com::ab6754a2-f053-4e91-a259-e73bd2bc4cad" userProvider="AD" userName="Suresh, Sharan"/>
        <t:Anchor>
          <t:Comment id="1212264577"/>
        </t:Anchor>
        <t:Create/>
      </t:Event>
      <t:Event id="{E0162DB6-0263-4D5F-84C1-91062C03DEE3}" time="2022-12-13T20:45:13.473Z">
        <t:Attribution userId="S::sharan.suresh@dnv.com::ab6754a2-f053-4e91-a259-e73bd2bc4cad" userProvider="AD" userName="Suresh, Sharan"/>
        <t:Anchor>
          <t:Comment id="1212264577"/>
        </t:Anchor>
        <t:Assign userId="S::Srikar.Kaligotla@dnv.com::2d5efcd6-00bf-4323-b9e5-4c3ee5094a32" userProvider="AD" userName="Kaligotla, Srikar"/>
      </t:Event>
      <t:Event id="{85D25CAD-27FE-4793-AC03-1C200DFC5883}" time="2022-12-13T20:45:13.473Z">
        <t:Attribution userId="S::sharan.suresh@dnv.com::ab6754a2-f053-4e91-a259-e73bd2bc4cad" userProvider="AD" userName="Suresh, Sharan"/>
        <t:Anchor>
          <t:Comment id="1212264577"/>
        </t:Anchor>
        <t:SetTitle title="Not a 100% sure here, Sam. @Kaligotla, Srikar can you respon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F21B643-845D-46CD-83A1-C28B98C50D3D}"/>
      </w:docPartPr>
      <w:docPartBody>
        <w:p w:rsidR="000C314B" w:rsidRDefault="00A95445">
          <w:r w:rsidRPr="006067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B5"/>
    <w:rsid w:val="00026E47"/>
    <w:rsid w:val="000639A9"/>
    <w:rsid w:val="00073F1A"/>
    <w:rsid w:val="000768B5"/>
    <w:rsid w:val="000B0DD9"/>
    <w:rsid w:val="000C314B"/>
    <w:rsid w:val="000C33B7"/>
    <w:rsid w:val="000D71EA"/>
    <w:rsid w:val="000E4D5D"/>
    <w:rsid w:val="00142CD3"/>
    <w:rsid w:val="00275B91"/>
    <w:rsid w:val="00287119"/>
    <w:rsid w:val="0029376E"/>
    <w:rsid w:val="00294677"/>
    <w:rsid w:val="002E647D"/>
    <w:rsid w:val="003446AD"/>
    <w:rsid w:val="003B5E42"/>
    <w:rsid w:val="003E7485"/>
    <w:rsid w:val="003F5D3D"/>
    <w:rsid w:val="004A0002"/>
    <w:rsid w:val="00563B3A"/>
    <w:rsid w:val="005B47C8"/>
    <w:rsid w:val="006E1851"/>
    <w:rsid w:val="007212D6"/>
    <w:rsid w:val="00735113"/>
    <w:rsid w:val="00775AEC"/>
    <w:rsid w:val="007C4956"/>
    <w:rsid w:val="00821174"/>
    <w:rsid w:val="008A4CCE"/>
    <w:rsid w:val="0095424E"/>
    <w:rsid w:val="00A95445"/>
    <w:rsid w:val="00AA6A42"/>
    <w:rsid w:val="00AC2B9E"/>
    <w:rsid w:val="00AE4439"/>
    <w:rsid w:val="00B61690"/>
    <w:rsid w:val="00BE128E"/>
    <w:rsid w:val="00C26E99"/>
    <w:rsid w:val="00CC3E8C"/>
    <w:rsid w:val="00D078B3"/>
    <w:rsid w:val="00D5022E"/>
    <w:rsid w:val="00D90CCC"/>
    <w:rsid w:val="00E622C5"/>
    <w:rsid w:val="00F85C11"/>
    <w:rsid w:val="00FC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rsid w:val="00A95445"/>
    <w:rPr>
      <w:noProof/>
      <w:vanish/>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NV PP">
      <a:dk1>
        <a:srgbClr val="000000"/>
      </a:dk1>
      <a:lt1>
        <a:srgbClr val="FFFFFF"/>
      </a:lt1>
      <a:dk2>
        <a:srgbClr val="0F204B"/>
      </a:dk2>
      <a:lt2>
        <a:srgbClr val="F4F3EF"/>
      </a:lt2>
      <a:accent1>
        <a:srgbClr val="0F204B"/>
      </a:accent1>
      <a:accent2>
        <a:srgbClr val="99D9F0"/>
      </a:accent2>
      <a:accent3>
        <a:srgbClr val="003591"/>
      </a:accent3>
      <a:accent4>
        <a:srgbClr val="009FDA"/>
      </a:accent4>
      <a:accent5>
        <a:srgbClr val="91FFB4"/>
      </a:accent5>
      <a:accent6>
        <a:srgbClr val="3F9C35"/>
      </a:accent6>
      <a:hlink>
        <a:srgbClr val="009FDA"/>
      </a:hlink>
      <a:folHlink>
        <a:srgbClr val="3F9C3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5ee22d-6adb-4ae9-8e77-4f45d19e4803" xsi:nil="true"/>
    <lcf76f155ced4ddcb4097134ff3c332f xmlns="9edce368-fc34-4808-8b64-b3586476b6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45C55A2E2CD419A1ED0EA64F20BC9" ma:contentTypeVersion="15" ma:contentTypeDescription="Create a new document." ma:contentTypeScope="" ma:versionID="8dc7a5432593caf2efcb1014cec119c9">
  <xsd:schema xmlns:xsd="http://www.w3.org/2001/XMLSchema" xmlns:xs="http://www.w3.org/2001/XMLSchema" xmlns:p="http://schemas.microsoft.com/office/2006/metadata/properties" xmlns:ns2="9edce368-fc34-4808-8b64-b3586476b685" xmlns:ns3="3e5ee22d-6adb-4ae9-8e77-4f45d19e4803" targetNamespace="http://schemas.microsoft.com/office/2006/metadata/properties" ma:root="true" ma:fieldsID="d3ffd991bde180fb9dd2ad3ca667cc7a" ns2:_="" ns3:_="">
    <xsd:import namespace="9edce368-fc34-4808-8b64-b3586476b685"/>
    <xsd:import namespace="3e5ee22d-6adb-4ae9-8e77-4f45d19e4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e368-fc34-4808-8b64-b3586476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ee22d-6adb-4ae9-8e77-4f45d19e4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48cae9-803e-44de-8cf8-02016e39d4ed}" ma:internalName="TaxCatchAll" ma:showField="CatchAllData" ma:web="3e5ee22d-6adb-4ae9-8e77-4f45d19e4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Tag name="DgLegalInformation01">DNV  –  www.dnv.com  </Tag>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4DFE-AAF3-4CDE-87C2-3555011D1E15}">
  <ds:schemaRefs>
    <ds:schemaRef ds:uri="http://schemas.microsoft.com/office/2006/metadata/properties"/>
    <ds:schemaRef ds:uri="http://schemas.microsoft.com/office/infopath/2007/PartnerControls"/>
    <ds:schemaRef ds:uri="3e5ee22d-6adb-4ae9-8e77-4f45d19e4803"/>
    <ds:schemaRef ds:uri="9edce368-fc34-4808-8b64-b3586476b685"/>
  </ds:schemaRefs>
</ds:datastoreItem>
</file>

<file path=customXml/itemProps2.xml><?xml version="1.0" encoding="utf-8"?>
<ds:datastoreItem xmlns:ds="http://schemas.openxmlformats.org/officeDocument/2006/customXml" ds:itemID="{CB53CDC4-BAD9-4E22-A11C-7DDEDDE8E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e368-fc34-4808-8b64-b3586476b685"/>
    <ds:schemaRef ds:uri="3e5ee22d-6adb-4ae9-8e77-4f45d19e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D1D0F-7AC1-4B96-BEEB-0B5CA1189D58}">
  <ds:schemaRefs/>
</ds:datastoreItem>
</file>

<file path=customXml/itemProps4.xml><?xml version="1.0" encoding="utf-8"?>
<ds:datastoreItem xmlns:ds="http://schemas.openxmlformats.org/officeDocument/2006/customXml" ds:itemID="{BB0EB23E-C909-4F77-9A43-7EB0D753FF66}">
  <ds:schemaRefs>
    <ds:schemaRef ds:uri="http://schemas.microsoft.com/sharepoint/v3/contenttype/forms"/>
  </ds:schemaRefs>
</ds:datastoreItem>
</file>

<file path=customXml/itemProps5.xml><?xml version="1.0" encoding="utf-8"?>
<ds:datastoreItem xmlns:ds="http://schemas.openxmlformats.org/officeDocument/2006/customXml" ds:itemID="{F6E717AC-3FCE-4A9C-B1E6-0AB0A98C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3866</TotalTime>
  <Pages>19</Pages>
  <Words>5260</Words>
  <Characters>33339</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38522</CharactersWithSpaces>
  <SharedDoc>false</SharedDoc>
  <HLinks>
    <vt:vector size="156" baseType="variant">
      <vt:variant>
        <vt:i4>1179699</vt:i4>
      </vt:variant>
      <vt:variant>
        <vt:i4>116</vt:i4>
      </vt:variant>
      <vt:variant>
        <vt:i4>0</vt:i4>
      </vt:variant>
      <vt:variant>
        <vt:i4>5</vt:i4>
      </vt:variant>
      <vt:variant>
        <vt:lpwstr/>
      </vt:variant>
      <vt:variant>
        <vt:lpwstr>_Toc124503614</vt:lpwstr>
      </vt:variant>
      <vt:variant>
        <vt:i4>1179699</vt:i4>
      </vt:variant>
      <vt:variant>
        <vt:i4>110</vt:i4>
      </vt:variant>
      <vt:variant>
        <vt:i4>0</vt:i4>
      </vt:variant>
      <vt:variant>
        <vt:i4>5</vt:i4>
      </vt:variant>
      <vt:variant>
        <vt:lpwstr/>
      </vt:variant>
      <vt:variant>
        <vt:lpwstr>_Toc124503613</vt:lpwstr>
      </vt:variant>
      <vt:variant>
        <vt:i4>1179699</vt:i4>
      </vt:variant>
      <vt:variant>
        <vt:i4>104</vt:i4>
      </vt:variant>
      <vt:variant>
        <vt:i4>0</vt:i4>
      </vt:variant>
      <vt:variant>
        <vt:i4>5</vt:i4>
      </vt:variant>
      <vt:variant>
        <vt:lpwstr/>
      </vt:variant>
      <vt:variant>
        <vt:lpwstr>_Toc124503612</vt:lpwstr>
      </vt:variant>
      <vt:variant>
        <vt:i4>1179699</vt:i4>
      </vt:variant>
      <vt:variant>
        <vt:i4>98</vt:i4>
      </vt:variant>
      <vt:variant>
        <vt:i4>0</vt:i4>
      </vt:variant>
      <vt:variant>
        <vt:i4>5</vt:i4>
      </vt:variant>
      <vt:variant>
        <vt:lpwstr/>
      </vt:variant>
      <vt:variant>
        <vt:lpwstr>_Toc124503611</vt:lpwstr>
      </vt:variant>
      <vt:variant>
        <vt:i4>1179699</vt:i4>
      </vt:variant>
      <vt:variant>
        <vt:i4>92</vt:i4>
      </vt:variant>
      <vt:variant>
        <vt:i4>0</vt:i4>
      </vt:variant>
      <vt:variant>
        <vt:i4>5</vt:i4>
      </vt:variant>
      <vt:variant>
        <vt:lpwstr/>
      </vt:variant>
      <vt:variant>
        <vt:lpwstr>_Toc124503610</vt:lpwstr>
      </vt:variant>
      <vt:variant>
        <vt:i4>1245235</vt:i4>
      </vt:variant>
      <vt:variant>
        <vt:i4>86</vt:i4>
      </vt:variant>
      <vt:variant>
        <vt:i4>0</vt:i4>
      </vt:variant>
      <vt:variant>
        <vt:i4>5</vt:i4>
      </vt:variant>
      <vt:variant>
        <vt:lpwstr/>
      </vt:variant>
      <vt:variant>
        <vt:lpwstr>_Toc124503609</vt:lpwstr>
      </vt:variant>
      <vt:variant>
        <vt:i4>1245235</vt:i4>
      </vt:variant>
      <vt:variant>
        <vt:i4>80</vt:i4>
      </vt:variant>
      <vt:variant>
        <vt:i4>0</vt:i4>
      </vt:variant>
      <vt:variant>
        <vt:i4>5</vt:i4>
      </vt:variant>
      <vt:variant>
        <vt:lpwstr/>
      </vt:variant>
      <vt:variant>
        <vt:lpwstr>_Toc124503608</vt:lpwstr>
      </vt:variant>
      <vt:variant>
        <vt:i4>1245235</vt:i4>
      </vt:variant>
      <vt:variant>
        <vt:i4>74</vt:i4>
      </vt:variant>
      <vt:variant>
        <vt:i4>0</vt:i4>
      </vt:variant>
      <vt:variant>
        <vt:i4>5</vt:i4>
      </vt:variant>
      <vt:variant>
        <vt:lpwstr/>
      </vt:variant>
      <vt:variant>
        <vt:lpwstr>_Toc124503607</vt:lpwstr>
      </vt:variant>
      <vt:variant>
        <vt:i4>1245235</vt:i4>
      </vt:variant>
      <vt:variant>
        <vt:i4>68</vt:i4>
      </vt:variant>
      <vt:variant>
        <vt:i4>0</vt:i4>
      </vt:variant>
      <vt:variant>
        <vt:i4>5</vt:i4>
      </vt:variant>
      <vt:variant>
        <vt:lpwstr/>
      </vt:variant>
      <vt:variant>
        <vt:lpwstr>_Toc124503606</vt:lpwstr>
      </vt:variant>
      <vt:variant>
        <vt:i4>1245235</vt:i4>
      </vt:variant>
      <vt:variant>
        <vt:i4>62</vt:i4>
      </vt:variant>
      <vt:variant>
        <vt:i4>0</vt:i4>
      </vt:variant>
      <vt:variant>
        <vt:i4>5</vt:i4>
      </vt:variant>
      <vt:variant>
        <vt:lpwstr/>
      </vt:variant>
      <vt:variant>
        <vt:lpwstr>_Toc124503605</vt:lpwstr>
      </vt:variant>
      <vt:variant>
        <vt:i4>1245235</vt:i4>
      </vt:variant>
      <vt:variant>
        <vt:i4>56</vt:i4>
      </vt:variant>
      <vt:variant>
        <vt:i4>0</vt:i4>
      </vt:variant>
      <vt:variant>
        <vt:i4>5</vt:i4>
      </vt:variant>
      <vt:variant>
        <vt:lpwstr/>
      </vt:variant>
      <vt:variant>
        <vt:lpwstr>_Toc124503604</vt:lpwstr>
      </vt:variant>
      <vt:variant>
        <vt:i4>1245235</vt:i4>
      </vt:variant>
      <vt:variant>
        <vt:i4>50</vt:i4>
      </vt:variant>
      <vt:variant>
        <vt:i4>0</vt:i4>
      </vt:variant>
      <vt:variant>
        <vt:i4>5</vt:i4>
      </vt:variant>
      <vt:variant>
        <vt:lpwstr/>
      </vt:variant>
      <vt:variant>
        <vt:lpwstr>_Toc124503603</vt:lpwstr>
      </vt:variant>
      <vt:variant>
        <vt:i4>1245235</vt:i4>
      </vt:variant>
      <vt:variant>
        <vt:i4>44</vt:i4>
      </vt:variant>
      <vt:variant>
        <vt:i4>0</vt:i4>
      </vt:variant>
      <vt:variant>
        <vt:i4>5</vt:i4>
      </vt:variant>
      <vt:variant>
        <vt:lpwstr/>
      </vt:variant>
      <vt:variant>
        <vt:lpwstr>_Toc124503602</vt:lpwstr>
      </vt:variant>
      <vt:variant>
        <vt:i4>1245235</vt:i4>
      </vt:variant>
      <vt:variant>
        <vt:i4>38</vt:i4>
      </vt:variant>
      <vt:variant>
        <vt:i4>0</vt:i4>
      </vt:variant>
      <vt:variant>
        <vt:i4>5</vt:i4>
      </vt:variant>
      <vt:variant>
        <vt:lpwstr/>
      </vt:variant>
      <vt:variant>
        <vt:lpwstr>_Toc124503601</vt:lpwstr>
      </vt:variant>
      <vt:variant>
        <vt:i4>1245235</vt:i4>
      </vt:variant>
      <vt:variant>
        <vt:i4>32</vt:i4>
      </vt:variant>
      <vt:variant>
        <vt:i4>0</vt:i4>
      </vt:variant>
      <vt:variant>
        <vt:i4>5</vt:i4>
      </vt:variant>
      <vt:variant>
        <vt:lpwstr/>
      </vt:variant>
      <vt:variant>
        <vt:lpwstr>_Toc124503600</vt:lpwstr>
      </vt:variant>
      <vt:variant>
        <vt:i4>1703984</vt:i4>
      </vt:variant>
      <vt:variant>
        <vt:i4>26</vt:i4>
      </vt:variant>
      <vt:variant>
        <vt:i4>0</vt:i4>
      </vt:variant>
      <vt:variant>
        <vt:i4>5</vt:i4>
      </vt:variant>
      <vt:variant>
        <vt:lpwstr/>
      </vt:variant>
      <vt:variant>
        <vt:lpwstr>_Toc124503599</vt:lpwstr>
      </vt:variant>
      <vt:variant>
        <vt:i4>1703984</vt:i4>
      </vt:variant>
      <vt:variant>
        <vt:i4>20</vt:i4>
      </vt:variant>
      <vt:variant>
        <vt:i4>0</vt:i4>
      </vt:variant>
      <vt:variant>
        <vt:i4>5</vt:i4>
      </vt:variant>
      <vt:variant>
        <vt:lpwstr/>
      </vt:variant>
      <vt:variant>
        <vt:lpwstr>_Toc124503598</vt:lpwstr>
      </vt:variant>
      <vt:variant>
        <vt:i4>1703984</vt:i4>
      </vt:variant>
      <vt:variant>
        <vt:i4>14</vt:i4>
      </vt:variant>
      <vt:variant>
        <vt:i4>0</vt:i4>
      </vt:variant>
      <vt:variant>
        <vt:i4>5</vt:i4>
      </vt:variant>
      <vt:variant>
        <vt:lpwstr/>
      </vt:variant>
      <vt:variant>
        <vt:lpwstr>_Toc124503597</vt:lpwstr>
      </vt:variant>
      <vt:variant>
        <vt:i4>1703984</vt:i4>
      </vt:variant>
      <vt:variant>
        <vt:i4>8</vt:i4>
      </vt:variant>
      <vt:variant>
        <vt:i4>0</vt:i4>
      </vt:variant>
      <vt:variant>
        <vt:i4>5</vt:i4>
      </vt:variant>
      <vt:variant>
        <vt:lpwstr/>
      </vt:variant>
      <vt:variant>
        <vt:lpwstr>_Toc124503596</vt:lpwstr>
      </vt:variant>
      <vt:variant>
        <vt:i4>1703984</vt:i4>
      </vt:variant>
      <vt:variant>
        <vt:i4>2</vt:i4>
      </vt:variant>
      <vt:variant>
        <vt:i4>0</vt:i4>
      </vt:variant>
      <vt:variant>
        <vt:i4>5</vt:i4>
      </vt:variant>
      <vt:variant>
        <vt:lpwstr/>
      </vt:variant>
      <vt:variant>
        <vt:lpwstr>_Toc124503595</vt:lpwstr>
      </vt:variant>
      <vt:variant>
        <vt:i4>851971</vt:i4>
      </vt:variant>
      <vt:variant>
        <vt:i4>0</vt:i4>
      </vt:variant>
      <vt:variant>
        <vt:i4>0</vt:i4>
      </vt:variant>
      <vt:variant>
        <vt:i4>5</vt:i4>
      </vt:variant>
      <vt:variant>
        <vt:lpwstr>https://www.njcleanenergy.com/files/file/UTILITY REPORTING/4Q FY22/NJNG - NJ Annual Report-Executive Summary - 10_17_22.pdf</vt:lpwstr>
      </vt:variant>
      <vt:variant>
        <vt:lpwstr/>
      </vt:variant>
      <vt:variant>
        <vt:i4>3604607</vt:i4>
      </vt:variant>
      <vt:variant>
        <vt:i4>0</vt:i4>
      </vt:variant>
      <vt:variant>
        <vt:i4>0</vt:i4>
      </vt:variant>
      <vt:variant>
        <vt:i4>5</vt:i4>
      </vt:variant>
      <vt:variant>
        <vt:lpwstr>http://www.dnv.com/</vt:lpwstr>
      </vt:variant>
      <vt:variant>
        <vt:lpwstr/>
      </vt:variant>
      <vt:variant>
        <vt:i4>5439525</vt:i4>
      </vt:variant>
      <vt:variant>
        <vt:i4>9</vt:i4>
      </vt:variant>
      <vt:variant>
        <vt:i4>0</vt:i4>
      </vt:variant>
      <vt:variant>
        <vt:i4>5</vt:i4>
      </vt:variant>
      <vt:variant>
        <vt:lpwstr>mailto:Srikar.Kaligotla@dnv.com</vt:lpwstr>
      </vt:variant>
      <vt:variant>
        <vt:lpwstr/>
      </vt:variant>
      <vt:variant>
        <vt:i4>5439525</vt:i4>
      </vt:variant>
      <vt:variant>
        <vt:i4>6</vt:i4>
      </vt:variant>
      <vt:variant>
        <vt:i4>0</vt:i4>
      </vt:variant>
      <vt:variant>
        <vt:i4>5</vt:i4>
      </vt:variant>
      <vt:variant>
        <vt:lpwstr>mailto:Srikar.Kaligotla@dnv.com</vt:lpwstr>
      </vt:variant>
      <vt:variant>
        <vt:lpwstr/>
      </vt:variant>
      <vt:variant>
        <vt:i4>5963811</vt:i4>
      </vt:variant>
      <vt:variant>
        <vt:i4>3</vt:i4>
      </vt:variant>
      <vt:variant>
        <vt:i4>0</vt:i4>
      </vt:variant>
      <vt:variant>
        <vt:i4>5</vt:i4>
      </vt:variant>
      <vt:variant>
        <vt:lpwstr>mailto:Sharan.Suresh@dnv.com</vt:lpwstr>
      </vt:variant>
      <vt:variant>
        <vt:lpwstr/>
      </vt:variant>
      <vt:variant>
        <vt:i4>5439525</vt:i4>
      </vt:variant>
      <vt:variant>
        <vt:i4>0</vt:i4>
      </vt:variant>
      <vt:variant>
        <vt:i4>0</vt:i4>
      </vt:variant>
      <vt:variant>
        <vt:i4>5</vt:i4>
      </vt:variant>
      <vt:variant>
        <vt:lpwstr>mailto:Srikar.Kaligotla@dnv.com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Sharan</dc:creator>
  <cp:keywords/>
  <cp:lastModifiedBy>Kaligotla, Srikar</cp:lastModifiedBy>
  <cp:revision>5</cp:revision>
  <dcterms:created xsi:type="dcterms:W3CDTF">2023-09-15T21:21:00Z</dcterms:created>
  <dcterms:modified xsi:type="dcterms:W3CDTF">2023-09-18T14:06:00Z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20210215 113616</vt:lpwstr>
  </property>
  <property fmtid="{D5CDD505-2E9C-101B-9397-08002B2CF9AE}" pid="3" name="TB filename">
    <vt:lpwstr>COR009us.dotx</vt:lpwstr>
  </property>
  <property fmtid="{D5CDD505-2E9C-101B-9397-08002B2CF9AE}" pid="4" name="TB id">
    <vt:lpwstr>7349</vt:lpwstr>
  </property>
  <property fmtid="{D5CDD505-2E9C-101B-9397-08002B2CF9AE}" pid="5" name="TB name">
    <vt:lpwstr>COR 009us</vt:lpwstr>
  </property>
  <property fmtid="{D5CDD505-2E9C-101B-9397-08002B2CF9AE}" pid="6" name="MSIP_Label_22fbb032-08bf-4f1e-af46-2528cd3f96ca_Enabled">
    <vt:lpwstr>true</vt:lpwstr>
  </property>
  <property fmtid="{D5CDD505-2E9C-101B-9397-08002B2CF9AE}" pid="7" name="MSIP_Label_22fbb032-08bf-4f1e-af46-2528cd3f96ca_SetDate">
    <vt:lpwstr>2021-10-29T18:01:02Z</vt:lpwstr>
  </property>
  <property fmtid="{D5CDD505-2E9C-101B-9397-08002B2CF9AE}" pid="8" name="MSIP_Label_22fbb032-08bf-4f1e-af46-2528cd3f96ca_Method">
    <vt:lpwstr>Privileged</vt:lpwstr>
  </property>
  <property fmtid="{D5CDD505-2E9C-101B-9397-08002B2CF9AE}" pid="9" name="MSIP_Label_22fbb032-08bf-4f1e-af46-2528cd3f96ca_Name">
    <vt:lpwstr>22fbb032-08bf-4f1e-af46-2528cd3f96ca</vt:lpwstr>
  </property>
  <property fmtid="{D5CDD505-2E9C-101B-9397-08002B2CF9AE}" pid="10" name="MSIP_Label_22fbb032-08bf-4f1e-af46-2528cd3f96ca_SiteId">
    <vt:lpwstr>adf10e2b-b6e9-41d6-be2f-c12bb566019c</vt:lpwstr>
  </property>
  <property fmtid="{D5CDD505-2E9C-101B-9397-08002B2CF9AE}" pid="11" name="MSIP_Label_22fbb032-08bf-4f1e-af46-2528cd3f96ca_ActionId">
    <vt:lpwstr>5b9ebd78-35bf-431f-8135-a614d0f9947e</vt:lpwstr>
  </property>
  <property fmtid="{D5CDD505-2E9C-101B-9397-08002B2CF9AE}" pid="12" name="MSIP_Label_22fbb032-08bf-4f1e-af46-2528cd3f96ca_ContentBits">
    <vt:lpwstr>0</vt:lpwstr>
  </property>
  <property fmtid="{D5CDD505-2E9C-101B-9397-08002B2CF9AE}" pid="13" name="ContentTypeId">
    <vt:lpwstr>0x01010080E45C55A2E2CD419A1ED0EA64F20BC9</vt:lpwstr>
  </property>
  <property fmtid="{D5CDD505-2E9C-101B-9397-08002B2CF9AE}" pid="14" name="_DocHome">
    <vt:i4>-1257318283</vt:i4>
  </property>
  <property fmtid="{D5CDD505-2E9C-101B-9397-08002B2CF9AE}" pid="15" name="MediaServiceImageTags">
    <vt:lpwstr/>
  </property>
</Properties>
</file>